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8071B2" w:rsidTr="008B1D3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06669E" w:rsidRDefault="003D1DF3" w:rsidP="00F01516">
            <w:pPr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06669E" w:rsidRDefault="00897AB6" w:rsidP="00F01516">
            <w:pPr>
              <w:spacing w:after="80" w:line="300" w:lineRule="exact"/>
              <w:rPr>
                <w:sz w:val="28"/>
                <w:lang w:val="ro-RO"/>
              </w:rPr>
            </w:pPr>
            <w:r w:rsidRPr="0006669E">
              <w:rPr>
                <w:sz w:val="28"/>
                <w:lang w:val="ro-RO"/>
              </w:rPr>
              <w:t>Națiunile unite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D72D1" w:rsidRPr="00C90CAE" w:rsidRDefault="00ED72D1" w:rsidP="00765650">
            <w:pPr>
              <w:jc w:val="right"/>
              <w:rPr>
                <w:sz w:val="28"/>
                <w:lang w:val="ro-RO"/>
              </w:rPr>
            </w:pPr>
            <w:r w:rsidRPr="00C90CAE">
              <w:rPr>
                <w:sz w:val="28"/>
                <w:lang w:val="ro-RO"/>
              </w:rPr>
              <w:t xml:space="preserve">Anexa </w:t>
            </w:r>
            <w:r w:rsidR="003D375A">
              <w:rPr>
                <w:sz w:val="28"/>
                <w:lang w:val="ro-RO"/>
              </w:rPr>
              <w:t>3</w:t>
            </w:r>
            <w:r w:rsidR="00C90CAE">
              <w:rPr>
                <w:sz w:val="28"/>
                <w:lang w:val="ro-RO"/>
              </w:rPr>
              <w:t xml:space="preserve"> </w:t>
            </w:r>
            <w:r w:rsidR="00C90CAE" w:rsidRPr="00C90CAE">
              <w:rPr>
                <w:sz w:val="28"/>
                <w:lang w:val="ro-RO"/>
              </w:rPr>
              <w:t xml:space="preserve">la OMT nr. </w:t>
            </w:r>
            <w:r w:rsidR="008071B2">
              <w:rPr>
                <w:sz w:val="28"/>
                <w:lang w:val="ro-RO"/>
              </w:rPr>
              <w:t>…….</w:t>
            </w:r>
            <w:r w:rsidR="00C90CAE" w:rsidRPr="00C90CAE">
              <w:rPr>
                <w:sz w:val="28"/>
                <w:lang w:val="ro-RO"/>
              </w:rPr>
              <w:t>./2019</w:t>
            </w:r>
          </w:p>
          <w:p w:rsidR="003D1DF3" w:rsidRPr="0006669E" w:rsidRDefault="00765650" w:rsidP="00765650">
            <w:pPr>
              <w:jc w:val="right"/>
              <w:rPr>
                <w:lang w:val="ro-RO"/>
              </w:rPr>
            </w:pPr>
            <w:r w:rsidRPr="0006669E">
              <w:rPr>
                <w:sz w:val="40"/>
                <w:lang w:val="ro-RO"/>
              </w:rPr>
              <w:t>ECE</w:t>
            </w:r>
            <w:r w:rsidRPr="0006669E">
              <w:rPr>
                <w:lang w:val="ro-RO"/>
              </w:rPr>
              <w:t>/TRANS/WP.15/</w:t>
            </w:r>
            <w:r w:rsidR="00AC74C0" w:rsidRPr="0006669E">
              <w:rPr>
                <w:lang w:val="ro-RO"/>
              </w:rPr>
              <w:t>240</w:t>
            </w:r>
            <w:r w:rsidR="001923AA" w:rsidRPr="0006669E">
              <w:rPr>
                <w:lang w:val="ro-RO"/>
              </w:rPr>
              <w:t>/Add.1</w:t>
            </w:r>
          </w:p>
        </w:tc>
      </w:tr>
      <w:tr w:rsidR="003D1DF3" w:rsidRPr="008071B2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06669E" w:rsidRDefault="00367E6A" w:rsidP="00F01516">
            <w:pPr>
              <w:spacing w:before="120"/>
              <w:jc w:val="center"/>
              <w:rPr>
                <w:lang w:val="ro-RO"/>
              </w:rPr>
            </w:pPr>
            <w:r w:rsidRPr="0006669E">
              <w:rPr>
                <w:noProof/>
                <w:lang w:val="ro-RO" w:eastAsia="ro-RO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06669E" w:rsidRDefault="00897AB6" w:rsidP="00F01516">
            <w:pPr>
              <w:spacing w:before="120" w:line="420" w:lineRule="exact"/>
              <w:rPr>
                <w:b/>
                <w:sz w:val="40"/>
                <w:szCs w:val="40"/>
                <w:lang w:val="ro-RO"/>
              </w:rPr>
            </w:pPr>
            <w:r w:rsidRPr="0006669E">
              <w:rPr>
                <w:b/>
                <w:sz w:val="40"/>
                <w:szCs w:val="40"/>
                <w:lang w:val="ro-RO"/>
              </w:rPr>
              <w:t>Consiliul economic și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06669E" w:rsidRDefault="00765650" w:rsidP="00765650">
            <w:pPr>
              <w:spacing w:before="240" w:line="240" w:lineRule="exact"/>
              <w:rPr>
                <w:lang w:val="ro-RO"/>
              </w:rPr>
            </w:pPr>
            <w:r w:rsidRPr="0006669E">
              <w:rPr>
                <w:lang w:val="ro-RO"/>
              </w:rPr>
              <w:t>Distr. g</w:t>
            </w:r>
            <w:r w:rsidR="00897AB6" w:rsidRPr="0006669E">
              <w:rPr>
                <w:lang w:val="ro-RO"/>
              </w:rPr>
              <w:t>e</w:t>
            </w:r>
            <w:r w:rsidRPr="0006669E">
              <w:rPr>
                <w:lang w:val="ro-RO"/>
              </w:rPr>
              <w:t>n</w:t>
            </w:r>
            <w:r w:rsidR="00897AB6" w:rsidRPr="0006669E">
              <w:rPr>
                <w:lang w:val="ro-RO"/>
              </w:rPr>
              <w:t>e</w:t>
            </w:r>
            <w:r w:rsidRPr="0006669E">
              <w:rPr>
                <w:lang w:val="ro-RO"/>
              </w:rPr>
              <w:t>ral</w:t>
            </w:r>
            <w:r w:rsidR="00897AB6" w:rsidRPr="0006669E">
              <w:rPr>
                <w:lang w:val="ro-RO"/>
              </w:rPr>
              <w:t>ă</w:t>
            </w:r>
          </w:p>
          <w:p w:rsidR="00765650" w:rsidRPr="0006669E" w:rsidRDefault="003B32B5" w:rsidP="00765650">
            <w:pPr>
              <w:spacing w:line="240" w:lineRule="exact"/>
              <w:rPr>
                <w:lang w:val="ro-RO"/>
              </w:rPr>
            </w:pPr>
            <w:r w:rsidRPr="0006669E">
              <w:rPr>
                <w:lang w:val="ro-RO"/>
              </w:rPr>
              <w:t>6</w:t>
            </w:r>
            <w:r w:rsidR="000E7574" w:rsidRPr="0006669E">
              <w:rPr>
                <w:lang w:val="ro-RO"/>
              </w:rPr>
              <w:t xml:space="preserve"> </w:t>
            </w:r>
            <w:r w:rsidR="00897AB6" w:rsidRPr="0006669E">
              <w:rPr>
                <w:lang w:val="ro-RO"/>
              </w:rPr>
              <w:t>iunie</w:t>
            </w:r>
            <w:r w:rsidR="00765650" w:rsidRPr="0006669E">
              <w:rPr>
                <w:lang w:val="ro-RO"/>
              </w:rPr>
              <w:t xml:space="preserve"> 201</w:t>
            </w:r>
            <w:r w:rsidR="00356CB6" w:rsidRPr="0006669E">
              <w:rPr>
                <w:lang w:val="ro-RO"/>
              </w:rPr>
              <w:t>8</w:t>
            </w:r>
          </w:p>
          <w:p w:rsidR="00977495" w:rsidRPr="0006669E" w:rsidRDefault="00897AB6" w:rsidP="00765650">
            <w:pPr>
              <w:spacing w:line="240" w:lineRule="exact"/>
              <w:rPr>
                <w:lang w:val="ro-RO"/>
              </w:rPr>
            </w:pPr>
            <w:r w:rsidRPr="0006669E">
              <w:rPr>
                <w:lang w:val="ro-RO"/>
              </w:rPr>
              <w:t>Română</w:t>
            </w:r>
          </w:p>
          <w:p w:rsidR="00765650" w:rsidRPr="0006669E" w:rsidRDefault="00765650" w:rsidP="00897AB6">
            <w:pPr>
              <w:spacing w:line="240" w:lineRule="exact"/>
              <w:rPr>
                <w:lang w:val="ro-RO"/>
              </w:rPr>
            </w:pPr>
            <w:r w:rsidRPr="0006669E">
              <w:rPr>
                <w:lang w:val="ro-RO"/>
              </w:rPr>
              <w:t xml:space="preserve">Original: </w:t>
            </w:r>
            <w:r w:rsidR="00897AB6" w:rsidRPr="0006669E">
              <w:rPr>
                <w:lang w:val="ro-RO"/>
              </w:rPr>
              <w:t>franceză și engleză</w:t>
            </w:r>
          </w:p>
        </w:tc>
      </w:tr>
    </w:tbl>
    <w:p w:rsidR="008B1D37" w:rsidRPr="0006669E" w:rsidRDefault="008B1D37" w:rsidP="008B1D37">
      <w:pPr>
        <w:spacing w:before="120"/>
        <w:rPr>
          <w:b/>
          <w:sz w:val="28"/>
          <w:szCs w:val="28"/>
          <w:lang w:val="ro-RO"/>
        </w:rPr>
      </w:pPr>
      <w:r w:rsidRPr="0006669E">
        <w:rPr>
          <w:b/>
          <w:sz w:val="28"/>
          <w:szCs w:val="28"/>
          <w:lang w:val="ro-RO"/>
        </w:rPr>
        <w:t>Comisia Economică pentru Europa</w:t>
      </w:r>
    </w:p>
    <w:p w:rsidR="008B1D37" w:rsidRPr="0006669E" w:rsidRDefault="008B1D37" w:rsidP="008B1D37">
      <w:pPr>
        <w:spacing w:before="120"/>
        <w:rPr>
          <w:sz w:val="28"/>
          <w:szCs w:val="28"/>
          <w:lang w:val="ro-RO"/>
        </w:rPr>
      </w:pPr>
      <w:r w:rsidRPr="0006669E">
        <w:rPr>
          <w:sz w:val="28"/>
          <w:szCs w:val="28"/>
          <w:lang w:val="ro-RO"/>
        </w:rPr>
        <w:t>Comitetul pentru Transporturi Interioare</w:t>
      </w:r>
    </w:p>
    <w:p w:rsidR="008B1D37" w:rsidRPr="0006669E" w:rsidRDefault="008B1D37" w:rsidP="008B1D37">
      <w:pPr>
        <w:spacing w:before="120"/>
        <w:rPr>
          <w:b/>
          <w:sz w:val="24"/>
          <w:szCs w:val="24"/>
          <w:lang w:val="ro-RO"/>
        </w:rPr>
      </w:pPr>
      <w:r w:rsidRPr="0006669E">
        <w:rPr>
          <w:b/>
          <w:sz w:val="24"/>
          <w:szCs w:val="24"/>
          <w:lang w:val="ro-RO"/>
        </w:rPr>
        <w:t>Grupul de lucru pentru transportul mărfurilor periculoase</w:t>
      </w:r>
    </w:p>
    <w:p w:rsidR="008B1D37" w:rsidRPr="0006669E" w:rsidRDefault="008B1D37" w:rsidP="008B1D37">
      <w:pPr>
        <w:spacing w:before="120"/>
        <w:rPr>
          <w:b/>
          <w:sz w:val="24"/>
          <w:szCs w:val="24"/>
          <w:lang w:val="ro-RO"/>
        </w:rPr>
      </w:pPr>
    </w:p>
    <w:p w:rsidR="008B1D37" w:rsidRPr="0006669E" w:rsidRDefault="008B1D37" w:rsidP="008B1D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ro-RO"/>
        </w:rPr>
      </w:pPr>
      <w:r w:rsidRPr="0006669E">
        <w:rPr>
          <w:b/>
          <w:sz w:val="28"/>
          <w:lang w:val="ro-RO"/>
        </w:rPr>
        <w:tab/>
      </w:r>
      <w:r w:rsidRPr="0006669E">
        <w:rPr>
          <w:b/>
          <w:sz w:val="28"/>
          <w:lang w:val="ro-RO"/>
        </w:rPr>
        <w:tab/>
        <w:t>Acordul european referitor la transportul rutier internaţional al mărfurilor periculoase (ADR)</w:t>
      </w:r>
    </w:p>
    <w:p w:rsidR="008B1D37" w:rsidRPr="0006669E" w:rsidRDefault="008B1D37" w:rsidP="008B1D3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outlineLvl w:val="0"/>
        <w:rPr>
          <w:b/>
          <w:sz w:val="24"/>
          <w:lang w:val="ro-RO"/>
        </w:rPr>
      </w:pPr>
      <w:r w:rsidRPr="0006669E">
        <w:rPr>
          <w:b/>
          <w:sz w:val="24"/>
          <w:lang w:val="ro-RO"/>
        </w:rPr>
        <w:tab/>
      </w:r>
      <w:r w:rsidRPr="0006669E">
        <w:rPr>
          <w:b/>
          <w:sz w:val="24"/>
          <w:lang w:val="ro-RO"/>
        </w:rPr>
        <w:tab/>
        <w:t>Amendamente la anexele A şi B ale ADR</w:t>
      </w:r>
    </w:p>
    <w:p w:rsidR="001923AA" w:rsidRPr="0006669E" w:rsidRDefault="001923AA" w:rsidP="001923AA">
      <w:pPr>
        <w:pStyle w:val="H1G"/>
        <w:outlineLvl w:val="0"/>
        <w:rPr>
          <w:lang w:val="ro-RO"/>
        </w:rPr>
      </w:pPr>
    </w:p>
    <w:p w:rsidR="008B1D37" w:rsidRPr="0006669E" w:rsidRDefault="001923AA" w:rsidP="008B1D37">
      <w:pPr>
        <w:pStyle w:val="H23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8B1D37" w:rsidRPr="0006669E">
        <w:rPr>
          <w:lang w:val="ro-RO"/>
        </w:rPr>
        <w:t>Anexă</w:t>
      </w:r>
    </w:p>
    <w:p w:rsidR="008B1D37" w:rsidRPr="0006669E" w:rsidRDefault="008B1D37" w:rsidP="008B1D37">
      <w:pPr>
        <w:pStyle w:val="SingleTxtG"/>
        <w:rPr>
          <w:lang w:val="ro-RO"/>
        </w:rPr>
      </w:pPr>
      <w:r w:rsidRPr="0006669E">
        <w:rPr>
          <w:lang w:val="ro-RO"/>
        </w:rPr>
        <w:tab/>
        <w:t>Cu ocazia celei de a 104-a sesiuni a sa, Grupul de lucru pentru transportul mărfurilor periculoase a rugat secretariatul să difuzeze o listă suplimentară de amendamente a căror intrare în vigoare este prevăzută pentru 1 ianuarie 2019, sub forma unei anexe la documentul ECE/TRANS/WP.15/240, pe care Preşedintele o va transmite Părţilor contractante prin intermediul Guvernului său pentru acceptare în conformitate cu procedura de la articolul 14 al ADR (a se vedea ECE/TRANS/WP.15/242, paragraful 43).</w:t>
      </w:r>
    </w:p>
    <w:p w:rsidR="008B1D37" w:rsidRPr="0006669E" w:rsidRDefault="008B1D37" w:rsidP="008B1D37">
      <w:pPr>
        <w:pStyle w:val="SingleTxtG"/>
        <w:rPr>
          <w:lang w:val="ro-RO"/>
        </w:rPr>
      </w:pPr>
      <w:r w:rsidRPr="0006669E">
        <w:rPr>
          <w:lang w:val="ro-RO"/>
        </w:rPr>
        <w:t xml:space="preserve">Acest document conţine lista suplimentară cerută a amendamentelor adoptate de către Grupul de lucru la cea de a </w:t>
      </w:r>
      <w:r w:rsidRPr="0006669E">
        <w:rPr>
          <w:bCs/>
          <w:lang w:val="ro-RO"/>
        </w:rPr>
        <w:t>104-a sesiune.</w:t>
      </w:r>
    </w:p>
    <w:p w:rsidR="001923AA" w:rsidRPr="0006669E" w:rsidRDefault="001923AA">
      <w:pPr>
        <w:suppressAutoHyphens w:val="0"/>
        <w:spacing w:line="240" w:lineRule="auto"/>
        <w:rPr>
          <w:b/>
          <w:lang w:val="ro-RO"/>
        </w:rPr>
      </w:pPr>
      <w:r w:rsidRPr="0006669E">
        <w:rPr>
          <w:lang w:val="ro-RO"/>
        </w:rPr>
        <w:br w:type="page"/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lastRenderedPageBreak/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1.1</w:t>
      </w:r>
    </w:p>
    <w:p w:rsidR="001923AA" w:rsidRPr="0006669E" w:rsidRDefault="001923AA" w:rsidP="001923AA">
      <w:pPr>
        <w:spacing w:after="120"/>
        <w:ind w:left="1134" w:right="1134"/>
        <w:jc w:val="both"/>
        <w:rPr>
          <w:lang w:val="ro-RO"/>
        </w:rPr>
      </w:pPr>
      <w:r w:rsidRPr="0006669E">
        <w:rPr>
          <w:lang w:val="ro-RO"/>
        </w:rPr>
        <w:t>1.1.3.6.3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tabelul</w:t>
      </w:r>
      <w:r w:rsidRPr="0006669E">
        <w:rPr>
          <w:lang w:val="ro-RO"/>
        </w:rPr>
        <w:t xml:space="preserve">, </w:t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categoria</w:t>
      </w:r>
      <w:r w:rsidRPr="0006669E">
        <w:rPr>
          <w:lang w:val="ro-RO"/>
        </w:rPr>
        <w:t xml:space="preserve"> de transport 0, </w:t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clasa</w:t>
      </w:r>
      <w:r w:rsidRPr="0006669E">
        <w:rPr>
          <w:lang w:val="ro-RO"/>
        </w:rPr>
        <w:t xml:space="preserve"> 4.3, </w:t>
      </w:r>
      <w:r w:rsidR="00FB74FB" w:rsidRPr="0006669E">
        <w:rPr>
          <w:lang w:val="ro-RO"/>
        </w:rPr>
        <w:t>după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3131,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introduce: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3132,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1.2</w:t>
      </w:r>
    </w:p>
    <w:p w:rsidR="001923AA" w:rsidRPr="0006669E" w:rsidRDefault="001923AA" w:rsidP="00D87B69">
      <w:pPr>
        <w:pStyle w:val="SingleTxtG"/>
        <w:rPr>
          <w:lang w:val="ro-RO"/>
        </w:rPr>
      </w:pPr>
      <w:r w:rsidRPr="0006669E">
        <w:rPr>
          <w:lang w:val="ro-RO"/>
        </w:rPr>
        <w:t>1.2.1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d</w:t>
      </w:r>
      <w:r w:rsidR="00FB74FB" w:rsidRPr="0006669E">
        <w:rPr>
          <w:lang w:val="ro-RO"/>
        </w:rPr>
        <w:t>e</w:t>
      </w:r>
      <w:r w:rsidRPr="0006669E">
        <w:rPr>
          <w:lang w:val="ro-RO"/>
        </w:rPr>
        <w:t>fini</w:t>
      </w:r>
      <w:r w:rsidR="00FB74FB" w:rsidRPr="0006669E">
        <w:rPr>
          <w:lang w:val="ro-RO"/>
        </w:rPr>
        <w:t>ția 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R</w:t>
      </w:r>
      <w:r w:rsidR="00FB74FB" w:rsidRPr="0006669E">
        <w:rPr>
          <w:lang w:val="ro-RO"/>
        </w:rPr>
        <w:t>e</w:t>
      </w:r>
      <w:r w:rsidRPr="0006669E">
        <w:rPr>
          <w:lang w:val="ro-RO"/>
        </w:rPr>
        <w:t>g</w:t>
      </w:r>
      <w:r w:rsidR="00FB74FB" w:rsidRPr="0006669E">
        <w:rPr>
          <w:lang w:val="ro-RO"/>
        </w:rPr>
        <w:t>u</w:t>
      </w:r>
      <w:r w:rsidRPr="0006669E">
        <w:rPr>
          <w:lang w:val="ro-RO"/>
        </w:rPr>
        <w:t>l</w:t>
      </w:r>
      <w:r w:rsidR="00FB74FB" w:rsidRPr="0006669E">
        <w:rPr>
          <w:lang w:val="ro-RO"/>
        </w:rPr>
        <w:t>a</w:t>
      </w:r>
      <w:r w:rsidRPr="0006669E">
        <w:rPr>
          <w:lang w:val="ro-RO"/>
        </w:rPr>
        <w:t>ment CE</w:t>
      </w:r>
      <w:r w:rsidR="00FB74FB" w:rsidRPr="0006669E">
        <w:rPr>
          <w:lang w:val="ro-RO"/>
        </w:rPr>
        <w:t>E-ONU”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“Regulament CEE-ONU” cu: “Regulament ONU”.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1.6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1.6.1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  <w:t>Se adaugă următoarea măsură tranzitorie nouă</w:t>
      </w:r>
      <w:r w:rsidR="00FB74FB" w:rsidRPr="0006669E">
        <w:rPr>
          <w:lang w:val="ro-RO"/>
        </w:rPr>
        <w:t>:</w:t>
      </w:r>
    </w:p>
    <w:p w:rsidR="001923AA" w:rsidRPr="0006669E" w:rsidRDefault="00FB74FB" w:rsidP="00863B45">
      <w:pPr>
        <w:pStyle w:val="SingleTxtG"/>
        <w:rPr>
          <w:lang w:val="ro-RO"/>
        </w:rPr>
      </w:pPr>
      <w:r w:rsidRPr="0006669E">
        <w:rPr>
          <w:lang w:val="ro-RO"/>
        </w:rPr>
        <w:t>“</w:t>
      </w:r>
      <w:r w:rsidR="001923AA" w:rsidRPr="0006669E">
        <w:rPr>
          <w:lang w:val="ro-RO"/>
        </w:rPr>
        <w:t>1.6.1.47</w:t>
      </w:r>
      <w:r w:rsidR="001923AA" w:rsidRPr="0006669E">
        <w:rPr>
          <w:lang w:val="ro-RO"/>
        </w:rPr>
        <w:tab/>
      </w:r>
      <w:r w:rsidR="007D637D" w:rsidRPr="0006669E">
        <w:rPr>
          <w:lang w:val="ro-RO"/>
        </w:rPr>
        <w:t>P</w:t>
      </w:r>
      <w:r w:rsidR="001923AA" w:rsidRPr="0006669E">
        <w:rPr>
          <w:lang w:val="ro-RO"/>
        </w:rPr>
        <w:t>ile</w:t>
      </w:r>
      <w:r w:rsidR="007D637D" w:rsidRPr="0006669E">
        <w:rPr>
          <w:lang w:val="ro-RO"/>
        </w:rPr>
        <w:t>le</w:t>
      </w:r>
      <w:r w:rsidR="004F6379" w:rsidRPr="0006669E">
        <w:rPr>
          <w:lang w:val="ro-RO"/>
        </w:rPr>
        <w:t xml:space="preserve"> și </w:t>
      </w:r>
      <w:r w:rsidR="001923AA" w:rsidRPr="0006669E">
        <w:rPr>
          <w:lang w:val="ro-RO"/>
        </w:rPr>
        <w:t>bateri</w:t>
      </w:r>
      <w:r w:rsidR="007D637D" w:rsidRPr="0006669E">
        <w:rPr>
          <w:lang w:val="ro-RO"/>
        </w:rPr>
        <w:t>il</w:t>
      </w:r>
      <w:r w:rsidR="001923AA" w:rsidRPr="0006669E">
        <w:rPr>
          <w:lang w:val="ro-RO"/>
        </w:rPr>
        <w:t xml:space="preserve">e </w:t>
      </w:r>
      <w:r w:rsidR="007D637D" w:rsidRPr="0006669E">
        <w:rPr>
          <w:lang w:val="ro-RO"/>
        </w:rPr>
        <w:t>cu</w:t>
      </w:r>
      <w:r w:rsidR="001923AA" w:rsidRPr="0006669E">
        <w:rPr>
          <w:lang w:val="ro-RO"/>
        </w:rPr>
        <w:t xml:space="preserve"> litiu</w:t>
      </w:r>
      <w:r w:rsidR="007D637D" w:rsidRPr="0006669E">
        <w:rPr>
          <w:lang w:val="ro-RO"/>
        </w:rPr>
        <w:t xml:space="preserve"> care nu corespund</w:t>
      </w:r>
      <w:r w:rsidR="001923AA" w:rsidRPr="0006669E">
        <w:rPr>
          <w:lang w:val="ro-RO"/>
        </w:rPr>
        <w:t xml:space="preserve"> prescrip</w:t>
      </w:r>
      <w:r w:rsidR="007D637D" w:rsidRPr="0006669E">
        <w:rPr>
          <w:lang w:val="ro-RO"/>
        </w:rPr>
        <w:t xml:space="preserve">țiilor </w:t>
      </w:r>
      <w:r w:rsidR="001923AA" w:rsidRPr="0006669E">
        <w:rPr>
          <w:lang w:val="ro-RO"/>
        </w:rPr>
        <w:t>d</w:t>
      </w:r>
      <w:r w:rsidR="007D637D" w:rsidRPr="0006669E">
        <w:rPr>
          <w:lang w:val="ro-RO"/>
        </w:rPr>
        <w:t>e la</w:t>
      </w:r>
      <w:r w:rsidR="001923AA" w:rsidRPr="0006669E">
        <w:rPr>
          <w:lang w:val="ro-RO"/>
        </w:rPr>
        <w:t xml:space="preserve"> 2.2.9.1.7 g) p</w:t>
      </w:r>
      <w:r w:rsidR="007D637D" w:rsidRPr="0006669E">
        <w:rPr>
          <w:lang w:val="ro-RO"/>
        </w:rPr>
        <w:t>ot fi în continuare</w:t>
      </w:r>
      <w:r w:rsidR="001923AA" w:rsidRPr="0006669E">
        <w:rPr>
          <w:lang w:val="ro-RO"/>
        </w:rPr>
        <w:t xml:space="preserve"> transport</w:t>
      </w:r>
      <w:r w:rsidR="007D637D" w:rsidRPr="0006669E">
        <w:rPr>
          <w:lang w:val="ro-RO"/>
        </w:rPr>
        <w:t>ate până la</w:t>
      </w:r>
      <w:r w:rsidR="001923AA" w:rsidRPr="0006669E">
        <w:rPr>
          <w:lang w:val="ro-RO"/>
        </w:rPr>
        <w:t xml:space="preserve"> 31 d</w:t>
      </w:r>
      <w:r w:rsidR="007D637D" w:rsidRPr="0006669E">
        <w:rPr>
          <w:lang w:val="ro-RO"/>
        </w:rPr>
        <w:t>e</w:t>
      </w:r>
      <w:r w:rsidR="001923AA" w:rsidRPr="0006669E">
        <w:rPr>
          <w:lang w:val="ro-RO"/>
        </w:rPr>
        <w:t>cembr</w:t>
      </w:r>
      <w:r w:rsidR="007D637D" w:rsidRPr="0006669E">
        <w:rPr>
          <w:lang w:val="ro-RO"/>
        </w:rPr>
        <w:t>i</w:t>
      </w:r>
      <w:r w:rsidR="001923AA" w:rsidRPr="0006669E">
        <w:rPr>
          <w:lang w:val="ro-RO"/>
        </w:rPr>
        <w:t>e</w:t>
      </w:r>
      <w:r w:rsidR="00863B45" w:rsidRPr="0006669E">
        <w:rPr>
          <w:lang w:val="ro-RO"/>
        </w:rPr>
        <w:t xml:space="preserve"> 2019.</w:t>
      </w:r>
      <w:r w:rsidR="007D637D" w:rsidRPr="0006669E">
        <w:rPr>
          <w:lang w:val="ro-RO"/>
        </w:rPr>
        <w:t>”</w:t>
      </w:r>
      <w:r w:rsidR="001923AA" w:rsidRPr="0006669E">
        <w:rPr>
          <w:lang w:val="ro-RO"/>
        </w:rPr>
        <w:t>.</w:t>
      </w:r>
    </w:p>
    <w:p w:rsidR="001923AA" w:rsidRPr="0006669E" w:rsidRDefault="001923AA" w:rsidP="00B7234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1.6.5.7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4F6379" w:rsidRPr="0006669E">
        <w:rPr>
          <w:lang w:val="ro-RO"/>
        </w:rPr>
        <w:t xml:space="preserve">prima frază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4F6379" w:rsidRPr="0006669E">
        <w:rPr>
          <w:lang w:val="ro-RO"/>
        </w:rPr>
        <w:t>a de subsol</w:t>
      </w:r>
      <w:r w:rsidRPr="0006669E">
        <w:rPr>
          <w:lang w:val="ro-RO"/>
        </w:rPr>
        <w:t xml:space="preserve"> </w:t>
      </w:r>
      <w:r w:rsidR="00FE5A99" w:rsidRPr="0006669E">
        <w:rPr>
          <w:lang w:val="ro-RO"/>
        </w:rPr>
        <w:t>coresp</w:t>
      </w:r>
      <w:r w:rsidR="004F6379" w:rsidRPr="0006669E">
        <w:rPr>
          <w:lang w:val="ro-RO"/>
        </w:rPr>
        <w:t>unzătoare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cu: “Regulamentul ONU”</w:t>
      </w:r>
      <w:r w:rsidRPr="0006669E">
        <w:rPr>
          <w:lang w:val="ro-RO"/>
        </w:rPr>
        <w:t>.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1.6.5.13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R</w:t>
      </w:r>
      <w:r w:rsidR="00FB74FB" w:rsidRPr="0006669E">
        <w:rPr>
          <w:lang w:val="ro-RO"/>
        </w:rPr>
        <w:t>e</w:t>
      </w:r>
      <w:r w:rsidRPr="0006669E">
        <w:rPr>
          <w:lang w:val="ro-RO"/>
        </w:rPr>
        <w:t>g</w:t>
      </w:r>
      <w:r w:rsidR="00FB74FB" w:rsidRPr="0006669E">
        <w:rPr>
          <w:lang w:val="ro-RO"/>
        </w:rPr>
        <w:t>u</w:t>
      </w:r>
      <w:r w:rsidRPr="0006669E">
        <w:rPr>
          <w:lang w:val="ro-RO"/>
        </w:rPr>
        <w:t>l</w:t>
      </w:r>
      <w:r w:rsidR="00FB74FB" w:rsidRPr="0006669E">
        <w:rPr>
          <w:lang w:val="ro-RO"/>
        </w:rPr>
        <w:t>a</w:t>
      </w:r>
      <w:r w:rsidRPr="0006669E">
        <w:rPr>
          <w:lang w:val="ro-RO"/>
        </w:rPr>
        <w:t>ment</w:t>
      </w:r>
      <w:r w:rsidR="00FB74FB" w:rsidRPr="0006669E">
        <w:rPr>
          <w:lang w:val="ro-RO"/>
        </w:rPr>
        <w:t>ul</w:t>
      </w:r>
      <w:r w:rsidRPr="0006669E">
        <w:rPr>
          <w:lang w:val="ro-RO"/>
        </w:rPr>
        <w:t xml:space="preserve"> CE</w:t>
      </w:r>
      <w:r w:rsidR="00FB74FB" w:rsidRPr="0006669E">
        <w:rPr>
          <w:lang w:val="ro-RO"/>
        </w:rPr>
        <w:t>E-ONU”</w:t>
      </w:r>
      <w:r w:rsidR="00C86BBD" w:rsidRPr="0006669E">
        <w:rPr>
          <w:lang w:val="ro-RO"/>
        </w:rPr>
        <w:t xml:space="preserve"> cu</w:t>
      </w:r>
      <w:r w:rsidR="00FB74FB" w:rsidRPr="0006669E">
        <w:rPr>
          <w:lang w:val="ro-RO"/>
        </w:rPr>
        <w:t>: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R</w:t>
      </w:r>
      <w:r w:rsidR="00FB74FB" w:rsidRPr="0006669E">
        <w:rPr>
          <w:lang w:val="ro-RO"/>
        </w:rPr>
        <w:t>e</w:t>
      </w:r>
      <w:r w:rsidRPr="0006669E">
        <w:rPr>
          <w:lang w:val="ro-RO"/>
        </w:rPr>
        <w:t>g</w:t>
      </w:r>
      <w:r w:rsidR="00FB74FB" w:rsidRPr="0006669E">
        <w:rPr>
          <w:lang w:val="ro-RO"/>
        </w:rPr>
        <w:t>u</w:t>
      </w:r>
      <w:r w:rsidRPr="0006669E">
        <w:rPr>
          <w:lang w:val="ro-RO"/>
        </w:rPr>
        <w:t>l</w:t>
      </w:r>
      <w:r w:rsidR="00FB74FB" w:rsidRPr="0006669E">
        <w:rPr>
          <w:lang w:val="ro-RO"/>
        </w:rPr>
        <w:t>a</w:t>
      </w:r>
      <w:r w:rsidRPr="0006669E">
        <w:rPr>
          <w:lang w:val="ro-RO"/>
        </w:rPr>
        <w:t>ment</w:t>
      </w:r>
      <w:r w:rsidR="00FB74FB" w:rsidRPr="0006669E">
        <w:rPr>
          <w:lang w:val="ro-RO"/>
        </w:rPr>
        <w:t>ul</w:t>
      </w:r>
      <w:r w:rsidRPr="0006669E">
        <w:rPr>
          <w:lang w:val="ro-RO"/>
        </w:rPr>
        <w:t xml:space="preserve"> ONU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1923AA" w:rsidP="00B7234A">
      <w:pPr>
        <w:pStyle w:val="SingleTxtG"/>
        <w:rPr>
          <w:lang w:val="ro-RO"/>
        </w:rPr>
      </w:pPr>
      <w:r w:rsidRPr="0006669E">
        <w:rPr>
          <w:lang w:val="ro-RO"/>
        </w:rPr>
        <w:t>1.6.5.16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“Regulamentul CEE-ONU” cu: “Regulamentul ONU”.</w:t>
      </w:r>
    </w:p>
    <w:p w:rsidR="004D4DA0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="004D4DA0" w:rsidRPr="0006669E">
        <w:rPr>
          <w:lang w:val="ro-RO"/>
        </w:rPr>
        <w:t xml:space="preserve"> 2.2</w:t>
      </w:r>
    </w:p>
    <w:p w:rsidR="004D4DA0" w:rsidRPr="0006669E" w:rsidRDefault="004D4DA0" w:rsidP="004D4DA0">
      <w:pPr>
        <w:pStyle w:val="SingleTxtG"/>
        <w:rPr>
          <w:lang w:val="ro-RO"/>
        </w:rPr>
      </w:pPr>
      <w:r w:rsidRPr="0006669E">
        <w:rPr>
          <w:lang w:val="ro-RO"/>
        </w:rPr>
        <w:t>2.2.9.2</w:t>
      </w: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E50256" w:rsidRPr="0006669E">
        <w:rPr>
          <w:lang w:val="ro-RO"/>
        </w:rPr>
        <w:t>La primul alineat, Se înlocuiește “dispozițiilor speciale 188, 230, 310 sau 636 din capitol 3.3” cu “dispozițiilor speciale 188, 230, 310, 636 sau 670 din capitol 3.3”.</w:t>
      </w:r>
    </w:p>
    <w:p w:rsidR="001923AA" w:rsidRPr="0006669E" w:rsidRDefault="004D4DA0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="001923AA" w:rsidRPr="0006669E">
        <w:rPr>
          <w:lang w:val="ro-RO"/>
        </w:rPr>
        <w:t xml:space="preserve"> 3.2</w:t>
      </w:r>
    </w:p>
    <w:p w:rsidR="001923AA" w:rsidRPr="0006669E" w:rsidRDefault="001923AA" w:rsidP="001923A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ro-RO"/>
        </w:rPr>
      </w:pPr>
      <w:r w:rsidRPr="0006669E">
        <w:rPr>
          <w:b/>
          <w:lang w:val="ro-RO"/>
        </w:rPr>
        <w:tab/>
      </w:r>
      <w:r w:rsidRPr="0006669E">
        <w:rPr>
          <w:b/>
          <w:lang w:val="ro-RO"/>
        </w:rPr>
        <w:tab/>
      </w:r>
      <w:r w:rsidR="00361536" w:rsidRPr="0006669E">
        <w:rPr>
          <w:b/>
          <w:lang w:val="ro-RO"/>
        </w:rPr>
        <w:t xml:space="preserve">3.2.1, </w:t>
      </w:r>
      <w:r w:rsidR="00C86BBD" w:rsidRPr="0006669E">
        <w:rPr>
          <w:b/>
          <w:lang w:val="ro-RO"/>
        </w:rPr>
        <w:t>tabelul</w:t>
      </w:r>
      <w:r w:rsidR="00361536" w:rsidRPr="0006669E">
        <w:rPr>
          <w:b/>
          <w:lang w:val="ro-RO"/>
        </w:rPr>
        <w:t xml:space="preserve"> </w:t>
      </w:r>
      <w:r w:rsidRPr="0006669E">
        <w:rPr>
          <w:b/>
          <w:lang w:val="ro-RO"/>
        </w:rPr>
        <w:t>A</w:t>
      </w:r>
    </w:p>
    <w:p w:rsidR="001923AA" w:rsidRPr="0006669E" w:rsidRDefault="00C86BBD" w:rsidP="00B7234A">
      <w:pPr>
        <w:pStyle w:val="SingleTxtG"/>
        <w:rPr>
          <w:lang w:val="ro-RO"/>
        </w:rPr>
      </w:pPr>
      <w:r w:rsidRPr="0006669E">
        <w:rPr>
          <w:lang w:val="ro-RO"/>
        </w:rPr>
        <w:t>Pentru</w:t>
      </w:r>
      <w:r w:rsidR="001923AA" w:rsidRPr="0006669E">
        <w:rPr>
          <w:lang w:val="ro-RO"/>
        </w:rPr>
        <w:t xml:space="preserve"> </w:t>
      </w:r>
      <w:r w:rsidR="004F6379" w:rsidRPr="0006669E">
        <w:rPr>
          <w:lang w:val="ro-RO"/>
        </w:rPr>
        <w:t xml:space="preserve">Nr. </w:t>
      </w:r>
      <w:r w:rsidRPr="0006669E">
        <w:rPr>
          <w:lang w:val="ro-RO"/>
        </w:rPr>
        <w:t>ONU</w:t>
      </w:r>
      <w:r w:rsidR="001923AA" w:rsidRPr="0006669E">
        <w:rPr>
          <w:lang w:val="ro-RO"/>
        </w:rPr>
        <w:t xml:space="preserve"> 1202, </w:t>
      </w:r>
      <w:r w:rsidR="004F6379" w:rsidRPr="0006669E">
        <w:rPr>
          <w:lang w:val="ro-RO"/>
        </w:rPr>
        <w:t>la cea de a doua rubrică</w:t>
      </w:r>
      <w:r w:rsidR="001923AA" w:rsidRPr="0006669E">
        <w:rPr>
          <w:lang w:val="ro-RO"/>
        </w:rPr>
        <w:t xml:space="preserve">, </w:t>
      </w:r>
      <w:r w:rsidRPr="0006669E">
        <w:rPr>
          <w:lang w:val="ro-RO"/>
        </w:rPr>
        <w:t>în</w:t>
      </w:r>
      <w:r w:rsidR="001923AA"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="001923AA" w:rsidRPr="0006669E">
        <w:rPr>
          <w:lang w:val="ro-RO"/>
        </w:rPr>
        <w:t xml:space="preserve"> (2), </w:t>
      </w:r>
      <w:r w:rsidR="00FB74FB" w:rsidRPr="0006669E">
        <w:rPr>
          <w:lang w:val="ro-RO"/>
        </w:rPr>
        <w:t>Se înlocuiește</w:t>
      </w:r>
      <w:r w:rsidR="001923AA" w:rsidRPr="0006669E">
        <w:rPr>
          <w:lang w:val="ro-RO"/>
        </w:rPr>
        <w:t xml:space="preserve"> </w:t>
      </w:r>
      <w:r w:rsidR="006E6068" w:rsidRPr="00421874">
        <w:rPr>
          <w:lang w:val="ro-RO"/>
        </w:rPr>
        <w:t>„</w:t>
      </w:r>
      <w:r w:rsidR="001923AA" w:rsidRPr="0006669E">
        <w:rPr>
          <w:lang w:val="ro-RO"/>
        </w:rPr>
        <w:t>EN 590:2013 + AC:2014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 cu </w:t>
      </w:r>
      <w:r w:rsidR="006E6068" w:rsidRPr="00421874">
        <w:rPr>
          <w:lang w:val="ro-RO"/>
        </w:rPr>
        <w:t>„</w:t>
      </w:r>
      <w:r w:rsidR="001923AA" w:rsidRPr="0006669E">
        <w:rPr>
          <w:lang w:val="ro-RO"/>
        </w:rPr>
        <w:t>EN 590:2013 + A1:2017</w:t>
      </w:r>
      <w:r w:rsidR="00FB74FB" w:rsidRPr="0006669E">
        <w:rPr>
          <w:lang w:val="ro-RO"/>
        </w:rPr>
        <w:t>”</w:t>
      </w:r>
      <w:r w:rsidR="00811076" w:rsidRPr="0006669E">
        <w:rPr>
          <w:lang w:val="ro-RO"/>
        </w:rPr>
        <w:t xml:space="preserve"> (</w:t>
      </w:r>
      <w:r w:rsidR="004F6379" w:rsidRPr="0006669E">
        <w:rPr>
          <w:lang w:val="ro-RO"/>
        </w:rPr>
        <w:t>de două ori</w:t>
      </w:r>
      <w:r w:rsidR="00811076" w:rsidRPr="0006669E">
        <w:rPr>
          <w:lang w:val="ro-RO"/>
        </w:rPr>
        <w:t>)</w:t>
      </w:r>
      <w:r w:rsidR="001923AA" w:rsidRPr="0006669E">
        <w:rPr>
          <w:lang w:val="ro-RO"/>
        </w:rPr>
        <w:t>.</w:t>
      </w:r>
    </w:p>
    <w:p w:rsidR="00863B45" w:rsidRPr="0006669E" w:rsidRDefault="00C86BBD" w:rsidP="00863B45">
      <w:pPr>
        <w:pStyle w:val="SingleTxtG"/>
        <w:rPr>
          <w:lang w:val="ro-RO"/>
        </w:rPr>
      </w:pPr>
      <w:r w:rsidRPr="0006669E">
        <w:rPr>
          <w:lang w:val="ro-RO"/>
        </w:rPr>
        <w:t>Pentru</w:t>
      </w:r>
      <w:r w:rsidR="004F6379" w:rsidRPr="0006669E">
        <w:rPr>
          <w:lang w:val="ro-RO"/>
        </w:rPr>
        <w:t xml:space="preserve"> </w:t>
      </w:r>
      <w:r w:rsidRPr="0006669E">
        <w:rPr>
          <w:lang w:val="ro-RO"/>
        </w:rPr>
        <w:t>Nr. ONU</w:t>
      </w:r>
      <w:r w:rsidR="00863B45" w:rsidRPr="0006669E">
        <w:rPr>
          <w:lang w:val="ro-RO"/>
        </w:rPr>
        <w:t xml:space="preserve"> 2031, </w:t>
      </w:r>
      <w:r w:rsidR="004F6379" w:rsidRPr="0006669E">
        <w:rPr>
          <w:lang w:val="ro-RO"/>
        </w:rPr>
        <w:t>la cea de a doua rubrică</w:t>
      </w:r>
      <w:r w:rsidR="00863B45" w:rsidRPr="0006669E">
        <w:rPr>
          <w:lang w:val="ro-RO"/>
        </w:rPr>
        <w:t xml:space="preserve">, </w:t>
      </w:r>
      <w:r w:rsidRPr="0006669E">
        <w:rPr>
          <w:lang w:val="ro-RO"/>
        </w:rPr>
        <w:t>în</w:t>
      </w:r>
      <w:r w:rsidR="00863B45"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="00863B45" w:rsidRPr="0006669E">
        <w:rPr>
          <w:lang w:val="ro-RO"/>
        </w:rPr>
        <w:t xml:space="preserve"> (18), </w:t>
      </w:r>
      <w:r w:rsidR="00FB74FB" w:rsidRPr="0006669E">
        <w:rPr>
          <w:lang w:val="ro-RO"/>
        </w:rPr>
        <w:t>se introduce:</w:t>
      </w:r>
      <w:r w:rsidR="00863B45" w:rsidRPr="0006669E">
        <w:rPr>
          <w:lang w:val="ro-RO"/>
        </w:rPr>
        <w:t xml:space="preserve"> </w:t>
      </w:r>
      <w:r w:rsidR="006E6068" w:rsidRPr="00421874">
        <w:rPr>
          <w:lang w:val="ro-RO"/>
        </w:rPr>
        <w:t>„</w:t>
      </w:r>
      <w:r w:rsidR="00863B45" w:rsidRPr="0006669E">
        <w:rPr>
          <w:lang w:val="ro-RO"/>
        </w:rPr>
        <w:t>CV24</w:t>
      </w:r>
      <w:r w:rsidR="00FB74FB" w:rsidRPr="0006669E">
        <w:rPr>
          <w:lang w:val="ro-RO"/>
        </w:rPr>
        <w:t>”</w:t>
      </w:r>
      <w:r w:rsidR="00863B45" w:rsidRPr="0006669E">
        <w:rPr>
          <w:lang w:val="ro-RO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4.1</w:t>
      </w:r>
    </w:p>
    <w:p w:rsidR="001923AA" w:rsidRPr="0006669E" w:rsidRDefault="00361536" w:rsidP="001923AA">
      <w:pPr>
        <w:pStyle w:val="SingleTxtG"/>
        <w:rPr>
          <w:lang w:val="ro-RO"/>
        </w:rPr>
      </w:pPr>
      <w:r w:rsidRPr="0006669E">
        <w:rPr>
          <w:lang w:val="ro-RO"/>
        </w:rPr>
        <w:t>4.1.1.21.6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Pentru</w:t>
      </w:r>
      <w:r w:rsidR="001923AA" w:rsidRPr="0006669E">
        <w:rPr>
          <w:lang w:val="ro-RO"/>
        </w:rPr>
        <w:t xml:space="preserve"> </w:t>
      </w:r>
      <w:r w:rsidR="00C86BBD" w:rsidRPr="0006669E">
        <w:rPr>
          <w:lang w:val="ro-RO"/>
        </w:rPr>
        <w:t>Nr. ONU</w:t>
      </w:r>
      <w:r w:rsidR="001923AA" w:rsidRPr="0006669E">
        <w:rPr>
          <w:lang w:val="ro-RO"/>
        </w:rPr>
        <w:t xml:space="preserve"> 1202, </w:t>
      </w:r>
      <w:r w:rsidR="004F6379" w:rsidRPr="0006669E">
        <w:rPr>
          <w:lang w:val="ro-RO"/>
        </w:rPr>
        <w:t>la prima și a patra rubrică</w:t>
      </w:r>
      <w:r w:rsidR="001923AA" w:rsidRPr="0006669E">
        <w:rPr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="001923AA"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="001923AA" w:rsidRPr="0006669E">
        <w:rPr>
          <w:lang w:val="ro-RO"/>
        </w:rPr>
        <w:t xml:space="preserve"> (2b), </w:t>
      </w:r>
      <w:r w:rsidR="00FB74FB" w:rsidRPr="0006669E">
        <w:rPr>
          <w:lang w:val="ro-RO"/>
        </w:rPr>
        <w:t>Se înlocuiește</w:t>
      </w:r>
      <w:r w:rsidR="001923AA" w:rsidRPr="0006669E">
        <w:rPr>
          <w:lang w:val="ro-RO"/>
        </w:rPr>
        <w:t xml:space="preserve"> </w:t>
      </w:r>
      <w:r w:rsidR="006E6068" w:rsidRPr="00421874">
        <w:rPr>
          <w:lang w:val="ro-RO"/>
        </w:rPr>
        <w:t>„</w:t>
      </w:r>
      <w:r w:rsidR="001923AA" w:rsidRPr="0006669E">
        <w:rPr>
          <w:lang w:val="ro-RO"/>
        </w:rPr>
        <w:t>EN 590:2013 + AC:2014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6E6068" w:rsidRPr="00421874">
        <w:rPr>
          <w:lang w:val="ro-RO"/>
        </w:rPr>
        <w:t>„</w:t>
      </w:r>
      <w:r w:rsidR="001923AA" w:rsidRPr="0006669E">
        <w:rPr>
          <w:lang w:val="ro-RO"/>
        </w:rPr>
        <w:t>EN 590:2013 + A1:2017</w:t>
      </w:r>
      <w:r w:rsidR="00FB74FB" w:rsidRPr="0006669E">
        <w:rPr>
          <w:lang w:val="ro-RO"/>
        </w:rPr>
        <w:t>”</w:t>
      </w:r>
      <w:r w:rsidR="001923AA" w:rsidRPr="0006669E">
        <w:rPr>
          <w:lang w:val="ro-RO"/>
        </w:rPr>
        <w:t>.</w:t>
      </w:r>
    </w:p>
    <w:p w:rsidR="001923AA" w:rsidRPr="0006669E" w:rsidRDefault="001923AA" w:rsidP="00B7234A">
      <w:pPr>
        <w:pStyle w:val="SingleTxtG"/>
        <w:rPr>
          <w:rStyle w:val="SingleTxtGChar"/>
          <w:lang w:val="ro-RO"/>
        </w:rPr>
      </w:pPr>
      <w:r w:rsidRPr="0006669E">
        <w:rPr>
          <w:lang w:val="ro-RO"/>
        </w:rPr>
        <w:t>4.1.6.8</w:t>
      </w: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pr</w:t>
      </w:r>
      <w:r w:rsidR="004F6379" w:rsidRPr="0006669E">
        <w:rPr>
          <w:lang w:val="ro-RO"/>
        </w:rPr>
        <w:t>i</w:t>
      </w:r>
      <w:r w:rsidRPr="0006669E">
        <w:rPr>
          <w:lang w:val="ro-RO"/>
        </w:rPr>
        <w:t>m</w:t>
      </w:r>
      <w:r w:rsidR="004F6379" w:rsidRPr="0006669E">
        <w:rPr>
          <w:lang w:val="ro-RO"/>
        </w:rPr>
        <w:t>a</w:t>
      </w:r>
      <w:r w:rsidRPr="0006669E">
        <w:rPr>
          <w:lang w:val="ro-RO"/>
        </w:rPr>
        <w:t xml:space="preserve"> </w:t>
      </w:r>
      <w:r w:rsidR="004F6379" w:rsidRPr="0006669E">
        <w:rPr>
          <w:lang w:val="ro-RO"/>
        </w:rPr>
        <w:t>f</w:t>
      </w:r>
      <w:r w:rsidRPr="0006669E">
        <w:rPr>
          <w:lang w:val="ro-RO"/>
        </w:rPr>
        <w:t>ra</w:t>
      </w:r>
      <w:r w:rsidR="004F6379" w:rsidRPr="0006669E">
        <w:rPr>
          <w:lang w:val="ro-RO"/>
        </w:rPr>
        <w:t>ză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după</w:t>
      </w:r>
      <w:r w:rsidRPr="0006669E">
        <w:rPr>
          <w:lang w:val="ro-RO"/>
        </w:rPr>
        <w:t xml:space="preserve"> </w:t>
      </w:r>
      <w:r w:rsidR="006E6068" w:rsidRPr="00421874">
        <w:rPr>
          <w:lang w:val="ro-RO"/>
        </w:rPr>
        <w:t>„</w:t>
      </w:r>
      <w:r w:rsidR="0006669E" w:rsidRPr="0006669E">
        <w:rPr>
          <w:lang w:val="ro-RO"/>
        </w:rPr>
        <w:t>Robinetele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introduce:</w:t>
      </w:r>
      <w:r w:rsidRPr="0006669E">
        <w:rPr>
          <w:lang w:val="ro-RO"/>
        </w:rPr>
        <w:t xml:space="preserve"> </w:t>
      </w:r>
      <w:r w:rsidR="006E6068" w:rsidRPr="00421874">
        <w:rPr>
          <w:lang w:val="ro-RO"/>
        </w:rPr>
        <w:t>„</w:t>
      </w:r>
      <w:r w:rsidR="0006669E" w:rsidRPr="0006669E">
        <w:rPr>
          <w:lang w:val="ro-RO"/>
        </w:rPr>
        <w:t xml:space="preserve"> și alte componente racordate la robinete care trebuie să rămână conectate în timpul transportului (de exemplu dispozitive de manipulare sau adaptoare)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4.3</w:t>
      </w:r>
    </w:p>
    <w:p w:rsidR="001923AA" w:rsidRPr="0006669E" w:rsidRDefault="001923AA" w:rsidP="001923AA">
      <w:pPr>
        <w:spacing w:before="120" w:after="120" w:line="240" w:lineRule="auto"/>
        <w:ind w:left="1134" w:right="1134"/>
        <w:jc w:val="both"/>
        <w:rPr>
          <w:lang w:val="ro-RO" w:eastAsia="en-GB"/>
        </w:rPr>
      </w:pPr>
      <w:r w:rsidRPr="0006669E">
        <w:rPr>
          <w:lang w:val="ro-RO" w:eastAsia="en-GB"/>
        </w:rPr>
        <w:t>4.3.2.2.1 c)</w:t>
      </w:r>
      <w:r w:rsidRPr="0006669E">
        <w:rPr>
          <w:lang w:val="ro-RO" w:eastAsia="en-GB"/>
        </w:rPr>
        <w:tab/>
      </w:r>
      <w:r w:rsidR="00FB74FB" w:rsidRPr="0006669E">
        <w:rPr>
          <w:lang w:val="ro-RO" w:eastAsia="en-GB"/>
        </w:rPr>
        <w:t>Se înlocuiește</w:t>
      </w:r>
      <w:r w:rsidRPr="0006669E">
        <w:rPr>
          <w:lang w:val="ro-RO" w:eastAsia="en-GB"/>
        </w:rPr>
        <w:t xml:space="preserve"> </w:t>
      </w:r>
      <w:r w:rsidR="006E6068" w:rsidRPr="00421874">
        <w:rPr>
          <w:lang w:val="ro-RO"/>
        </w:rPr>
        <w:t>„</w:t>
      </w:r>
      <w:r w:rsidR="0006669E" w:rsidRPr="0006669E">
        <w:rPr>
          <w:lang w:val="ro-RO"/>
        </w:rPr>
        <w:t>substanţele care prezintă un grad redus de corosivitate sau toxicitate</w:t>
      </w:r>
      <w:r w:rsidR="00FB74FB" w:rsidRPr="0006669E">
        <w:rPr>
          <w:lang w:val="ro-RO" w:eastAsia="en-GB"/>
        </w:rPr>
        <w:t>”</w:t>
      </w:r>
      <w:r w:rsidR="00C86BBD" w:rsidRPr="0006669E">
        <w:rPr>
          <w:lang w:val="ro-RO" w:eastAsia="en-GB"/>
        </w:rPr>
        <w:t xml:space="preserve"> cu </w:t>
      </w:r>
      <w:r w:rsidR="006E6068" w:rsidRPr="00421874">
        <w:rPr>
          <w:lang w:val="ro-RO"/>
        </w:rPr>
        <w:t>„</w:t>
      </w:r>
      <w:r w:rsidR="0006669E" w:rsidRPr="0006669E">
        <w:rPr>
          <w:lang w:val="ro-RO" w:eastAsia="en-GB"/>
        </w:rPr>
        <w:t>substanțele slab corosive sau toxice</w:t>
      </w:r>
      <w:r w:rsidR="00FB74FB" w:rsidRPr="0006669E">
        <w:rPr>
          <w:lang w:val="ro-RO" w:eastAsia="en-GB"/>
        </w:rPr>
        <w:t>”</w:t>
      </w:r>
      <w:r w:rsidR="00A344ED" w:rsidRPr="0006669E">
        <w:rPr>
          <w:lang w:val="ro-RO" w:eastAsia="en-GB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lastRenderedPageBreak/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5.2</w:t>
      </w:r>
    </w:p>
    <w:p w:rsidR="001923AA" w:rsidRPr="0006669E" w:rsidRDefault="001923AA" w:rsidP="001923A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5.2.1.5</w:t>
      </w:r>
      <w:r w:rsidRPr="0006669E">
        <w:rPr>
          <w:lang w:val="ro-RO"/>
        </w:rPr>
        <w:tab/>
      </w:r>
      <w:r w:rsidR="004F6379" w:rsidRPr="0006669E">
        <w:rPr>
          <w:lang w:val="ro-RO"/>
        </w:rPr>
        <w:t>Se modifică cea de a doua frază</w:t>
      </w:r>
      <w:r w:rsidR="00FB74FB" w:rsidRPr="0006669E">
        <w:rPr>
          <w:lang w:val="ro-RO"/>
        </w:rPr>
        <w:t>, după cum urmează:</w:t>
      </w:r>
    </w:p>
    <w:p w:rsidR="001923AA" w:rsidRPr="0006669E" w:rsidRDefault="00FB74FB" w:rsidP="006E6068">
      <w:pPr>
        <w:pStyle w:val="SingleTxtG"/>
        <w:rPr>
          <w:lang w:val="ro-RO"/>
        </w:rPr>
      </w:pPr>
      <w:r w:rsidRPr="0006669E">
        <w:rPr>
          <w:lang w:val="ro-RO"/>
        </w:rPr>
        <w:t>“</w:t>
      </w:r>
      <w:r w:rsidR="0006669E" w:rsidRPr="006E6068">
        <w:rPr>
          <w:lang w:val="ro-RO"/>
        </w:rPr>
        <w:t xml:space="preserve"> </w:t>
      </w:r>
      <w:r w:rsidR="0006669E" w:rsidRPr="0006669E">
        <w:rPr>
          <w:lang w:val="ro-RO"/>
        </w:rPr>
        <w:t xml:space="preserve">Marca </w:t>
      </w:r>
      <w:r w:rsidR="006E6068">
        <w:rPr>
          <w:lang w:val="ro-RO"/>
        </w:rPr>
        <w:t xml:space="preserve">trebuie să fie </w:t>
      </w:r>
      <w:r w:rsidR="0006669E" w:rsidRPr="0006669E">
        <w:rPr>
          <w:lang w:val="ro-RO"/>
        </w:rPr>
        <w:t xml:space="preserve">lizibilă și de neșters </w:t>
      </w:r>
      <w:r w:rsidR="006E6068">
        <w:rPr>
          <w:lang w:val="ro-RO"/>
        </w:rPr>
        <w:t xml:space="preserve">și </w:t>
      </w:r>
      <w:r w:rsidR="0006669E" w:rsidRPr="0006669E">
        <w:rPr>
          <w:lang w:val="ro-RO"/>
        </w:rPr>
        <w:t>trebuie să fie redactată într-una sau mai multe limbi dintre care una trebuie să fie francez</w:t>
      </w:r>
      <w:r w:rsidR="006E6068">
        <w:rPr>
          <w:lang w:val="ro-RO"/>
        </w:rPr>
        <w:t>a</w:t>
      </w:r>
      <w:r w:rsidR="0006669E" w:rsidRPr="0006669E">
        <w:rPr>
          <w:lang w:val="ro-RO"/>
        </w:rPr>
        <w:t>, german</w:t>
      </w:r>
      <w:r w:rsidR="006E6068">
        <w:rPr>
          <w:lang w:val="ro-RO"/>
        </w:rPr>
        <w:t>a</w:t>
      </w:r>
      <w:r w:rsidR="0006669E" w:rsidRPr="0006669E">
        <w:rPr>
          <w:lang w:val="ro-RO"/>
        </w:rPr>
        <w:t xml:space="preserve"> sau englez</w:t>
      </w:r>
      <w:r w:rsidR="006E6068">
        <w:rPr>
          <w:lang w:val="ro-RO"/>
        </w:rPr>
        <w:t>a</w:t>
      </w:r>
      <w:r w:rsidR="0006669E" w:rsidRPr="0006669E">
        <w:rPr>
          <w:lang w:val="ro-RO"/>
        </w:rPr>
        <w:t>, cu excepția cazului în care acordurile încheiate între țări</w:t>
      </w:r>
      <w:r w:rsidR="006E6068">
        <w:rPr>
          <w:lang w:val="ro-RO"/>
        </w:rPr>
        <w:t>le care privesc acest transport</w:t>
      </w:r>
      <w:r w:rsidR="0006669E" w:rsidRPr="0006669E">
        <w:rPr>
          <w:lang w:val="ro-RO"/>
        </w:rPr>
        <w:t xml:space="preserve"> </w:t>
      </w:r>
      <w:r w:rsidR="006E6068" w:rsidRPr="006E6068">
        <w:rPr>
          <w:lang w:val="ro-RO"/>
        </w:rPr>
        <w:t>nu dispun a</w:t>
      </w:r>
      <w:r w:rsidR="006E6068">
        <w:rPr>
          <w:lang w:val="ro-RO"/>
        </w:rPr>
        <w:t>ltfel</w:t>
      </w:r>
      <w:r w:rsidR="00B12E3B" w:rsidRPr="0006669E">
        <w:rPr>
          <w:lang w:val="ro-RO"/>
        </w:rPr>
        <w:t>.</w:t>
      </w:r>
      <w:r w:rsidRPr="0006669E">
        <w:rPr>
          <w:lang w:val="ro-RO"/>
        </w:rPr>
        <w:t>”</w:t>
      </w:r>
      <w:r w:rsidR="001923AA" w:rsidRPr="0006669E">
        <w:rPr>
          <w:lang w:val="ro-RO"/>
        </w:rPr>
        <w:t>.</w:t>
      </w:r>
    </w:p>
    <w:p w:rsidR="00887D85" w:rsidRPr="00784394" w:rsidRDefault="00887D85" w:rsidP="009B7198">
      <w:pPr>
        <w:pStyle w:val="SingleTxtG"/>
        <w:rPr>
          <w:lang w:val="ro-RO"/>
        </w:rPr>
      </w:pPr>
      <w:r w:rsidRPr="0006669E">
        <w:rPr>
          <w:rStyle w:val="SingleTxtGChar"/>
          <w:lang w:val="ro-RO"/>
        </w:rPr>
        <w:t>5.2.2.2.1</w:t>
      </w:r>
      <w:r w:rsidRPr="00784394">
        <w:rPr>
          <w:rStyle w:val="SingleTxtGChar"/>
          <w:lang w:val="ro-RO"/>
        </w:rPr>
        <w:t>.6 d)</w:t>
      </w:r>
      <w:r w:rsidR="009B7198" w:rsidRPr="00784394">
        <w:rPr>
          <w:rStyle w:val="SingleTxtGChar"/>
          <w:lang w:val="ro-RO"/>
        </w:rPr>
        <w:tab/>
      </w:r>
      <w:r w:rsidR="00FB74FB" w:rsidRPr="00784394">
        <w:rPr>
          <w:lang w:val="ro-RO"/>
        </w:rPr>
        <w:t>Se înlocuiește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“</w:t>
      </w:r>
      <w:r w:rsidR="006E6068" w:rsidRPr="00784394">
        <w:rPr>
          <w:lang w:val="ro-RO"/>
        </w:rPr>
        <w:t>cu</w:t>
      </w:r>
      <w:r w:rsidRPr="00784394">
        <w:rPr>
          <w:lang w:val="ro-RO"/>
        </w:rPr>
        <w:t xml:space="preserve"> gaz </w:t>
      </w:r>
      <w:r w:rsidR="006E6068" w:rsidRPr="00784394">
        <w:rPr>
          <w:lang w:val="ro-RO"/>
        </w:rPr>
        <w:t>pentru</w:t>
      </w:r>
      <w:r w:rsidRPr="00784394">
        <w:rPr>
          <w:lang w:val="ro-RO"/>
        </w:rPr>
        <w:t xml:space="preserve"> N</w:t>
      </w:r>
      <w:r w:rsidR="00FB74FB" w:rsidRPr="00784394">
        <w:rPr>
          <w:lang w:val="ro-RO"/>
        </w:rPr>
        <w:t>r.</w:t>
      </w:r>
      <w:r w:rsidRPr="00784394">
        <w:rPr>
          <w:lang w:val="ro-RO"/>
        </w:rPr>
        <w:t xml:space="preserve"> ONU 1011, 1075, 1965</w:t>
      </w:r>
      <w:r w:rsidR="004F6379" w:rsidRPr="00784394">
        <w:rPr>
          <w:lang w:val="ro-RO"/>
        </w:rPr>
        <w:t xml:space="preserve"> și </w:t>
      </w:r>
      <w:r w:rsidRPr="00784394">
        <w:rPr>
          <w:lang w:val="ro-RO"/>
        </w:rPr>
        <w:t>1978</w:t>
      </w:r>
      <w:r w:rsidR="00FB74FB" w:rsidRPr="00784394">
        <w:rPr>
          <w:lang w:val="ro-RO"/>
        </w:rPr>
        <w:t>”</w:t>
      </w:r>
      <w:r w:rsidR="00C86BBD" w:rsidRPr="00784394">
        <w:rPr>
          <w:lang w:val="ro-RO"/>
        </w:rPr>
        <w:t xml:space="preserve"> cu </w:t>
      </w:r>
      <w:r w:rsidR="00FB74FB" w:rsidRPr="00784394">
        <w:rPr>
          <w:lang w:val="ro-RO"/>
        </w:rPr>
        <w:t>“</w:t>
      </w:r>
      <w:r w:rsidR="006E6068" w:rsidRPr="00784394">
        <w:rPr>
          <w:lang w:val="ro-RO"/>
        </w:rPr>
        <w:t>cu</w:t>
      </w:r>
      <w:r w:rsidRPr="00784394">
        <w:rPr>
          <w:lang w:val="ro-RO"/>
        </w:rPr>
        <w:t xml:space="preserve"> gaz</w:t>
      </w:r>
      <w:r w:rsidR="006E6068" w:rsidRPr="00784394">
        <w:rPr>
          <w:lang w:val="ro-RO"/>
        </w:rPr>
        <w:t>e</w:t>
      </w:r>
      <w:r w:rsidRPr="00784394">
        <w:rPr>
          <w:lang w:val="ro-RO"/>
        </w:rPr>
        <w:t xml:space="preserve"> </w:t>
      </w:r>
      <w:r w:rsidR="006E6068" w:rsidRPr="00784394">
        <w:rPr>
          <w:lang w:val="ro-RO"/>
        </w:rPr>
        <w:t>petroliere lichefiate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>.</w:t>
      </w:r>
    </w:p>
    <w:p w:rsidR="001923AA" w:rsidRPr="00784394" w:rsidRDefault="001923AA" w:rsidP="0008534C">
      <w:pPr>
        <w:pStyle w:val="H1G"/>
        <w:rPr>
          <w:lang w:val="ro-RO"/>
        </w:rPr>
      </w:pPr>
      <w:r w:rsidRPr="00784394">
        <w:rPr>
          <w:lang w:val="ro-RO"/>
        </w:rPr>
        <w:tab/>
      </w:r>
      <w:r w:rsidRPr="00784394">
        <w:rPr>
          <w:lang w:val="ro-RO"/>
        </w:rPr>
        <w:tab/>
      </w:r>
      <w:r w:rsidR="00C86BBD" w:rsidRPr="00784394">
        <w:rPr>
          <w:lang w:val="ro-RO"/>
        </w:rPr>
        <w:t>Capitolul</w:t>
      </w:r>
      <w:r w:rsidRPr="00784394">
        <w:rPr>
          <w:lang w:val="ro-RO"/>
        </w:rPr>
        <w:t xml:space="preserve"> 5.3</w:t>
      </w:r>
    </w:p>
    <w:p w:rsidR="001923AA" w:rsidRPr="00784394" w:rsidRDefault="001923AA" w:rsidP="001923AA">
      <w:pPr>
        <w:pStyle w:val="SingleTxtG"/>
        <w:rPr>
          <w:lang w:val="ro-RO"/>
        </w:rPr>
      </w:pPr>
      <w:r w:rsidRPr="00784394">
        <w:rPr>
          <w:lang w:val="ro-RO"/>
        </w:rPr>
        <w:t>5.3.1.7.1</w:t>
      </w:r>
      <w:r w:rsidRPr="00784394">
        <w:rPr>
          <w:lang w:val="ro-RO"/>
        </w:rPr>
        <w:tab/>
      </w:r>
      <w:r w:rsidR="008B543D" w:rsidRPr="00784394">
        <w:rPr>
          <w:lang w:val="ro-RO"/>
        </w:rPr>
        <w:t xml:space="preserve">În cel de al doilea </w:t>
      </w:r>
      <w:r w:rsidRPr="00784394">
        <w:rPr>
          <w:lang w:val="ro-RO"/>
        </w:rPr>
        <w:t>paragra</w:t>
      </w:r>
      <w:r w:rsidR="008B543D" w:rsidRPr="00784394">
        <w:rPr>
          <w:lang w:val="ro-RO"/>
        </w:rPr>
        <w:t>f</w:t>
      </w:r>
      <w:r w:rsidRPr="00784394">
        <w:rPr>
          <w:lang w:val="ro-RO"/>
        </w:rPr>
        <w:t xml:space="preserve">, </w:t>
      </w:r>
      <w:r w:rsidR="008B543D" w:rsidRPr="00784394">
        <w:rPr>
          <w:lang w:val="ro-RO"/>
        </w:rPr>
        <w:t>s</w:t>
      </w:r>
      <w:r w:rsidR="00FB74FB" w:rsidRPr="00784394">
        <w:rPr>
          <w:lang w:val="ro-RO"/>
        </w:rPr>
        <w:t>e înlocuiește</w:t>
      </w:r>
      <w:r w:rsidRPr="00784394">
        <w:rPr>
          <w:lang w:val="ro-RO"/>
        </w:rPr>
        <w:t xml:space="preserve"> </w:t>
      </w:r>
      <w:r w:rsidR="00AF4FE3" w:rsidRPr="00784394">
        <w:rPr>
          <w:lang w:val="ro-RO"/>
        </w:rPr>
        <w:t>„</w:t>
      </w:r>
      <w:r w:rsidR="008B543D" w:rsidRPr="00784394">
        <w:rPr>
          <w:lang w:val="ro-RO"/>
        </w:rPr>
        <w:t>prevăzut la paragraful 5.2.2.2</w:t>
      </w:r>
      <w:r w:rsidR="00FB74FB" w:rsidRPr="00784394">
        <w:rPr>
          <w:lang w:val="ro-RO"/>
        </w:rPr>
        <w:t>”</w:t>
      </w:r>
      <w:r w:rsidR="00C86BBD" w:rsidRPr="00784394">
        <w:rPr>
          <w:lang w:val="ro-RO"/>
        </w:rPr>
        <w:t xml:space="preserve"> cu</w:t>
      </w:r>
      <w:r w:rsidR="00FB74FB" w:rsidRPr="00784394">
        <w:rPr>
          <w:lang w:val="ro-RO"/>
        </w:rPr>
        <w:t>:</w:t>
      </w:r>
      <w:r w:rsidRPr="00784394">
        <w:rPr>
          <w:lang w:val="ro-RO"/>
        </w:rPr>
        <w:t xml:space="preserve"> </w:t>
      </w:r>
      <w:r w:rsidR="00AF4FE3" w:rsidRPr="00784394">
        <w:rPr>
          <w:lang w:val="ro-RO"/>
        </w:rPr>
        <w:t>„</w:t>
      </w:r>
      <w:r w:rsidR="00AB0CC6" w:rsidRPr="00784394">
        <w:rPr>
          <w:lang w:val="ro-RO"/>
        </w:rPr>
        <w:t>prevăzut la 5.2.2.2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>.</w:t>
      </w:r>
    </w:p>
    <w:p w:rsidR="001923AA" w:rsidRPr="00784394" w:rsidRDefault="001923AA" w:rsidP="00B7234A">
      <w:pPr>
        <w:pStyle w:val="SingleTxtG"/>
        <w:rPr>
          <w:lang w:val="ro-RO"/>
        </w:rPr>
      </w:pPr>
      <w:r w:rsidRPr="00784394">
        <w:rPr>
          <w:lang w:val="ro-RO"/>
        </w:rPr>
        <w:t>5.3.1.7.1</w:t>
      </w:r>
      <w:r w:rsidRPr="00784394">
        <w:rPr>
          <w:lang w:val="ro-RO"/>
        </w:rPr>
        <w:tab/>
      </w:r>
      <w:r w:rsidR="00AB0CC6" w:rsidRPr="00784394">
        <w:rPr>
          <w:lang w:val="ro-RO"/>
        </w:rPr>
        <w:t>La sfârșit, se adaugă</w:t>
      </w:r>
      <w:r w:rsidRPr="00784394">
        <w:rPr>
          <w:lang w:val="ro-RO"/>
        </w:rPr>
        <w:t xml:space="preserve"> </w:t>
      </w:r>
      <w:r w:rsidR="00AB0CC6" w:rsidRPr="00784394">
        <w:rPr>
          <w:lang w:val="ro-RO"/>
        </w:rPr>
        <w:t>f</w:t>
      </w:r>
      <w:r w:rsidRPr="00784394">
        <w:rPr>
          <w:lang w:val="ro-RO"/>
        </w:rPr>
        <w:t>ra</w:t>
      </w:r>
      <w:r w:rsidR="00AB0CC6" w:rsidRPr="00784394">
        <w:rPr>
          <w:lang w:val="ro-RO"/>
        </w:rPr>
        <w:t>za, următoare:</w:t>
      </w:r>
      <w:r w:rsidRPr="00784394">
        <w:rPr>
          <w:lang w:val="ro-RO"/>
        </w:rPr>
        <w:t xml:space="preserve"> </w:t>
      </w:r>
      <w:r w:rsidR="00AF4FE3" w:rsidRPr="00784394">
        <w:rPr>
          <w:lang w:val="ro-RO"/>
        </w:rPr>
        <w:t>„</w:t>
      </w:r>
      <w:r w:rsidR="00AB0CC6" w:rsidRPr="00784394">
        <w:rPr>
          <w:lang w:val="ro-RO"/>
        </w:rPr>
        <w:t>Variațiile menționate în cea de a doua frază de la 5.2.2.2.1, cea de a treia frază de la 5.2.2.2.1.3 și în 5.2.2.2.1.5 pentru etichetele de pericol, se aplică, de asemenea,</w:t>
      </w:r>
      <w:r w:rsidR="00A307D5">
        <w:rPr>
          <w:lang w:val="ro-RO"/>
        </w:rPr>
        <w:t xml:space="preserve"> plă</w:t>
      </w:r>
      <w:r w:rsidR="00AB0CC6" w:rsidRPr="00784394">
        <w:rPr>
          <w:lang w:val="ro-RO"/>
        </w:rPr>
        <w:t>cilor-etichete.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>.</w:t>
      </w:r>
    </w:p>
    <w:p w:rsidR="009B7198" w:rsidRPr="00784394" w:rsidRDefault="009B7198" w:rsidP="009B7198">
      <w:pPr>
        <w:spacing w:after="120"/>
        <w:ind w:left="1134" w:right="1134"/>
        <w:jc w:val="both"/>
        <w:rPr>
          <w:iCs/>
          <w:highlight w:val="yellow"/>
          <w:lang w:val="ro-RO"/>
        </w:rPr>
      </w:pPr>
      <w:r w:rsidRPr="00784394">
        <w:rPr>
          <w:iCs/>
          <w:lang w:val="ro-RO"/>
        </w:rPr>
        <w:t>5.3.2.3.2</w:t>
      </w:r>
      <w:r w:rsidRPr="00784394">
        <w:rPr>
          <w:iCs/>
          <w:lang w:val="ro-RO"/>
        </w:rPr>
        <w:tab/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num</w:t>
      </w:r>
      <w:r w:rsidR="00AB0CC6" w:rsidRPr="00784394">
        <w:rPr>
          <w:lang w:val="ro-RO"/>
        </w:rPr>
        <w:t xml:space="preserve">erele de identificare a pericolelor 36, 60, 69, se înlocuiește </w:t>
      </w:r>
      <w:r w:rsidR="00AF4FE3" w:rsidRPr="00784394">
        <w:rPr>
          <w:lang w:val="ro-RO"/>
        </w:rPr>
        <w:t xml:space="preserve">„care prezintă un grad minor de toxicitate </w:t>
      </w:r>
      <w:r w:rsidR="00AB0CC6" w:rsidRPr="00784394">
        <w:rPr>
          <w:lang w:val="ro-RO"/>
        </w:rPr>
        <w:t xml:space="preserve">" sau </w:t>
      </w:r>
      <w:r w:rsidR="00AF4FE3" w:rsidRPr="00784394">
        <w:rPr>
          <w:lang w:val="ro-RO"/>
        </w:rPr>
        <w:t>„slab toxică”.</w:t>
      </w:r>
      <w:r w:rsidR="00A07D75">
        <w:rPr>
          <w:lang w:val="ro-RO"/>
        </w:rPr>
        <w:t xml:space="preserve"> </w:t>
      </w:r>
      <w:r w:rsidR="00AF4FE3" w:rsidRPr="00784394">
        <w:rPr>
          <w:lang w:val="ro-RO"/>
        </w:rPr>
        <w:t xml:space="preserve">Pentru numărul de identificare a pericolelor 38, se înlocuiește „care prezintă un grad mic de corosivitate” cu „slab corosivă”, iar pentru numerele de identificare a pericolelor </w:t>
      </w:r>
      <w:r w:rsidRPr="00784394">
        <w:rPr>
          <w:lang w:val="ro-RO"/>
        </w:rPr>
        <w:t>80, X80, 83, X83, 839, X839, 85, 856, 86</w:t>
      </w:r>
      <w:r w:rsidR="004F6379" w:rsidRPr="00784394">
        <w:rPr>
          <w:lang w:val="ro-RO"/>
        </w:rPr>
        <w:t xml:space="preserve"> și </w:t>
      </w:r>
      <w:r w:rsidRPr="00784394">
        <w:rPr>
          <w:lang w:val="ro-RO"/>
        </w:rPr>
        <w:t xml:space="preserve">89, </w:t>
      </w:r>
      <w:r w:rsidR="00AF4FE3" w:rsidRPr="00784394">
        <w:rPr>
          <w:lang w:val="ro-RO"/>
        </w:rPr>
        <w:t>s</w:t>
      </w:r>
      <w:r w:rsidR="00FB74FB" w:rsidRPr="00784394">
        <w:rPr>
          <w:lang w:val="ro-RO"/>
        </w:rPr>
        <w:t>e înlocuiește</w:t>
      </w:r>
      <w:r w:rsidRPr="00784394">
        <w:rPr>
          <w:lang w:val="ro-RO"/>
        </w:rPr>
        <w:t xml:space="preserve"> </w:t>
      </w:r>
      <w:r w:rsidR="00AF4FE3" w:rsidRPr="00784394">
        <w:rPr>
          <w:lang w:val="ro-RO"/>
        </w:rPr>
        <w:t>„care prezintă un grad minor de corosivitate” cu „slab corosivă”</w:t>
      </w:r>
      <w:r w:rsidRPr="00784394">
        <w:rPr>
          <w:lang w:val="ro-RO"/>
        </w:rPr>
        <w:t>.</w:t>
      </w:r>
    </w:p>
    <w:p w:rsidR="001923AA" w:rsidRPr="00784394" w:rsidRDefault="001923AA" w:rsidP="001923AA">
      <w:pPr>
        <w:pStyle w:val="SingleTxtG"/>
        <w:rPr>
          <w:lang w:val="ro-RO"/>
        </w:rPr>
      </w:pPr>
      <w:r w:rsidRPr="00784394">
        <w:rPr>
          <w:lang w:val="ro-RO"/>
        </w:rPr>
        <w:t>5.3.3</w:t>
      </w:r>
      <w:r w:rsidRPr="00784394">
        <w:rPr>
          <w:lang w:val="ro-RO"/>
        </w:rPr>
        <w:tab/>
      </w:r>
      <w:r w:rsidR="00037A39" w:rsidRPr="00784394">
        <w:rPr>
          <w:lang w:val="ro-RO"/>
        </w:rPr>
        <w:tab/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cea de a doua f</w:t>
      </w:r>
      <w:r w:rsidRPr="00784394">
        <w:rPr>
          <w:lang w:val="ro-RO"/>
        </w:rPr>
        <w:t>ra</w:t>
      </w:r>
      <w:r w:rsidR="00CF684D" w:rsidRPr="00784394">
        <w:rPr>
          <w:lang w:val="ro-RO"/>
        </w:rPr>
        <w:t>ză a celui de al doilea paragraf</w:t>
      </w:r>
      <w:r w:rsidRPr="00784394">
        <w:rPr>
          <w:lang w:val="ro-RO"/>
        </w:rPr>
        <w:t xml:space="preserve">, </w:t>
      </w:r>
      <w:r w:rsidR="00CF684D" w:rsidRPr="00784394">
        <w:rPr>
          <w:lang w:val="ro-RO"/>
        </w:rPr>
        <w:t>s</w:t>
      </w:r>
      <w:r w:rsidR="00FB74FB" w:rsidRPr="00784394">
        <w:rPr>
          <w:lang w:val="ro-RO"/>
        </w:rPr>
        <w:t>e înlocuiește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“</w:t>
      </w:r>
      <w:r w:rsidR="00CF684D" w:rsidRPr="00784394">
        <w:rPr>
          <w:lang w:val="ro-RO"/>
        </w:rPr>
        <w:t>El</w:t>
      </w:r>
      <w:r w:rsidR="00FB74FB" w:rsidRPr="00784394">
        <w:rPr>
          <w:lang w:val="ro-RO"/>
        </w:rPr>
        <w:t>”</w:t>
      </w:r>
      <w:r w:rsidR="00C86BBD" w:rsidRPr="00784394">
        <w:rPr>
          <w:lang w:val="ro-RO"/>
        </w:rPr>
        <w:t xml:space="preserve"> cu</w:t>
      </w:r>
      <w:r w:rsidR="00FB74FB" w:rsidRPr="00784394">
        <w:rPr>
          <w:lang w:val="ro-RO"/>
        </w:rPr>
        <w:t>: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“</w:t>
      </w:r>
      <w:r w:rsidR="00CF684D" w:rsidRPr="00784394">
        <w:rPr>
          <w:lang w:val="ro-RO"/>
        </w:rPr>
        <w:t>Aceasta</w:t>
      </w:r>
      <w:r w:rsidRPr="00784394">
        <w:rPr>
          <w:lang w:val="ro-RO"/>
        </w:rPr>
        <w:t>».</w:t>
      </w:r>
    </w:p>
    <w:p w:rsidR="001923AA" w:rsidRPr="00784394" w:rsidRDefault="001923AA" w:rsidP="0008534C">
      <w:pPr>
        <w:pStyle w:val="H1G"/>
        <w:rPr>
          <w:lang w:val="ro-RO"/>
        </w:rPr>
      </w:pPr>
      <w:r w:rsidRPr="00784394">
        <w:rPr>
          <w:lang w:val="ro-RO"/>
        </w:rPr>
        <w:tab/>
      </w:r>
      <w:r w:rsidRPr="00784394">
        <w:rPr>
          <w:lang w:val="ro-RO"/>
        </w:rPr>
        <w:tab/>
      </w:r>
      <w:r w:rsidR="00C86BBD" w:rsidRPr="00784394">
        <w:rPr>
          <w:lang w:val="ro-RO"/>
        </w:rPr>
        <w:t>Capitolul</w:t>
      </w:r>
      <w:r w:rsidRPr="00784394">
        <w:rPr>
          <w:lang w:val="ro-RO"/>
        </w:rPr>
        <w:t xml:space="preserve"> 6.2</w:t>
      </w:r>
    </w:p>
    <w:p w:rsidR="00C76152" w:rsidRPr="00784394" w:rsidRDefault="00C76152" w:rsidP="00C76152">
      <w:pPr>
        <w:pStyle w:val="SingleTxtG"/>
        <w:tabs>
          <w:tab w:val="left" w:pos="2268"/>
        </w:tabs>
        <w:rPr>
          <w:lang w:val="ro-RO"/>
        </w:rPr>
      </w:pPr>
      <w:r w:rsidRPr="00784394">
        <w:rPr>
          <w:lang w:val="ro-RO"/>
        </w:rPr>
        <w:t>6.2.4.1</w:t>
      </w:r>
      <w:r w:rsidRPr="00784394">
        <w:rPr>
          <w:lang w:val="ro-RO"/>
        </w:rPr>
        <w:tab/>
      </w:r>
      <w:r w:rsidRPr="00784394">
        <w:rPr>
          <w:lang w:val="ro-RO"/>
        </w:rPr>
        <w:tab/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C86BBD" w:rsidRPr="00784394">
        <w:rPr>
          <w:lang w:val="ro-RO"/>
        </w:rPr>
        <w:t>tabel</w:t>
      </w:r>
      <w:r w:rsidRPr="00784394">
        <w:rPr>
          <w:lang w:val="ro-RO"/>
        </w:rPr>
        <w:t>, su</w:t>
      </w:r>
      <w:r w:rsidR="00CF684D" w:rsidRPr="00784394">
        <w:rPr>
          <w:lang w:val="ro-RO"/>
        </w:rPr>
        <w:t>b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la concep</w:t>
      </w:r>
      <w:r w:rsidR="00CF684D" w:rsidRPr="00784394">
        <w:rPr>
          <w:lang w:val="ro-RO"/>
        </w:rPr>
        <w:t>ție și construcție</w:t>
      </w:r>
      <w:r w:rsidR="00FB74FB" w:rsidRPr="00784394">
        <w:rPr>
          <w:lang w:val="ro-RO"/>
        </w:rPr>
        <w:t>”:</w:t>
      </w:r>
    </w:p>
    <w:p w:rsidR="00C76152" w:rsidRPr="00784394" w:rsidRDefault="00C76152" w:rsidP="00C76152">
      <w:pPr>
        <w:pStyle w:val="SingleTxtG"/>
        <w:rPr>
          <w:lang w:val="ro-RO"/>
        </w:rPr>
      </w:pPr>
      <w:r w:rsidRPr="00784394">
        <w:rPr>
          <w:lang w:val="ro-RO"/>
        </w:rPr>
        <w:t>–</w:t>
      </w:r>
      <w:r w:rsidRPr="00784394">
        <w:rPr>
          <w:lang w:val="ro-RO"/>
        </w:rPr>
        <w:tab/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standardul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Pr="00784394">
        <w:rPr>
          <w:lang w:val="ro-RO"/>
        </w:rPr>
        <w:t>EN 1442:2006 + A1:2008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 xml:space="preserve">, </w:t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coloana</w:t>
      </w:r>
      <w:r w:rsidRPr="00784394">
        <w:rPr>
          <w:lang w:val="ro-RO"/>
        </w:rPr>
        <w:t xml:space="preserve"> (4), </w:t>
      </w:r>
      <w:r w:rsidR="00FB74FB" w:rsidRPr="00784394">
        <w:rPr>
          <w:lang w:val="ro-RO"/>
        </w:rPr>
        <w:t>Se înlocuiește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="00CF684D" w:rsidRPr="00784394">
        <w:rPr>
          <w:snapToGrid w:val="0"/>
          <w:lang w:val="ro-RO"/>
        </w:rPr>
        <w:t>Până la o notificare ulterioară</w:t>
      </w:r>
      <w:r w:rsidR="00FB74FB" w:rsidRPr="00784394">
        <w:rPr>
          <w:lang w:val="ro-RO"/>
        </w:rPr>
        <w:t>”</w:t>
      </w:r>
      <w:r w:rsidR="00C86BBD" w:rsidRPr="00784394">
        <w:rPr>
          <w:lang w:val="ro-RO"/>
        </w:rPr>
        <w:t xml:space="preserve"> cu</w:t>
      </w:r>
      <w:r w:rsidR="00FB74FB" w:rsidRPr="00784394">
        <w:rPr>
          <w:lang w:val="ro-RO"/>
        </w:rPr>
        <w:t>: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„Între 1ianuarie</w:t>
      </w:r>
      <w:r w:rsidRPr="00784394">
        <w:rPr>
          <w:lang w:val="ro-RO"/>
        </w:rPr>
        <w:t xml:space="preserve"> 2009</w:t>
      </w:r>
      <w:r w:rsidR="004F6379" w:rsidRPr="00784394">
        <w:rPr>
          <w:lang w:val="ro-RO"/>
        </w:rPr>
        <w:t xml:space="preserve"> și </w:t>
      </w:r>
      <w:r w:rsidRPr="00784394">
        <w:rPr>
          <w:lang w:val="ro-RO"/>
        </w:rPr>
        <w:t>31 d</w:t>
      </w:r>
      <w:r w:rsidR="00CF684D" w:rsidRPr="00784394">
        <w:rPr>
          <w:lang w:val="ro-RO"/>
        </w:rPr>
        <w:t>e</w:t>
      </w:r>
      <w:r w:rsidRPr="00784394">
        <w:rPr>
          <w:lang w:val="ro-RO"/>
        </w:rPr>
        <w:t>cembr</w:t>
      </w:r>
      <w:r w:rsidR="00CF684D" w:rsidRPr="00784394">
        <w:rPr>
          <w:lang w:val="ro-RO"/>
        </w:rPr>
        <w:t>i</w:t>
      </w:r>
      <w:r w:rsidRPr="00784394">
        <w:rPr>
          <w:lang w:val="ro-RO"/>
        </w:rPr>
        <w:t>e 2020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>.</w:t>
      </w:r>
    </w:p>
    <w:p w:rsidR="00C76152" w:rsidRPr="00784394" w:rsidRDefault="00C76152" w:rsidP="00C76152">
      <w:pPr>
        <w:pStyle w:val="SingleTxtG"/>
        <w:rPr>
          <w:lang w:val="ro-RO"/>
        </w:rPr>
      </w:pPr>
      <w:r w:rsidRPr="00784394">
        <w:rPr>
          <w:lang w:val="ro-RO"/>
        </w:rPr>
        <w:t>–</w:t>
      </w:r>
      <w:r w:rsidRPr="00784394">
        <w:rPr>
          <w:lang w:val="ro-RO"/>
        </w:rPr>
        <w:tab/>
      </w:r>
      <w:r w:rsidR="00FB74FB" w:rsidRPr="00784394">
        <w:rPr>
          <w:lang w:val="ro-RO"/>
        </w:rPr>
        <w:t>După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rândul cu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standardul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Pr="00784394">
        <w:rPr>
          <w:lang w:val="ro-RO"/>
        </w:rPr>
        <w:t>EN 1442:2006 + A1:2008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 xml:space="preserve">, </w:t>
      </w:r>
      <w:r w:rsidR="00FB74FB" w:rsidRPr="00784394">
        <w:rPr>
          <w:lang w:val="ro-RO"/>
        </w:rPr>
        <w:t>se introduce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un nou standard, după cum urmează</w:t>
      </w:r>
      <w:r w:rsidR="00FB74FB" w:rsidRPr="00784394">
        <w:rPr>
          <w:lang w:val="ro-RO"/>
        </w:rPr>
        <w:t>:</w:t>
      </w:r>
    </w:p>
    <w:tbl>
      <w:tblPr>
        <w:tblW w:w="819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776"/>
        <w:gridCol w:w="992"/>
        <w:gridCol w:w="1331"/>
        <w:gridCol w:w="370"/>
      </w:tblGrid>
      <w:tr w:rsidR="00C76152" w:rsidRPr="006E6520" w:rsidTr="00CF684D">
        <w:tc>
          <w:tcPr>
            <w:tcW w:w="1724" w:type="dxa"/>
            <w:vAlign w:val="center"/>
          </w:tcPr>
          <w:p w:rsidR="00C76152" w:rsidRPr="00784394" w:rsidRDefault="00C76152" w:rsidP="00FB74FB">
            <w:pPr>
              <w:widowControl w:val="0"/>
              <w:rPr>
                <w:rFonts w:cs="Arial"/>
                <w:lang w:val="ro-RO"/>
              </w:rPr>
            </w:pPr>
            <w:r w:rsidRPr="00784394">
              <w:rPr>
                <w:rFonts w:cs="Arial"/>
                <w:lang w:val="ro-RO"/>
              </w:rPr>
              <w:t>EN 1442:2017</w:t>
            </w:r>
          </w:p>
        </w:tc>
        <w:tc>
          <w:tcPr>
            <w:tcW w:w="3776" w:type="dxa"/>
            <w:vAlign w:val="center"/>
          </w:tcPr>
          <w:p w:rsidR="00C76152" w:rsidRPr="00784394" w:rsidRDefault="00CF684D" w:rsidP="00FB74FB">
            <w:pPr>
              <w:widowControl w:val="0"/>
              <w:rPr>
                <w:rFonts w:cs="Arial"/>
                <w:bCs/>
                <w:lang w:val="ro-RO"/>
              </w:rPr>
            </w:pPr>
            <w:r w:rsidRPr="00784394">
              <w:rPr>
                <w:lang w:val="ro-RO"/>
              </w:rPr>
              <w:t>Butelii transportabile și reîncărcabile, sudate, de oțel, pentru gaz petrolier lichefiat (GPL) – Proiectare și construcție</w:t>
            </w:r>
            <w:r w:rsidRPr="00784394">
              <w:rPr>
                <w:rFonts w:cs="Arial"/>
                <w:bCs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6152" w:rsidRPr="00784394" w:rsidRDefault="00C76152" w:rsidP="00FB74FB">
            <w:pPr>
              <w:widowControl w:val="0"/>
              <w:rPr>
                <w:rFonts w:cs="Arial"/>
                <w:lang w:val="ro-RO"/>
              </w:rPr>
            </w:pPr>
            <w:r w:rsidRPr="00784394">
              <w:rPr>
                <w:rFonts w:cs="Arial"/>
                <w:lang w:val="ro-RO"/>
              </w:rPr>
              <w:t>6.2.3.1</w:t>
            </w:r>
            <w:r w:rsidR="004F6379" w:rsidRPr="00784394">
              <w:rPr>
                <w:rFonts w:cs="Arial"/>
                <w:lang w:val="ro-RO"/>
              </w:rPr>
              <w:t xml:space="preserve"> și </w:t>
            </w:r>
            <w:r w:rsidRPr="00784394">
              <w:rPr>
                <w:rFonts w:cs="Arial"/>
                <w:lang w:val="ro-RO"/>
              </w:rPr>
              <w:t>6.2.3.4</w:t>
            </w:r>
          </w:p>
        </w:tc>
        <w:tc>
          <w:tcPr>
            <w:tcW w:w="1331" w:type="dxa"/>
            <w:vAlign w:val="center"/>
          </w:tcPr>
          <w:p w:rsidR="00C76152" w:rsidRPr="00784394" w:rsidRDefault="00CF684D" w:rsidP="00FB74FB">
            <w:pPr>
              <w:widowControl w:val="0"/>
              <w:jc w:val="center"/>
              <w:rPr>
                <w:rFonts w:cs="Arial"/>
                <w:lang w:val="ro-RO"/>
              </w:rPr>
            </w:pPr>
            <w:r w:rsidRPr="00784394">
              <w:rPr>
                <w:snapToGrid w:val="0"/>
                <w:lang w:val="ro-RO"/>
              </w:rPr>
              <w:t>Până la o notificare ulterioară</w:t>
            </w:r>
          </w:p>
        </w:tc>
        <w:tc>
          <w:tcPr>
            <w:tcW w:w="370" w:type="dxa"/>
            <w:vAlign w:val="center"/>
          </w:tcPr>
          <w:p w:rsidR="00C76152" w:rsidRPr="00784394" w:rsidRDefault="00C76152" w:rsidP="00FB74FB">
            <w:pPr>
              <w:widowControl w:val="0"/>
              <w:rPr>
                <w:rFonts w:cs="Arial"/>
                <w:lang w:val="ro-RO"/>
              </w:rPr>
            </w:pPr>
          </w:p>
        </w:tc>
      </w:tr>
    </w:tbl>
    <w:p w:rsidR="00C76152" w:rsidRPr="00784394" w:rsidRDefault="00B7234A" w:rsidP="00FC29AA">
      <w:pPr>
        <w:pStyle w:val="SingleTxtG"/>
        <w:spacing w:before="120"/>
        <w:ind w:left="0"/>
        <w:rPr>
          <w:lang w:val="ro-RO"/>
        </w:rPr>
      </w:pPr>
      <w:r w:rsidRPr="00784394">
        <w:rPr>
          <w:lang w:val="ro-RO"/>
        </w:rPr>
        <w:tab/>
      </w:r>
      <w:r w:rsidRPr="00784394">
        <w:rPr>
          <w:lang w:val="ro-RO"/>
        </w:rPr>
        <w:tab/>
      </w:r>
      <w:r w:rsidR="00C76152" w:rsidRPr="00784394">
        <w:rPr>
          <w:lang w:val="ro-RO"/>
        </w:rPr>
        <w:t>6.2.4.1</w:t>
      </w:r>
      <w:r w:rsidR="00C76152" w:rsidRPr="00784394">
        <w:rPr>
          <w:lang w:val="ro-RO"/>
        </w:rPr>
        <w:tab/>
      </w:r>
      <w:r w:rsidR="00C76152" w:rsidRPr="00784394">
        <w:rPr>
          <w:lang w:val="ro-RO"/>
        </w:rPr>
        <w:tab/>
      </w:r>
      <w:r w:rsidR="00C86BBD" w:rsidRPr="00784394">
        <w:rPr>
          <w:lang w:val="ro-RO"/>
        </w:rPr>
        <w:t>În</w:t>
      </w:r>
      <w:r w:rsidR="00C76152" w:rsidRPr="00784394">
        <w:rPr>
          <w:lang w:val="ro-RO"/>
        </w:rPr>
        <w:t xml:space="preserve"> </w:t>
      </w:r>
      <w:r w:rsidR="00C86BBD" w:rsidRPr="00784394">
        <w:rPr>
          <w:lang w:val="ro-RO"/>
        </w:rPr>
        <w:t>tabel</w:t>
      </w:r>
      <w:r w:rsidR="00C76152" w:rsidRPr="00784394">
        <w:rPr>
          <w:lang w:val="ro-RO"/>
        </w:rPr>
        <w:t>, su</w:t>
      </w:r>
      <w:r w:rsidR="00CF684D" w:rsidRPr="00784394">
        <w:rPr>
          <w:lang w:val="ro-RO"/>
        </w:rPr>
        <w:t>b</w:t>
      </w:r>
      <w:r w:rsidR="00C76152"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="00C86BBD" w:rsidRPr="00784394">
        <w:rPr>
          <w:lang w:val="ro-RO"/>
        </w:rPr>
        <w:t>Pentru</w:t>
      </w:r>
      <w:r w:rsidR="00C76152" w:rsidRPr="00784394">
        <w:rPr>
          <w:lang w:val="ro-RO"/>
        </w:rPr>
        <w:t xml:space="preserve"> concep</w:t>
      </w:r>
      <w:r w:rsidR="00CF684D" w:rsidRPr="00784394">
        <w:rPr>
          <w:lang w:val="ro-RO"/>
        </w:rPr>
        <w:t>ție</w:t>
      </w:r>
      <w:r w:rsidR="004F6379" w:rsidRPr="00784394">
        <w:rPr>
          <w:lang w:val="ro-RO"/>
        </w:rPr>
        <w:t xml:space="preserve"> și </w:t>
      </w:r>
      <w:r w:rsidR="00CF684D" w:rsidRPr="00784394">
        <w:rPr>
          <w:lang w:val="ro-RO"/>
        </w:rPr>
        <w:t>construcție</w:t>
      </w:r>
      <w:r w:rsidR="00FB74FB" w:rsidRPr="00784394">
        <w:rPr>
          <w:lang w:val="ro-RO"/>
        </w:rPr>
        <w:t>”:</w:t>
      </w:r>
    </w:p>
    <w:p w:rsidR="00C76152" w:rsidRPr="00784394" w:rsidRDefault="00C76152" w:rsidP="00C76152">
      <w:pPr>
        <w:pStyle w:val="SingleTxtG"/>
        <w:rPr>
          <w:lang w:val="ro-RO"/>
        </w:rPr>
      </w:pPr>
      <w:r w:rsidRPr="00784394">
        <w:rPr>
          <w:lang w:val="ro-RO"/>
        </w:rPr>
        <w:t>–</w:t>
      </w:r>
      <w:r w:rsidRPr="00784394">
        <w:rPr>
          <w:lang w:val="ro-RO"/>
        </w:rPr>
        <w:tab/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standardul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Pr="00784394">
        <w:rPr>
          <w:lang w:val="ro-RO"/>
        </w:rPr>
        <w:t>EN 12245:2002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 xml:space="preserve">, </w:t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coloana</w:t>
      </w:r>
      <w:r w:rsidRPr="00784394">
        <w:rPr>
          <w:lang w:val="ro-RO"/>
        </w:rPr>
        <w:t xml:space="preserve"> (5), </w:t>
      </w:r>
      <w:r w:rsidR="00FB74FB" w:rsidRPr="00784394">
        <w:rPr>
          <w:lang w:val="ro-RO"/>
        </w:rPr>
        <w:t>se introduce: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„</w:t>
      </w:r>
      <w:r w:rsidRPr="00784394">
        <w:rPr>
          <w:lang w:val="ro-RO"/>
        </w:rPr>
        <w:t>31 d</w:t>
      </w:r>
      <w:r w:rsidR="00CF684D" w:rsidRPr="00784394">
        <w:rPr>
          <w:lang w:val="ro-RO"/>
        </w:rPr>
        <w:t>e</w:t>
      </w:r>
      <w:r w:rsidRPr="00784394">
        <w:rPr>
          <w:lang w:val="ro-RO"/>
        </w:rPr>
        <w:t>cembr</w:t>
      </w:r>
      <w:r w:rsidR="00CF684D" w:rsidRPr="00784394">
        <w:rPr>
          <w:lang w:val="ro-RO"/>
        </w:rPr>
        <w:t>i</w:t>
      </w:r>
      <w:r w:rsidRPr="00784394">
        <w:rPr>
          <w:lang w:val="ro-RO"/>
        </w:rPr>
        <w:t xml:space="preserve">e 2019, </w:t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butel</w:t>
      </w:r>
      <w:r w:rsidR="00CF684D" w:rsidRPr="00784394">
        <w:rPr>
          <w:lang w:val="ro-RO"/>
        </w:rPr>
        <w:t>ii</w:t>
      </w:r>
      <w:r w:rsidRPr="00784394">
        <w:rPr>
          <w:lang w:val="ro-RO"/>
        </w:rPr>
        <w:t>le</w:t>
      </w:r>
      <w:r w:rsidR="004F6379" w:rsidRPr="00784394">
        <w:rPr>
          <w:lang w:val="ro-RO"/>
        </w:rPr>
        <w:t xml:space="preserve"> și </w:t>
      </w:r>
      <w:r w:rsidRPr="00784394">
        <w:rPr>
          <w:lang w:val="ro-RO"/>
        </w:rPr>
        <w:t>tub</w:t>
      </w:r>
      <w:r w:rsidR="00CF684D" w:rsidRPr="00784394">
        <w:rPr>
          <w:lang w:val="ro-RO"/>
        </w:rPr>
        <w:t>urile</w:t>
      </w:r>
      <w:r w:rsidRPr="00784394">
        <w:rPr>
          <w:lang w:val="ro-RO"/>
        </w:rPr>
        <w:t xml:space="preserve"> </w:t>
      </w:r>
      <w:r w:rsidR="00CF684D" w:rsidRPr="00784394">
        <w:rPr>
          <w:lang w:val="ro-RO"/>
        </w:rPr>
        <w:t>fără căptușeală</w:t>
      </w:r>
      <w:r w:rsidR="00784394" w:rsidRPr="00784394">
        <w:rPr>
          <w:lang w:val="ro-RO"/>
        </w:rPr>
        <w:t>, realizate din două piese asamblate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>.</w:t>
      </w:r>
    </w:p>
    <w:p w:rsidR="00626E9C" w:rsidRPr="00784394" w:rsidRDefault="00626E9C" w:rsidP="00626E9C">
      <w:pPr>
        <w:pStyle w:val="SingleTxtG"/>
        <w:tabs>
          <w:tab w:val="left" w:pos="2268"/>
        </w:tabs>
        <w:rPr>
          <w:lang w:val="ro-RO"/>
        </w:rPr>
      </w:pPr>
      <w:r w:rsidRPr="00784394">
        <w:rPr>
          <w:lang w:val="ro-RO"/>
        </w:rPr>
        <w:t>6.2.4.1</w:t>
      </w:r>
      <w:r w:rsidRPr="00784394">
        <w:rPr>
          <w:lang w:val="ro-RO"/>
        </w:rPr>
        <w:tab/>
      </w:r>
      <w:r w:rsidRPr="00784394">
        <w:rPr>
          <w:lang w:val="ro-RO"/>
        </w:rPr>
        <w:tab/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C86BBD" w:rsidRPr="00784394">
        <w:rPr>
          <w:lang w:val="ro-RO"/>
        </w:rPr>
        <w:t>tabel</w:t>
      </w:r>
      <w:r w:rsidRPr="00784394">
        <w:rPr>
          <w:lang w:val="ro-RO"/>
        </w:rPr>
        <w:t>, su</w:t>
      </w:r>
      <w:r w:rsidR="00784394" w:rsidRPr="00784394">
        <w:rPr>
          <w:lang w:val="ro-RO"/>
        </w:rPr>
        <w:t>b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“</w:t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concep</w:t>
      </w:r>
      <w:r w:rsidR="00784394" w:rsidRPr="00784394">
        <w:rPr>
          <w:lang w:val="ro-RO"/>
        </w:rPr>
        <w:t>ție</w:t>
      </w:r>
      <w:r w:rsidR="004F6379" w:rsidRPr="00784394">
        <w:rPr>
          <w:lang w:val="ro-RO"/>
        </w:rPr>
        <w:t xml:space="preserve"> și </w:t>
      </w:r>
      <w:r w:rsidR="00784394" w:rsidRPr="00784394">
        <w:rPr>
          <w:lang w:val="ro-RO"/>
        </w:rPr>
        <w:t>construcție</w:t>
      </w:r>
      <w:r w:rsidR="00FB74FB" w:rsidRPr="00784394">
        <w:rPr>
          <w:lang w:val="ro-RO"/>
        </w:rPr>
        <w:t>”:</w:t>
      </w:r>
    </w:p>
    <w:p w:rsidR="004B47EB" w:rsidRPr="00784394" w:rsidRDefault="004B47EB" w:rsidP="004B47EB">
      <w:pPr>
        <w:pStyle w:val="SingleTxtG"/>
        <w:rPr>
          <w:lang w:val="ro-RO"/>
        </w:rPr>
      </w:pPr>
      <w:r w:rsidRPr="00784394">
        <w:rPr>
          <w:lang w:val="ro-RO"/>
        </w:rPr>
        <w:t>–</w:t>
      </w:r>
      <w:r w:rsidRPr="00784394">
        <w:rPr>
          <w:lang w:val="ro-RO"/>
        </w:rPr>
        <w:tab/>
      </w:r>
      <w:r w:rsidR="00C86BBD" w:rsidRPr="00784394">
        <w:rPr>
          <w:lang w:val="ro-RO"/>
        </w:rPr>
        <w:t>Pentru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standardul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“</w:t>
      </w:r>
      <w:r w:rsidRPr="00784394">
        <w:rPr>
          <w:lang w:val="ro-RO"/>
        </w:rPr>
        <w:t>EN 12245:2009 + A1:2011</w:t>
      </w:r>
      <w:r w:rsidR="00FB74FB" w:rsidRPr="00784394">
        <w:rPr>
          <w:lang w:val="ro-RO"/>
        </w:rPr>
        <w:t>”</w:t>
      </w:r>
      <w:r w:rsidRPr="00784394">
        <w:rPr>
          <w:lang w:val="ro-RO"/>
        </w:rPr>
        <w:t xml:space="preserve">, </w:t>
      </w:r>
      <w:r w:rsidR="00C86BBD" w:rsidRPr="00784394">
        <w:rPr>
          <w:lang w:val="ro-RO"/>
        </w:rPr>
        <w:t>în</w:t>
      </w:r>
      <w:r w:rsidRPr="00784394">
        <w:rPr>
          <w:lang w:val="ro-RO"/>
        </w:rPr>
        <w:t xml:space="preserve"> </w:t>
      </w:r>
      <w:r w:rsidR="00FB74FB" w:rsidRPr="00784394">
        <w:rPr>
          <w:lang w:val="ro-RO"/>
        </w:rPr>
        <w:t>coloana</w:t>
      </w:r>
      <w:r w:rsidRPr="00784394">
        <w:rPr>
          <w:lang w:val="ro-RO"/>
        </w:rPr>
        <w:t xml:space="preserve"> (2), </w:t>
      </w:r>
      <w:r w:rsidR="002B51EB" w:rsidRPr="00784394">
        <w:rPr>
          <w:lang w:val="ro-RO"/>
        </w:rPr>
        <w:t>se adaugă</w:t>
      </w:r>
      <w:r w:rsidRPr="00784394">
        <w:rPr>
          <w:lang w:val="ro-RO"/>
        </w:rPr>
        <w:t xml:space="preserve"> NOTA </w:t>
      </w:r>
      <w:r w:rsidR="002B51EB" w:rsidRPr="00784394">
        <w:rPr>
          <w:lang w:val="ro-RO"/>
        </w:rPr>
        <w:t>următoare</w:t>
      </w:r>
      <w:r w:rsidR="00FB74FB" w:rsidRPr="00784394">
        <w:rPr>
          <w:lang w:val="ro-RO"/>
        </w:rPr>
        <w:t>:</w:t>
      </w:r>
      <w:r w:rsidRPr="00784394">
        <w:rPr>
          <w:lang w:val="ro-RO"/>
        </w:rPr>
        <w:t xml:space="preserve"> </w:t>
      </w:r>
    </w:p>
    <w:p w:rsidR="004B47EB" w:rsidRPr="0006669E" w:rsidRDefault="00FB74FB" w:rsidP="004B47EB">
      <w:pPr>
        <w:pStyle w:val="SingleTxtG"/>
        <w:rPr>
          <w:lang w:val="ro-RO"/>
        </w:rPr>
      </w:pPr>
      <w:r w:rsidRPr="00784394">
        <w:rPr>
          <w:lang w:val="ro-RO"/>
        </w:rPr>
        <w:t>“</w:t>
      </w:r>
      <w:r w:rsidR="004B47EB" w:rsidRPr="00784394">
        <w:rPr>
          <w:b/>
          <w:i/>
          <w:lang w:val="ro-RO"/>
        </w:rPr>
        <w:t>NOT</w:t>
      </w:r>
      <w:r w:rsidRPr="00784394">
        <w:rPr>
          <w:b/>
          <w:i/>
          <w:lang w:val="ro-RO"/>
        </w:rPr>
        <w:t>Ă</w:t>
      </w:r>
      <w:r w:rsidR="004B47EB" w:rsidRPr="00784394">
        <w:rPr>
          <w:b/>
          <w:i/>
          <w:lang w:val="ro-RO"/>
        </w:rPr>
        <w:t>:</w:t>
      </w:r>
      <w:r w:rsidR="004B47EB" w:rsidRPr="00784394">
        <w:rPr>
          <w:i/>
          <w:lang w:val="ro-RO"/>
        </w:rPr>
        <w:tab/>
      </w:r>
      <w:r w:rsidR="0014489B" w:rsidRPr="00784394">
        <w:rPr>
          <w:i/>
          <w:lang w:val="ro-RO"/>
        </w:rPr>
        <w:t xml:space="preserve">Prezentul </w:t>
      </w:r>
      <w:r w:rsidR="002B51EB" w:rsidRPr="00784394">
        <w:rPr>
          <w:i/>
          <w:lang w:val="ro-RO"/>
        </w:rPr>
        <w:t xml:space="preserve">standard nu </w:t>
      </w:r>
      <w:r w:rsidR="0014489B" w:rsidRPr="00784394">
        <w:rPr>
          <w:i/>
          <w:lang w:val="ro-RO"/>
        </w:rPr>
        <w:t>se aplică</w:t>
      </w:r>
      <w:r w:rsidR="002B51EB" w:rsidRPr="00784394">
        <w:rPr>
          <w:i/>
          <w:lang w:val="ro-RO"/>
        </w:rPr>
        <w:t xml:space="preserve"> buteliil</w:t>
      </w:r>
      <w:r w:rsidR="0014489B" w:rsidRPr="00784394">
        <w:rPr>
          <w:i/>
          <w:lang w:val="ro-RO"/>
        </w:rPr>
        <w:t>or</w:t>
      </w:r>
      <w:r w:rsidR="002B51EB" w:rsidRPr="00784394">
        <w:rPr>
          <w:i/>
          <w:lang w:val="ro-RO"/>
        </w:rPr>
        <w:t xml:space="preserve"> și tuburil</w:t>
      </w:r>
      <w:r w:rsidR="0014489B" w:rsidRPr="00784394">
        <w:rPr>
          <w:i/>
          <w:lang w:val="ro-RO"/>
        </w:rPr>
        <w:t>or</w:t>
      </w:r>
      <w:r w:rsidR="002B51EB" w:rsidRPr="00784394">
        <w:rPr>
          <w:i/>
          <w:lang w:val="ro-RO"/>
        </w:rPr>
        <w:t xml:space="preserve"> fără</w:t>
      </w:r>
      <w:r w:rsidR="002B51EB" w:rsidRPr="0006669E">
        <w:rPr>
          <w:i/>
          <w:lang w:val="ro-RO"/>
        </w:rPr>
        <w:t xml:space="preserve"> </w:t>
      </w:r>
      <w:r w:rsidR="0014489B" w:rsidRPr="0006669E">
        <w:rPr>
          <w:i/>
          <w:lang w:val="ro-RO"/>
        </w:rPr>
        <w:t>căptușeală constituite din două piese asamblate</w:t>
      </w:r>
      <w:r w:rsidR="004B47EB" w:rsidRPr="0006669E">
        <w:rPr>
          <w:i/>
          <w:lang w:val="ro-RO"/>
        </w:rPr>
        <w:t>.</w:t>
      </w:r>
      <w:r w:rsidRPr="0006669E">
        <w:rPr>
          <w:lang w:val="ro-RO"/>
        </w:rPr>
        <w:t>”</w:t>
      </w:r>
    </w:p>
    <w:p w:rsidR="00626E9C" w:rsidRPr="0006669E" w:rsidRDefault="00626E9C" w:rsidP="00626E9C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standardul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EN 12245:2009 + A1:2011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(5), </w:t>
      </w:r>
      <w:r w:rsidR="00FB74FB" w:rsidRPr="0006669E">
        <w:rPr>
          <w:lang w:val="ro-RO"/>
        </w:rPr>
        <w:t>se introduce: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31 d</w:t>
      </w:r>
      <w:r w:rsidR="0014489B" w:rsidRPr="0006669E">
        <w:rPr>
          <w:lang w:val="ro-RO"/>
        </w:rPr>
        <w:t>e</w:t>
      </w:r>
      <w:r w:rsidRPr="0006669E">
        <w:rPr>
          <w:lang w:val="ro-RO"/>
        </w:rPr>
        <w:t>cembr</w:t>
      </w:r>
      <w:r w:rsidR="0014489B" w:rsidRPr="0006669E">
        <w:rPr>
          <w:lang w:val="ro-RO"/>
        </w:rPr>
        <w:t>i</w:t>
      </w:r>
      <w:r w:rsidRPr="0006669E">
        <w:rPr>
          <w:lang w:val="ro-RO"/>
        </w:rPr>
        <w:t xml:space="preserve">e 2019, </w:t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buteliile</w:t>
      </w:r>
      <w:r w:rsidR="004F6379" w:rsidRPr="0006669E">
        <w:rPr>
          <w:lang w:val="ro-RO"/>
        </w:rPr>
        <w:t xml:space="preserve"> și </w:t>
      </w:r>
      <w:r w:rsidRPr="0006669E">
        <w:rPr>
          <w:lang w:val="ro-RO"/>
        </w:rPr>
        <w:t>tub</w:t>
      </w:r>
      <w:r w:rsidR="0014489B" w:rsidRPr="0006669E">
        <w:rPr>
          <w:lang w:val="ro-RO"/>
        </w:rPr>
        <w:t>urile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fără căptușeală constituite din două piese asamblate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626E9C" w:rsidRPr="0006669E" w:rsidRDefault="00626E9C" w:rsidP="00626E9C">
      <w:pPr>
        <w:pStyle w:val="SingleTxtG"/>
        <w:rPr>
          <w:bCs/>
          <w:lang w:val="ro-RO"/>
        </w:rPr>
      </w:pPr>
      <w:r w:rsidRPr="0006669E">
        <w:rPr>
          <w:lang w:val="ro-RO"/>
        </w:rPr>
        <w:lastRenderedPageBreak/>
        <w:t>6.2.4.1</w:t>
      </w: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0B7806" w:rsidRPr="0006669E">
        <w:rPr>
          <w:lang w:val="ro-RO"/>
        </w:rPr>
        <w:t>Se modifică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tabelul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de sub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închizătoare</w:t>
      </w:r>
      <w:r w:rsidR="00FB74FB" w:rsidRPr="0006669E">
        <w:rPr>
          <w:i/>
          <w:iCs/>
          <w:lang w:val="ro-RO"/>
        </w:rPr>
        <w:t>”</w:t>
      </w:r>
      <w:r w:rsidR="000B7806" w:rsidRPr="0006669E">
        <w:rPr>
          <w:lang w:val="ro-RO"/>
        </w:rPr>
        <w:t>,</w:t>
      </w:r>
      <w:r w:rsidR="00FB74FB" w:rsidRPr="0006669E">
        <w:rPr>
          <w:lang w:val="ro-RO"/>
        </w:rPr>
        <w:t xml:space="preserve"> după cum urmează</w:t>
      </w:r>
      <w:r w:rsidRPr="0006669E">
        <w:rPr>
          <w:lang w:val="ro-RO"/>
        </w:rPr>
        <w:t>:</w:t>
      </w:r>
    </w:p>
    <w:p w:rsidR="00626E9C" w:rsidRPr="0006669E" w:rsidRDefault="00626E9C" w:rsidP="00626E9C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C86BBD" w:rsidRPr="0006669E">
        <w:rPr>
          <w:rFonts w:cs="Arial"/>
          <w:szCs w:val="22"/>
          <w:lang w:val="ro-RO"/>
        </w:rPr>
        <w:t>Pentru</w:t>
      </w:r>
      <w:r w:rsidRPr="0006669E">
        <w:rPr>
          <w:rFonts w:cs="Arial"/>
          <w:bCs/>
          <w:szCs w:val="22"/>
          <w:lang w:val="ro-RO"/>
        </w:rPr>
        <w:t xml:space="preserve"> </w:t>
      </w:r>
      <w:r w:rsidR="00FB74FB" w:rsidRPr="0006669E">
        <w:rPr>
          <w:rFonts w:cs="Arial"/>
          <w:bCs/>
          <w:szCs w:val="22"/>
          <w:lang w:val="ro-RO"/>
        </w:rPr>
        <w:t>standardul</w:t>
      </w:r>
      <w:r w:rsidRPr="0006669E">
        <w:rPr>
          <w:rFonts w:cs="Arial"/>
          <w:bCs/>
          <w:szCs w:val="22"/>
          <w:lang w:val="ro-RO"/>
        </w:rPr>
        <w:t xml:space="preserve"> </w:t>
      </w:r>
      <w:r w:rsidR="00FB74FB" w:rsidRPr="0006669E">
        <w:rPr>
          <w:rFonts w:cs="Arial"/>
          <w:bCs/>
          <w:szCs w:val="22"/>
          <w:lang w:val="ro-RO"/>
        </w:rPr>
        <w:t>“</w:t>
      </w:r>
      <w:r w:rsidRPr="0006669E">
        <w:rPr>
          <w:rFonts w:cs="Arial"/>
          <w:bCs/>
          <w:szCs w:val="22"/>
          <w:lang w:val="ro-RO"/>
        </w:rPr>
        <w:t>EN ISO 14246:</w:t>
      </w:r>
      <w:r w:rsidRPr="0006669E">
        <w:rPr>
          <w:rFonts w:cs="Arial"/>
          <w:szCs w:val="22"/>
          <w:lang w:val="ro-RO"/>
        </w:rPr>
        <w:t>2014</w:t>
      </w:r>
      <w:r w:rsidR="00FB74FB" w:rsidRPr="0006669E">
        <w:rPr>
          <w:rFonts w:cs="Arial"/>
          <w:szCs w:val="22"/>
          <w:lang w:val="ro-RO"/>
        </w:rPr>
        <w:t>”</w:t>
      </w:r>
      <w:r w:rsidRPr="0006669E">
        <w:rPr>
          <w:rFonts w:cs="Arial"/>
          <w:bCs/>
          <w:szCs w:val="22"/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(4),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14489B" w:rsidRPr="0006669E">
        <w:rPr>
          <w:lang w:val="ro-RO"/>
        </w:rPr>
        <w:t xml:space="preserve"> Până la o notificare ulterioară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</w:t>
      </w:r>
      <w:r w:rsidR="00FB74FB" w:rsidRPr="0006669E">
        <w:rPr>
          <w:lang w:val="ro-RO"/>
        </w:rPr>
        <w:t>: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14489B" w:rsidRPr="0006669E">
        <w:rPr>
          <w:lang w:val="ro-RO"/>
        </w:rPr>
        <w:t xml:space="preserve"> Între 1 ianuarie 2015 şi 31 decembrie 2020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626E9C" w:rsidRPr="0006669E" w:rsidRDefault="00626E9C" w:rsidP="00626E9C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După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rândul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standardul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rFonts w:cs="Arial"/>
          <w:bCs/>
          <w:szCs w:val="22"/>
          <w:lang w:val="ro-RO"/>
        </w:rPr>
        <w:t>EN ISO 14246:</w:t>
      </w:r>
      <w:r w:rsidRPr="0006669E">
        <w:rPr>
          <w:rFonts w:cs="Arial"/>
          <w:szCs w:val="22"/>
          <w:lang w:val="ro-RO"/>
        </w:rPr>
        <w:t>2014</w:t>
      </w:r>
      <w:r w:rsidR="00FB74FB" w:rsidRPr="0006669E">
        <w:rPr>
          <w:rFonts w:cs="Arial"/>
          <w:szCs w:val="22"/>
          <w:lang w:val="ro-RO"/>
        </w:rPr>
        <w:t>”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introduce</w:t>
      </w:r>
      <w:r w:rsidRPr="0006669E">
        <w:rPr>
          <w:lang w:val="ro-RO"/>
        </w:rPr>
        <w:t xml:space="preserve"> </w:t>
      </w:r>
      <w:r w:rsidR="0014489B" w:rsidRPr="0006669E">
        <w:rPr>
          <w:lang w:val="ro-RO"/>
        </w:rPr>
        <w:t>următorul standard nou</w:t>
      </w:r>
      <w:r w:rsidR="00FB74FB" w:rsidRPr="0006669E">
        <w:rPr>
          <w:lang w:val="ro-RO"/>
        </w:rPr>
        <w:t>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77"/>
        <w:gridCol w:w="975"/>
        <w:gridCol w:w="1134"/>
        <w:gridCol w:w="595"/>
      </w:tblGrid>
      <w:tr w:rsidR="00626E9C" w:rsidRPr="006E6520" w:rsidTr="0014489B">
        <w:tc>
          <w:tcPr>
            <w:tcW w:w="1724" w:type="dxa"/>
            <w:vAlign w:val="center"/>
          </w:tcPr>
          <w:p w:rsidR="00626E9C" w:rsidRPr="0006669E" w:rsidRDefault="00626E9C" w:rsidP="00FB74FB">
            <w:pPr>
              <w:widowControl w:val="0"/>
              <w:rPr>
                <w:rFonts w:cs="Arial"/>
                <w:lang w:val="ro-RO"/>
              </w:rPr>
            </w:pPr>
            <w:r w:rsidRPr="0006669E">
              <w:rPr>
                <w:rFonts w:cs="Arial"/>
                <w:lang w:val="ro-RO"/>
              </w:rPr>
              <w:t>EN ISO 14246:2014 + A1:2017</w:t>
            </w:r>
          </w:p>
        </w:tc>
        <w:tc>
          <w:tcPr>
            <w:tcW w:w="4077" w:type="dxa"/>
            <w:vAlign w:val="center"/>
          </w:tcPr>
          <w:p w:rsidR="00626E9C" w:rsidRPr="0006669E" w:rsidRDefault="0014489B" w:rsidP="0014489B">
            <w:pPr>
              <w:widowControl w:val="0"/>
              <w:rPr>
                <w:rFonts w:cs="Arial"/>
                <w:lang w:val="ro-RO"/>
              </w:rPr>
            </w:pPr>
            <w:r w:rsidRPr="0006669E">
              <w:rPr>
                <w:rFonts w:cs="Arial"/>
                <w:bCs/>
                <w:lang w:val="ro-RO"/>
              </w:rPr>
              <w:t>Butelii de gaz - Robinete pentru butelii de gaz - Încercări de fabricaţie şi examinări</w:t>
            </w:r>
          </w:p>
        </w:tc>
        <w:tc>
          <w:tcPr>
            <w:tcW w:w="975" w:type="dxa"/>
            <w:vAlign w:val="center"/>
          </w:tcPr>
          <w:p w:rsidR="00626E9C" w:rsidRPr="0006669E" w:rsidRDefault="00626E9C" w:rsidP="00FB74FB">
            <w:pPr>
              <w:widowControl w:val="0"/>
              <w:rPr>
                <w:rFonts w:cs="Arial"/>
                <w:lang w:val="ro-RO"/>
              </w:rPr>
            </w:pPr>
            <w:r w:rsidRPr="0006669E">
              <w:rPr>
                <w:rFonts w:cs="Arial"/>
                <w:lang w:val="ro-RO"/>
              </w:rPr>
              <w:t>6.2.3.1</w:t>
            </w:r>
            <w:r w:rsidR="004F6379" w:rsidRPr="0006669E">
              <w:rPr>
                <w:rFonts w:cs="Arial"/>
                <w:lang w:val="ro-RO"/>
              </w:rPr>
              <w:t xml:space="preserve"> și </w:t>
            </w:r>
            <w:r w:rsidRPr="0006669E">
              <w:rPr>
                <w:rFonts w:cs="Arial"/>
                <w:lang w:val="ro-RO"/>
              </w:rPr>
              <w:t>6.2.3.4</w:t>
            </w:r>
          </w:p>
        </w:tc>
        <w:tc>
          <w:tcPr>
            <w:tcW w:w="1134" w:type="dxa"/>
            <w:vAlign w:val="center"/>
          </w:tcPr>
          <w:p w:rsidR="00626E9C" w:rsidRPr="0006669E" w:rsidRDefault="0014489B" w:rsidP="00FB74FB">
            <w:pPr>
              <w:widowControl w:val="0"/>
              <w:jc w:val="center"/>
              <w:rPr>
                <w:rFonts w:cs="Arial"/>
                <w:lang w:val="ro-RO"/>
              </w:rPr>
            </w:pPr>
            <w:r w:rsidRPr="0006669E">
              <w:rPr>
                <w:lang w:val="ro-RO"/>
              </w:rPr>
              <w:t>Până la o notificare ulterioară</w:t>
            </w:r>
          </w:p>
        </w:tc>
        <w:tc>
          <w:tcPr>
            <w:tcW w:w="595" w:type="dxa"/>
            <w:vAlign w:val="center"/>
          </w:tcPr>
          <w:p w:rsidR="00626E9C" w:rsidRPr="0006669E" w:rsidRDefault="00626E9C" w:rsidP="00FB74FB">
            <w:pPr>
              <w:widowControl w:val="0"/>
              <w:rPr>
                <w:rFonts w:cs="Arial"/>
                <w:lang w:val="ro-RO"/>
              </w:rPr>
            </w:pPr>
          </w:p>
        </w:tc>
      </w:tr>
    </w:tbl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6.8</w:t>
      </w:r>
    </w:p>
    <w:p w:rsidR="00626E9C" w:rsidRPr="0006669E" w:rsidRDefault="00626E9C" w:rsidP="00626E9C">
      <w:pPr>
        <w:pStyle w:val="SingleTxtG"/>
        <w:rPr>
          <w:lang w:val="ro-RO"/>
        </w:rPr>
      </w:pPr>
      <w:r w:rsidRPr="0006669E">
        <w:rPr>
          <w:lang w:val="ro-RO"/>
        </w:rPr>
        <w:t>6.8.2.1.2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</w:t>
      </w:r>
      <w:r w:rsidR="00BC20CF" w:rsidRPr="0006669E">
        <w:rPr>
          <w:lang w:val="ro-RO"/>
        </w:rPr>
        <w:t>din dreapta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după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A94683" w:rsidRPr="0006669E">
        <w:rPr>
          <w:lang w:val="ro-RO"/>
        </w:rPr>
        <w:t xml:space="preserve"> Containerele-cisternă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introduce</w:t>
      </w:r>
      <w:r w:rsidRPr="0006669E">
        <w:rPr>
          <w:lang w:val="ro-RO"/>
        </w:rPr>
        <w:t xml:space="preserve"> </w:t>
      </w:r>
      <w:r w:rsidR="00BC20CF" w:rsidRPr="0006669E">
        <w:rPr>
          <w:lang w:val="ro-RO"/>
        </w:rPr>
        <w:t>noua notă de subsol 1</w:t>
      </w:r>
      <w:r w:rsidR="00FB74FB" w:rsidRPr="0006669E">
        <w:rPr>
          <w:lang w:val="ro-RO"/>
        </w:rPr>
        <w:t>, după cum urmează: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“</w:t>
      </w:r>
      <w:r w:rsidRPr="0006669E">
        <w:rPr>
          <w:vertAlign w:val="superscript"/>
          <w:lang w:val="ro-RO"/>
        </w:rPr>
        <w:t>1</w:t>
      </w:r>
      <w:r w:rsidRPr="0006669E">
        <w:rPr>
          <w:vertAlign w:val="superscript"/>
          <w:lang w:val="ro-RO"/>
        </w:rPr>
        <w:tab/>
      </w:r>
      <w:r w:rsidR="00FB74FB" w:rsidRPr="0006669E">
        <w:rPr>
          <w:lang w:val="ro-RO"/>
        </w:rPr>
        <w:t>A se vedea</w:t>
      </w:r>
      <w:r w:rsidRPr="0006669E">
        <w:rPr>
          <w:lang w:val="ro-RO"/>
        </w:rPr>
        <w:t xml:space="preserve"> 7.1.3</w:t>
      </w:r>
      <w:r w:rsidR="005B68A1">
        <w:rPr>
          <w:lang w:val="ro-RO"/>
        </w:rPr>
        <w:t>.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BC20CF" w:rsidP="00B7234A">
      <w:pPr>
        <w:pStyle w:val="SingleTxtG"/>
        <w:rPr>
          <w:lang w:val="ro-RO"/>
        </w:rPr>
      </w:pPr>
      <w:r w:rsidRPr="0006669E">
        <w:rPr>
          <w:lang w:val="ro-RO"/>
        </w:rPr>
        <w:t>Se renumerotează notele de subsol de la</w:t>
      </w:r>
      <w:r w:rsidR="00626E9C" w:rsidRPr="0006669E">
        <w:rPr>
          <w:lang w:val="ro-RO"/>
        </w:rPr>
        <w:t xml:space="preserve"> 1 </w:t>
      </w:r>
      <w:r w:rsidRPr="0006669E">
        <w:rPr>
          <w:lang w:val="ro-RO"/>
        </w:rPr>
        <w:t>la</w:t>
      </w:r>
      <w:r w:rsidR="00626E9C" w:rsidRPr="0006669E">
        <w:rPr>
          <w:lang w:val="ro-RO"/>
        </w:rPr>
        <w:t xml:space="preserve"> 18 </w:t>
      </w:r>
      <w:r w:rsidRPr="0006669E">
        <w:rPr>
          <w:lang w:val="ro-RO"/>
        </w:rPr>
        <w:t xml:space="preserve">ca note de </w:t>
      </w:r>
      <w:r w:rsidR="00A94683" w:rsidRPr="0006669E">
        <w:rPr>
          <w:lang w:val="ro-RO"/>
        </w:rPr>
        <w:t xml:space="preserve">subsol de </w:t>
      </w:r>
      <w:r w:rsidRPr="0006669E">
        <w:rPr>
          <w:lang w:val="ro-RO"/>
        </w:rPr>
        <w:t>la</w:t>
      </w:r>
      <w:r w:rsidR="00626E9C" w:rsidRPr="0006669E">
        <w:rPr>
          <w:lang w:val="ro-RO"/>
        </w:rPr>
        <w:t xml:space="preserve"> 2 </w:t>
      </w:r>
      <w:r w:rsidRPr="0006669E">
        <w:rPr>
          <w:lang w:val="ro-RO"/>
        </w:rPr>
        <w:t>la</w:t>
      </w:r>
      <w:r w:rsidR="00626E9C" w:rsidRPr="0006669E">
        <w:rPr>
          <w:lang w:val="ro-RO"/>
        </w:rPr>
        <w:t xml:space="preserve"> 19.</w:t>
      </w:r>
    </w:p>
    <w:p w:rsidR="00E45CF9" w:rsidRPr="0006669E" w:rsidRDefault="00E45CF9" w:rsidP="00E45CF9">
      <w:pPr>
        <w:pStyle w:val="SingleTxtG"/>
        <w:rPr>
          <w:b/>
          <w:lang w:val="ro-RO"/>
        </w:rPr>
      </w:pPr>
      <w:bookmarkStart w:id="1" w:name="_Hlk516061456"/>
      <w:r w:rsidRPr="0006669E">
        <w:rPr>
          <w:lang w:val="ro-RO"/>
        </w:rPr>
        <w:t>6.8.2.6.1</w:t>
      </w:r>
      <w:r w:rsidRPr="0006669E">
        <w:rPr>
          <w:lang w:val="ro-RO"/>
        </w:rPr>
        <w:tab/>
      </w:r>
      <w:r w:rsidR="000B7806" w:rsidRPr="0006669E">
        <w:rPr>
          <w:lang w:val="ro-RO"/>
        </w:rPr>
        <w:t>Se modifică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tabelul</w:t>
      </w:r>
      <w:r w:rsidRPr="0006669E">
        <w:rPr>
          <w:lang w:val="ro-RO"/>
        </w:rPr>
        <w:t xml:space="preserve"> </w:t>
      </w:r>
      <w:r w:rsidR="000B7806" w:rsidRPr="0006669E">
        <w:rPr>
          <w:lang w:val="ro-RO"/>
        </w:rPr>
        <w:t xml:space="preserve">de sub </w:t>
      </w:r>
      <w:r w:rsidR="00FB74FB" w:rsidRPr="0006669E">
        <w:rPr>
          <w:lang w:val="ro-RO"/>
        </w:rPr>
        <w:t>“</w:t>
      </w:r>
      <w:r w:rsidR="00C86BBD" w:rsidRPr="0006669E">
        <w:rPr>
          <w:iCs/>
          <w:lang w:val="ro-RO"/>
        </w:rPr>
        <w:t>Pentru</w:t>
      </w:r>
      <w:r w:rsidR="00BC1C02" w:rsidRPr="0006669E">
        <w:rPr>
          <w:iCs/>
          <w:lang w:val="ro-RO"/>
        </w:rPr>
        <w:t xml:space="preserve"> </w:t>
      </w:r>
      <w:r w:rsidR="00A67918" w:rsidRPr="0006669E">
        <w:rPr>
          <w:iCs/>
          <w:lang w:val="ro-RO"/>
        </w:rPr>
        <w:t>concepția și construcția cisternelor</w:t>
      </w:r>
      <w:r w:rsidR="00FB74FB" w:rsidRPr="0006669E">
        <w:rPr>
          <w:lang w:val="ro-RO"/>
        </w:rPr>
        <w:t>”</w:t>
      </w:r>
      <w:r w:rsidR="000B7806" w:rsidRPr="0006669E">
        <w:rPr>
          <w:lang w:val="ro-RO"/>
        </w:rPr>
        <w:t>,</w:t>
      </w:r>
      <w:r w:rsidR="00FB74FB" w:rsidRPr="0006669E">
        <w:rPr>
          <w:lang w:val="ro-RO"/>
        </w:rPr>
        <w:t xml:space="preserve"> după cum urmează</w:t>
      </w:r>
      <w:r w:rsidRPr="0006669E">
        <w:rPr>
          <w:lang w:val="ro-RO"/>
        </w:rPr>
        <w:t>:</w:t>
      </w:r>
    </w:p>
    <w:bookmarkEnd w:id="1"/>
    <w:p w:rsidR="00BC1C02" w:rsidRPr="0006669E" w:rsidRDefault="00BC1C02" w:rsidP="00BC1C02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standardul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EN 13094:2015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(2), </w:t>
      </w:r>
      <w:r w:rsidR="00A67918" w:rsidRPr="0006669E">
        <w:rPr>
          <w:lang w:val="ro-RO"/>
        </w:rPr>
        <w:t>se adaugă următoarea NOTĂ</w:t>
      </w:r>
      <w:r w:rsidR="00FB74FB" w:rsidRPr="0006669E">
        <w:rPr>
          <w:lang w:val="ro-RO"/>
        </w:rPr>
        <w:t>:</w:t>
      </w:r>
    </w:p>
    <w:p w:rsidR="00BC1C02" w:rsidRPr="0006669E" w:rsidRDefault="00FB74FB" w:rsidP="00BC1C02">
      <w:pPr>
        <w:pStyle w:val="SingleTxtG"/>
        <w:rPr>
          <w:lang w:val="ro-RO"/>
        </w:rPr>
      </w:pPr>
      <w:r w:rsidRPr="0006669E">
        <w:rPr>
          <w:lang w:val="ro-RO"/>
        </w:rPr>
        <w:t>“</w:t>
      </w:r>
      <w:r w:rsidR="00BC1C02" w:rsidRPr="0006669E">
        <w:rPr>
          <w:b/>
          <w:i/>
          <w:lang w:val="ro-RO"/>
        </w:rPr>
        <w:t>NOT</w:t>
      </w:r>
      <w:r w:rsidR="000B7806" w:rsidRPr="0006669E">
        <w:rPr>
          <w:b/>
          <w:i/>
          <w:lang w:val="ro-RO"/>
        </w:rPr>
        <w:t>Ă</w:t>
      </w:r>
      <w:r w:rsidR="00BC1C02" w:rsidRPr="0006669E">
        <w:rPr>
          <w:b/>
          <w:i/>
          <w:lang w:val="ro-RO"/>
        </w:rPr>
        <w:t>:</w:t>
      </w:r>
      <w:r w:rsidR="00BC1C02" w:rsidRPr="0006669E">
        <w:rPr>
          <w:i/>
          <w:lang w:val="ro-RO"/>
        </w:rPr>
        <w:tab/>
      </w:r>
      <w:r w:rsidR="00A67918" w:rsidRPr="0006669E">
        <w:rPr>
          <w:i/>
          <w:lang w:val="ro-RO"/>
        </w:rPr>
        <w:t xml:space="preserve">Sunt aplicabile, de asemenea, liniile directoare de pe site-ul de internet al secretariatului Comisiei Economice pentru Europa a Națiunilor Unite </w:t>
      </w:r>
      <w:r w:rsidR="00BC1C02" w:rsidRPr="0006669E">
        <w:rPr>
          <w:i/>
          <w:lang w:val="ro-RO"/>
        </w:rPr>
        <w:t>(</w:t>
      </w:r>
      <w:hyperlink r:id="rId9" w:history="1">
        <w:r w:rsidR="00BC1C02" w:rsidRPr="0006669E">
          <w:rPr>
            <w:rStyle w:val="Hyperlink"/>
            <w:i/>
            <w:lang w:val="ro-RO"/>
          </w:rPr>
          <w:t>http://www.unece.org/trans/danger/danger.html</w:t>
        </w:r>
      </w:hyperlink>
      <w:r w:rsidR="00BC1C02" w:rsidRPr="0006669E">
        <w:rPr>
          <w:i/>
          <w:lang w:val="ro-RO"/>
        </w:rPr>
        <w:t>)</w:t>
      </w:r>
      <w:r w:rsidR="00BC1C02" w:rsidRPr="0006669E">
        <w:rPr>
          <w:lang w:val="ro-RO"/>
        </w:rPr>
        <w:t>.</w:t>
      </w:r>
      <w:r w:rsidRPr="0006669E">
        <w:rPr>
          <w:lang w:val="ro-RO"/>
        </w:rPr>
        <w:t>”</w:t>
      </w:r>
      <w:r w:rsidR="00BC1C02" w:rsidRPr="0006669E">
        <w:rPr>
          <w:lang w:val="ro-RO"/>
        </w:rPr>
        <w:t>.</w:t>
      </w:r>
    </w:p>
    <w:p w:rsidR="00BC1C02" w:rsidRPr="0006669E" w:rsidRDefault="00BC1C02" w:rsidP="00BC1C02">
      <w:pPr>
        <w:pStyle w:val="SingleTxtG"/>
        <w:rPr>
          <w:b/>
          <w:lang w:val="ro-RO"/>
        </w:rPr>
      </w:pPr>
      <w:r w:rsidRPr="0006669E">
        <w:rPr>
          <w:lang w:val="ro-RO"/>
        </w:rPr>
        <w:t>6.8.2.6.1</w:t>
      </w:r>
      <w:r w:rsidRPr="0006669E">
        <w:rPr>
          <w:lang w:val="ro-RO"/>
        </w:rPr>
        <w:tab/>
      </w:r>
      <w:r w:rsidR="000B7806" w:rsidRPr="0006669E">
        <w:rPr>
          <w:lang w:val="ro-RO"/>
        </w:rPr>
        <w:t>Se modifică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tabelul</w:t>
      </w:r>
      <w:r w:rsidRPr="0006669E">
        <w:rPr>
          <w:lang w:val="ro-RO"/>
        </w:rPr>
        <w:t xml:space="preserve"> </w:t>
      </w:r>
      <w:r w:rsidR="000B7806" w:rsidRPr="0006669E">
        <w:rPr>
          <w:lang w:val="ro-RO"/>
        </w:rPr>
        <w:t>de sub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C86BBD" w:rsidRPr="0006669E">
        <w:rPr>
          <w:iCs/>
          <w:lang w:val="ro-RO"/>
        </w:rPr>
        <w:t>Pentru</w:t>
      </w:r>
      <w:r w:rsidRPr="0006669E">
        <w:rPr>
          <w:iCs/>
          <w:lang w:val="ro-RO"/>
        </w:rPr>
        <w:t xml:space="preserve"> </w:t>
      </w:r>
      <w:r w:rsidR="00A67918" w:rsidRPr="0006669E">
        <w:rPr>
          <w:iCs/>
          <w:lang w:val="ro-RO"/>
        </w:rPr>
        <w:t>echipamente</w:t>
      </w:r>
      <w:r w:rsidR="00FB74FB" w:rsidRPr="0006669E">
        <w:rPr>
          <w:lang w:val="ro-RO"/>
        </w:rPr>
        <w:t>”</w:t>
      </w:r>
      <w:r w:rsidR="000B7806" w:rsidRPr="0006669E">
        <w:rPr>
          <w:lang w:val="ro-RO"/>
        </w:rPr>
        <w:t>,</w:t>
      </w:r>
      <w:r w:rsidR="00FB74FB" w:rsidRPr="0006669E">
        <w:rPr>
          <w:lang w:val="ro-RO"/>
        </w:rPr>
        <w:t xml:space="preserve"> după cum urmează</w:t>
      </w:r>
      <w:r w:rsidRPr="0006669E">
        <w:rPr>
          <w:lang w:val="ro-RO"/>
        </w:rPr>
        <w:t>:</w:t>
      </w:r>
    </w:p>
    <w:p w:rsidR="00E45CF9" w:rsidRPr="0006669E" w:rsidRDefault="00E45CF9" w:rsidP="00E45CF9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standardul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EN 14432:2014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(2), </w:t>
      </w:r>
      <w:r w:rsidR="000B7806" w:rsidRPr="0006669E">
        <w:rPr>
          <w:lang w:val="ro-RO"/>
        </w:rPr>
        <w:t>Se modifică</w:t>
      </w:r>
      <w:r w:rsidRPr="0006669E">
        <w:rPr>
          <w:lang w:val="ro-RO"/>
        </w:rPr>
        <w:t xml:space="preserve"> NOTA</w:t>
      </w:r>
      <w:r w:rsidR="000B7806" w:rsidRPr="0006669E">
        <w:rPr>
          <w:lang w:val="ro-RO"/>
        </w:rPr>
        <w:t>,</w:t>
      </w:r>
      <w:r w:rsidR="00FB74FB" w:rsidRPr="0006669E">
        <w:rPr>
          <w:lang w:val="ro-RO"/>
        </w:rPr>
        <w:t xml:space="preserve"> după cum urmează:</w:t>
      </w:r>
    </w:p>
    <w:p w:rsidR="00E45CF9" w:rsidRPr="0006669E" w:rsidRDefault="00FB74FB" w:rsidP="00E45CF9">
      <w:pPr>
        <w:pStyle w:val="SingleTxtG"/>
        <w:rPr>
          <w:lang w:val="ro-RO"/>
        </w:rPr>
      </w:pPr>
      <w:r w:rsidRPr="0006669E">
        <w:rPr>
          <w:lang w:val="ro-RO"/>
        </w:rPr>
        <w:t>“</w:t>
      </w:r>
      <w:r w:rsidR="00E45CF9" w:rsidRPr="0006669E">
        <w:rPr>
          <w:b/>
          <w:i/>
          <w:lang w:val="ro-RO"/>
        </w:rPr>
        <w:t>NOT</w:t>
      </w:r>
      <w:r w:rsidRPr="0006669E">
        <w:rPr>
          <w:b/>
          <w:i/>
          <w:lang w:val="ro-RO"/>
        </w:rPr>
        <w:t>Ă</w:t>
      </w:r>
      <w:r w:rsidR="00E45CF9" w:rsidRPr="0006669E">
        <w:rPr>
          <w:b/>
          <w:i/>
          <w:lang w:val="ro-RO"/>
        </w:rPr>
        <w:t>:</w:t>
      </w:r>
      <w:r w:rsidR="00E45CF9" w:rsidRPr="0006669E">
        <w:rPr>
          <w:i/>
          <w:lang w:val="ro-RO"/>
        </w:rPr>
        <w:tab/>
      </w:r>
      <w:r w:rsidR="00A67918" w:rsidRPr="0006669E">
        <w:rPr>
          <w:i/>
          <w:lang w:val="ro-RO"/>
        </w:rPr>
        <w:t>Prezentul standard poate fi aplicat, de asemenea, cisternelor</w:t>
      </w:r>
      <w:r w:rsidR="00974483" w:rsidRPr="0006669E">
        <w:rPr>
          <w:i/>
          <w:lang w:val="ro-RO"/>
        </w:rPr>
        <w:t xml:space="preserve"> cu golire gravitațională</w:t>
      </w:r>
      <w:r w:rsidR="00E45CF9" w:rsidRPr="0006669E">
        <w:rPr>
          <w:i/>
          <w:lang w:val="ro-RO"/>
        </w:rPr>
        <w:t>.</w:t>
      </w:r>
      <w:r w:rsidRPr="0006669E">
        <w:rPr>
          <w:lang w:val="ro-RO"/>
        </w:rPr>
        <w:t>”</w:t>
      </w:r>
      <w:r w:rsidR="00E45CF9" w:rsidRPr="0006669E">
        <w:rPr>
          <w:lang w:val="ro-RO"/>
        </w:rPr>
        <w:t>.</w:t>
      </w:r>
    </w:p>
    <w:p w:rsidR="00E45CF9" w:rsidRPr="0006669E" w:rsidRDefault="00E45CF9" w:rsidP="00E45CF9">
      <w:pPr>
        <w:pStyle w:val="SingleTxtG"/>
        <w:rPr>
          <w:lang w:val="ro-RO"/>
        </w:rPr>
      </w:pPr>
      <w:r w:rsidRPr="0006669E">
        <w:rPr>
          <w:lang w:val="ro-RO"/>
        </w:rPr>
        <w:t>–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Pentru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standardul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EN 14433:2014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 xml:space="preserve">,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coloana</w:t>
      </w:r>
      <w:r w:rsidRPr="0006669E">
        <w:rPr>
          <w:lang w:val="ro-RO"/>
        </w:rPr>
        <w:t xml:space="preserve"> (2), </w:t>
      </w:r>
      <w:r w:rsidR="000B7806" w:rsidRPr="0006669E">
        <w:rPr>
          <w:lang w:val="ro-RO"/>
        </w:rPr>
        <w:t>Se modifică</w:t>
      </w:r>
      <w:r w:rsidRPr="0006669E">
        <w:rPr>
          <w:lang w:val="ro-RO"/>
        </w:rPr>
        <w:t xml:space="preserve"> NOTA</w:t>
      </w:r>
      <w:r w:rsidR="00FB74FB" w:rsidRPr="0006669E">
        <w:rPr>
          <w:lang w:val="ro-RO"/>
        </w:rPr>
        <w:t>, după cum urmează:</w:t>
      </w:r>
    </w:p>
    <w:p w:rsidR="00E45CF9" w:rsidRPr="0006669E" w:rsidRDefault="00FB74FB" w:rsidP="00E45CF9">
      <w:pPr>
        <w:pStyle w:val="SingleTxtG"/>
        <w:rPr>
          <w:lang w:val="ro-RO"/>
        </w:rPr>
      </w:pPr>
      <w:r w:rsidRPr="0006669E">
        <w:rPr>
          <w:lang w:val="ro-RO"/>
        </w:rPr>
        <w:t>“</w:t>
      </w:r>
      <w:r w:rsidR="00E45CF9" w:rsidRPr="0006669E">
        <w:rPr>
          <w:b/>
          <w:i/>
          <w:lang w:val="ro-RO"/>
        </w:rPr>
        <w:t>NOT</w:t>
      </w:r>
      <w:r w:rsidRPr="0006669E">
        <w:rPr>
          <w:b/>
          <w:i/>
          <w:lang w:val="ro-RO"/>
        </w:rPr>
        <w:t>Ă</w:t>
      </w:r>
      <w:r w:rsidR="00E45CF9" w:rsidRPr="0006669E">
        <w:rPr>
          <w:b/>
          <w:i/>
          <w:lang w:val="ro-RO"/>
        </w:rPr>
        <w:t>:</w:t>
      </w:r>
      <w:r w:rsidR="00E45CF9" w:rsidRPr="0006669E">
        <w:rPr>
          <w:i/>
          <w:lang w:val="ro-RO"/>
        </w:rPr>
        <w:tab/>
      </w:r>
      <w:r w:rsidR="00974483" w:rsidRPr="0006669E">
        <w:rPr>
          <w:i/>
          <w:lang w:val="ro-RO"/>
        </w:rPr>
        <w:t>Prezentul standard poate fi aplicat, de asemenea, cisternelor cu golire gravitațională</w:t>
      </w:r>
      <w:r w:rsidR="00E45CF9" w:rsidRPr="0006669E">
        <w:rPr>
          <w:i/>
          <w:lang w:val="ro-RO"/>
        </w:rPr>
        <w:t>.</w:t>
      </w:r>
      <w:r w:rsidRPr="0006669E">
        <w:rPr>
          <w:lang w:val="ro-RO"/>
        </w:rPr>
        <w:t>”</w:t>
      </w:r>
      <w:r w:rsidR="00E45CF9" w:rsidRPr="0006669E">
        <w:rPr>
          <w:lang w:val="ro-RO"/>
        </w:rPr>
        <w:t>.</w:t>
      </w:r>
    </w:p>
    <w:p w:rsidR="00E45CF9" w:rsidRPr="0006669E" w:rsidRDefault="00E45CF9" w:rsidP="00E45CF9">
      <w:pPr>
        <w:pStyle w:val="SingleTxtG"/>
        <w:rPr>
          <w:rStyle w:val="st"/>
          <w:lang w:val="ro-RO"/>
        </w:rPr>
      </w:pPr>
      <w:r w:rsidRPr="0006669E">
        <w:rPr>
          <w:lang w:val="ro-RO"/>
        </w:rPr>
        <w:t>6.8.5.4</w:t>
      </w:r>
      <w:r w:rsidRPr="0006669E">
        <w:rPr>
          <w:lang w:val="ro-RO"/>
        </w:rPr>
        <w:tab/>
      </w:r>
      <w:r w:rsidR="00F040D5"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5D0D06" w:rsidRPr="0006669E">
        <w:rPr>
          <w:szCs w:val="22"/>
          <w:lang w:val="ro-RO"/>
        </w:rPr>
        <w:t xml:space="preserve">EN 1252-2:1998 Recipiente criogenice – Materiale – Partea 2: Prescripții de rezistență la temperaturi cuprinse între - 80 </w:t>
      </w:r>
      <w:r w:rsidR="005D0D06" w:rsidRPr="0006669E">
        <w:rPr>
          <w:szCs w:val="22"/>
          <w:lang w:val="ro-RO"/>
        </w:rPr>
        <w:sym w:font="Symbol" w:char="F0B0"/>
      </w:r>
      <w:r w:rsidR="005D0D06" w:rsidRPr="0006669E">
        <w:rPr>
          <w:szCs w:val="22"/>
          <w:lang w:val="ro-RO"/>
        </w:rPr>
        <w:t xml:space="preserve">C și - 20 </w:t>
      </w:r>
      <w:r w:rsidR="005D0D06" w:rsidRPr="0006669E">
        <w:rPr>
          <w:szCs w:val="22"/>
          <w:lang w:val="ro-RO"/>
        </w:rPr>
        <w:sym w:font="Symbol" w:char="F0B0"/>
      </w:r>
      <w:r w:rsidR="005D0D06" w:rsidRPr="0006669E">
        <w:rPr>
          <w:szCs w:val="22"/>
          <w:lang w:val="ro-RO"/>
        </w:rPr>
        <w:t>C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</w:t>
      </w:r>
      <w:r w:rsidR="00FB74FB" w:rsidRPr="0006669E">
        <w:rPr>
          <w:lang w:val="ro-RO"/>
        </w:rPr>
        <w:t>:</w:t>
      </w:r>
      <w:r w:rsidR="00A307D5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 xml:space="preserve">EN ISO 21028-2:2018 </w:t>
      </w:r>
      <w:r w:rsidR="005D0D06" w:rsidRPr="0006669E">
        <w:rPr>
          <w:rStyle w:val="st"/>
          <w:lang w:val="ro-RO"/>
        </w:rPr>
        <w:t>Recipiente criogenice</w:t>
      </w:r>
      <w:r w:rsidRPr="0006669E">
        <w:rPr>
          <w:rStyle w:val="st"/>
          <w:lang w:val="ro-RO"/>
        </w:rPr>
        <w:t xml:space="preserve"> - </w:t>
      </w:r>
      <w:r w:rsidR="005D0D06" w:rsidRPr="0006669E">
        <w:rPr>
          <w:rStyle w:val="st"/>
          <w:lang w:val="ro-RO"/>
        </w:rPr>
        <w:t>C</w:t>
      </w:r>
      <w:hyperlink r:id="rId10" w:history="1">
        <w:r w:rsidR="005D0D06" w:rsidRPr="0006669E">
          <w:rPr>
            <w:rStyle w:val="Hyperlink"/>
            <w:lang w:val="ro-RO"/>
          </w:rPr>
          <w:t xml:space="preserve">erinţe de rezistenţă pentru materiale la temperaturi criogenice - Partea 2: Temperaturi cuprinse între </w:t>
        </w:r>
      </w:hyperlink>
      <w:r w:rsidRPr="0006669E">
        <w:rPr>
          <w:rStyle w:val="st"/>
          <w:lang w:val="ro-RO"/>
        </w:rPr>
        <w:t>-</w:t>
      </w:r>
      <w:r w:rsidR="005D0D06" w:rsidRPr="0006669E">
        <w:rPr>
          <w:rStyle w:val="st"/>
          <w:lang w:val="ro-RO"/>
        </w:rPr>
        <w:t xml:space="preserve"> </w:t>
      </w:r>
      <w:r w:rsidRPr="0006669E">
        <w:rPr>
          <w:rStyle w:val="st"/>
          <w:lang w:val="ro-RO"/>
        </w:rPr>
        <w:t>80 °C</w:t>
      </w:r>
      <w:r w:rsidR="004F6379" w:rsidRPr="0006669E">
        <w:rPr>
          <w:rStyle w:val="st"/>
          <w:lang w:val="ro-RO"/>
        </w:rPr>
        <w:t xml:space="preserve"> și </w:t>
      </w:r>
      <w:r w:rsidRPr="0006669E">
        <w:rPr>
          <w:rStyle w:val="st"/>
          <w:lang w:val="ro-RO"/>
        </w:rPr>
        <w:t>-</w:t>
      </w:r>
      <w:r w:rsidR="005D0D06" w:rsidRPr="0006669E">
        <w:rPr>
          <w:rStyle w:val="st"/>
          <w:lang w:val="ro-RO"/>
        </w:rPr>
        <w:t xml:space="preserve"> </w:t>
      </w:r>
      <w:r w:rsidRPr="0006669E">
        <w:rPr>
          <w:rStyle w:val="st"/>
          <w:lang w:val="ro-RO"/>
        </w:rPr>
        <w:t>20 °C</w:t>
      </w:r>
      <w:r w:rsidR="00FB74FB" w:rsidRPr="0006669E">
        <w:rPr>
          <w:rStyle w:val="st"/>
          <w:lang w:val="ro-RO"/>
        </w:rPr>
        <w:t>”</w:t>
      </w:r>
      <w:r w:rsidRPr="0006669E">
        <w:rPr>
          <w:rStyle w:val="st"/>
          <w:lang w:val="ro-RO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7.5</w:t>
      </w:r>
    </w:p>
    <w:p w:rsidR="00EB465D" w:rsidRDefault="00EB465D" w:rsidP="001923AA">
      <w:pPr>
        <w:pStyle w:val="SingleTxtG"/>
        <w:rPr>
          <w:lang w:val="ro-RO"/>
        </w:rPr>
      </w:pPr>
      <w:r w:rsidRPr="00EB465D">
        <w:rPr>
          <w:lang w:val="ro-RO"/>
        </w:rPr>
        <w:t xml:space="preserve">7.5.5.3 </w:t>
      </w:r>
      <w:r>
        <w:rPr>
          <w:lang w:val="ro-RO"/>
        </w:rPr>
        <w:tab/>
      </w:r>
      <w:r w:rsidRPr="00EB465D">
        <w:rPr>
          <w:lang w:val="ro-RO"/>
        </w:rPr>
        <w:t xml:space="preserve">Se modifică titlul Sub-secțiunii, după cum urmează:  </w:t>
      </w:r>
      <w:r w:rsidRPr="00EB465D">
        <w:rPr>
          <w:b/>
          <w:i/>
          <w:lang w:val="ro-RO"/>
        </w:rPr>
        <w:t>Limitări referitoare la peroxizi organici, substanțe autoreactive și substanțe care polimerizează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7.5.7.6.1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AA5619" w:rsidRPr="0006669E">
        <w:rPr>
          <w:lang w:val="ro-RO"/>
        </w:rPr>
        <w:t>a</w:t>
      </w:r>
      <w:r w:rsidRPr="0006669E">
        <w:rPr>
          <w:lang w:val="ro-RO"/>
        </w:rPr>
        <w:t xml:space="preserve"> de </w:t>
      </w:r>
      <w:r w:rsidR="00AA5619" w:rsidRPr="0006669E">
        <w:rPr>
          <w:lang w:val="ro-RO"/>
        </w:rPr>
        <w:t>subsol</w:t>
      </w:r>
      <w:r w:rsidRPr="0006669E">
        <w:rPr>
          <w:lang w:val="ro-RO"/>
        </w:rPr>
        <w:t xml:space="preserve"> 2),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cu: “Regulamentul ONU”</w:t>
      </w:r>
      <w:r w:rsidRPr="0006669E">
        <w:rPr>
          <w:lang w:val="ro-RO"/>
        </w:rPr>
        <w:t>.</w:t>
      </w:r>
    </w:p>
    <w:p w:rsidR="001923AA" w:rsidRPr="0006669E" w:rsidRDefault="001923AA" w:rsidP="0008534C">
      <w:pPr>
        <w:pStyle w:val="H1G"/>
        <w:rPr>
          <w:lang w:val="ro-RO"/>
        </w:rPr>
      </w:pPr>
      <w:r w:rsidRPr="0006669E">
        <w:rPr>
          <w:lang w:val="ro-RO"/>
        </w:rPr>
        <w:lastRenderedPageBreak/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9.1</w:t>
      </w:r>
    </w:p>
    <w:p w:rsidR="001923AA" w:rsidRPr="0006669E" w:rsidRDefault="00361536" w:rsidP="001923AA">
      <w:pPr>
        <w:pStyle w:val="SingleTxtG"/>
        <w:rPr>
          <w:lang w:val="ro-RO"/>
        </w:rPr>
      </w:pPr>
      <w:r w:rsidRPr="0006669E">
        <w:rPr>
          <w:lang w:val="ro-RO"/>
        </w:rPr>
        <w:t>9.1.1.2</w:t>
      </w: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="001923AA" w:rsidRPr="0006669E">
        <w:rPr>
          <w:lang w:val="ro-RO"/>
        </w:rPr>
        <w:t xml:space="preserve"> d</w:t>
      </w:r>
      <w:r w:rsidR="00610F48" w:rsidRPr="0006669E">
        <w:rPr>
          <w:lang w:val="ro-RO"/>
        </w:rPr>
        <w:t>e</w:t>
      </w:r>
      <w:r w:rsidR="001923AA" w:rsidRPr="0006669E">
        <w:rPr>
          <w:lang w:val="ro-RO"/>
        </w:rPr>
        <w:t>fini</w:t>
      </w:r>
      <w:r w:rsidR="00610F48" w:rsidRPr="0006669E">
        <w:rPr>
          <w:lang w:val="ro-RO"/>
        </w:rPr>
        <w:t>ția pentru</w:t>
      </w:r>
      <w:r w:rsidR="001923AA"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1923AA" w:rsidRPr="0006669E">
        <w:rPr>
          <w:lang w:val="ro-RO"/>
        </w:rPr>
        <w:t>V</w:t>
      </w:r>
      <w:r w:rsidR="00610F48" w:rsidRPr="0006669E">
        <w:rPr>
          <w:lang w:val="ro-RO"/>
        </w:rPr>
        <w:t>e</w:t>
      </w:r>
      <w:r w:rsidR="001923AA" w:rsidRPr="0006669E">
        <w:rPr>
          <w:lang w:val="ro-RO"/>
        </w:rPr>
        <w:t>hicul FL</w:t>
      </w:r>
      <w:r w:rsidR="00FB74FB" w:rsidRPr="0006669E">
        <w:rPr>
          <w:lang w:val="ro-RO"/>
        </w:rPr>
        <w:t>”</w:t>
      </w:r>
      <w:r w:rsidR="001923AA" w:rsidRPr="0006669E">
        <w:rPr>
          <w:lang w:val="ro-RO"/>
        </w:rPr>
        <w:t xml:space="preserve">, </w:t>
      </w:r>
      <w:r w:rsidR="00610F48" w:rsidRPr="0006669E">
        <w:rPr>
          <w:lang w:val="ro-RO"/>
        </w:rPr>
        <w:t>la litera</w:t>
      </w:r>
      <w:r w:rsidR="001923AA" w:rsidRPr="0006669E">
        <w:rPr>
          <w:lang w:val="ro-RO"/>
        </w:rPr>
        <w:t xml:space="preserve"> a), </w:t>
      </w:r>
      <w:r w:rsidR="00FB74FB" w:rsidRPr="0006669E">
        <w:rPr>
          <w:lang w:val="ro-RO"/>
        </w:rPr>
        <w:t>Se înlocuiește</w:t>
      </w:r>
      <w:r w:rsidR="001923AA"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1923AA" w:rsidRPr="0006669E">
        <w:rPr>
          <w:lang w:val="ro-RO"/>
        </w:rPr>
        <w:t>EN 590:2013 + AC:2014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FB74FB" w:rsidRPr="0006669E">
        <w:rPr>
          <w:lang w:val="ro-RO"/>
        </w:rPr>
        <w:t>“</w:t>
      </w:r>
      <w:r w:rsidR="001923AA" w:rsidRPr="0006669E">
        <w:rPr>
          <w:lang w:val="ro-RO"/>
        </w:rPr>
        <w:t>EN 590:2013 + A1:2017</w:t>
      </w:r>
      <w:r w:rsidR="00FB74FB" w:rsidRPr="0006669E">
        <w:rPr>
          <w:lang w:val="ro-RO"/>
        </w:rPr>
        <w:t>”</w:t>
      </w:r>
      <w:r w:rsidR="001923AA" w:rsidRPr="0006669E">
        <w:rPr>
          <w:lang w:val="ro-RO"/>
        </w:rPr>
        <w:t xml:space="preserve"> (</w:t>
      </w:r>
      <w:r w:rsidR="00610F48" w:rsidRPr="0006669E">
        <w:rPr>
          <w:lang w:val="ro-RO"/>
        </w:rPr>
        <w:t>de două ori</w:t>
      </w:r>
      <w:r w:rsidR="001923AA" w:rsidRPr="0006669E">
        <w:rPr>
          <w:lang w:val="ro-RO"/>
        </w:rPr>
        <w:t>).</w:t>
      </w:r>
    </w:p>
    <w:p w:rsidR="00775018" w:rsidRPr="0006669E" w:rsidRDefault="00775018" w:rsidP="00775018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9.1.1.2</w:t>
      </w:r>
      <w:r w:rsidRPr="0006669E">
        <w:rPr>
          <w:lang w:val="ro-RO"/>
        </w:rPr>
        <w:tab/>
      </w:r>
      <w:r w:rsidR="005428BE" w:rsidRPr="0006669E">
        <w:rPr>
          <w:lang w:val="ro-RO"/>
        </w:rPr>
        <w:t>În definiția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>V</w:t>
      </w:r>
      <w:r w:rsidR="00610F48" w:rsidRPr="0006669E">
        <w:rPr>
          <w:lang w:val="ro-RO"/>
        </w:rPr>
        <w:t>e</w:t>
      </w:r>
      <w:r w:rsidRPr="0006669E">
        <w:rPr>
          <w:lang w:val="ro-RO"/>
        </w:rPr>
        <w:t>hicul omolog</w:t>
      </w:r>
      <w:r w:rsidR="00610F48" w:rsidRPr="0006669E">
        <w:rPr>
          <w:lang w:val="ro-RO"/>
        </w:rPr>
        <w:t>at</w:t>
      </w:r>
      <w:r w:rsidR="00C86BBD" w:rsidRPr="0006669E">
        <w:rPr>
          <w:lang w:val="ro-RO"/>
        </w:rPr>
        <w:t xml:space="preserve"> </w:t>
      </w:r>
      <w:r w:rsidR="00610F48" w:rsidRPr="0006669E">
        <w:rPr>
          <w:lang w:val="ro-RO"/>
        </w:rPr>
        <w:t>de</w:t>
      </w:r>
      <w:r w:rsidR="00C86BBD" w:rsidRPr="0006669E">
        <w:rPr>
          <w:lang w:val="ro-RO"/>
        </w:rPr>
        <w:t xml:space="preserve"> </w:t>
      </w:r>
      <w:r w:rsidRPr="0006669E">
        <w:rPr>
          <w:lang w:val="ro-RO"/>
        </w:rPr>
        <w:t>t</w:t>
      </w:r>
      <w:r w:rsidR="00610F48" w:rsidRPr="0006669E">
        <w:rPr>
          <w:lang w:val="ro-RO"/>
        </w:rPr>
        <w:t>i</w:t>
      </w:r>
      <w:r w:rsidRPr="0006669E">
        <w:rPr>
          <w:lang w:val="ro-RO"/>
        </w:rPr>
        <w:t>p</w:t>
      </w:r>
      <w:r w:rsidR="00FB74FB" w:rsidRPr="0006669E">
        <w:rPr>
          <w:lang w:val="ro-RO"/>
        </w:rPr>
        <w:t>”</w:t>
      </w:r>
      <w:r w:rsidR="004F6379" w:rsidRPr="0006669E">
        <w:rPr>
          <w:lang w:val="ro-RO"/>
        </w:rPr>
        <w:t xml:space="preserve">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610F48" w:rsidRPr="0006669E">
        <w:rPr>
          <w:lang w:val="ro-RO"/>
        </w:rPr>
        <w:t>nota de subsol</w:t>
      </w:r>
      <w:r w:rsidRPr="0006669E">
        <w:rPr>
          <w:lang w:val="ro-RO"/>
        </w:rPr>
        <w:t xml:space="preserve"> 2),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</w:t>
      </w:r>
      <w:r w:rsidR="006E6520">
        <w:rPr>
          <w:lang w:val="ro-RO"/>
        </w:rPr>
        <w:t>ul</w:t>
      </w:r>
      <w:r w:rsidR="00780965" w:rsidRPr="0006669E">
        <w:rPr>
          <w:lang w:val="ro-RO"/>
        </w:rPr>
        <w:t xml:space="preserve"> CEE-ONU” cu “Regulamentul ONU”</w:t>
      </w:r>
      <w:r w:rsidR="006E6520">
        <w:rPr>
          <w:lang w:val="ro-RO"/>
        </w:rPr>
        <w:t xml:space="preserve"> și </w:t>
      </w:r>
      <w:r w:rsidR="006E6520" w:rsidRPr="0006669E">
        <w:rPr>
          <w:lang w:val="ro-RO"/>
        </w:rPr>
        <w:t>“Regulament CEE-ONU” cu “Regulamentul ONU”</w:t>
      </w:r>
      <w:r w:rsidRPr="0006669E">
        <w:rPr>
          <w:lang w:val="ro-RO"/>
        </w:rPr>
        <w:t>.</w:t>
      </w:r>
    </w:p>
    <w:p w:rsidR="00775018" w:rsidRPr="0006669E" w:rsidRDefault="00775018" w:rsidP="00775018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9.1.2.1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5428BE" w:rsidRPr="0006669E">
        <w:rPr>
          <w:lang w:val="ro-RO"/>
        </w:rPr>
        <w:t>ultimul paragraf</w:t>
      </w:r>
      <w:r w:rsidR="004F6379" w:rsidRPr="0006669E">
        <w:rPr>
          <w:lang w:val="ro-RO"/>
        </w:rPr>
        <w:t xml:space="preserve">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5428BE" w:rsidRPr="0006669E">
        <w:rPr>
          <w:lang w:val="ro-RO"/>
        </w:rPr>
        <w:t>nota de subsol</w:t>
      </w:r>
      <w:r w:rsidRPr="0006669E">
        <w:rPr>
          <w:lang w:val="ro-RO"/>
        </w:rPr>
        <w:t xml:space="preserve"> 3),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6E6520" w:rsidRPr="0006669E">
        <w:rPr>
          <w:lang w:val="ro-RO"/>
        </w:rPr>
        <w:t>“Regulament</w:t>
      </w:r>
      <w:r w:rsidR="006E6520">
        <w:rPr>
          <w:lang w:val="ro-RO"/>
        </w:rPr>
        <w:t>ului</w:t>
      </w:r>
      <w:r w:rsidR="006E6520" w:rsidRPr="0006669E">
        <w:rPr>
          <w:lang w:val="ro-RO"/>
        </w:rPr>
        <w:t xml:space="preserve"> CEE-ONU” cu “Regulamentul</w:t>
      </w:r>
      <w:r w:rsidR="006E6520">
        <w:rPr>
          <w:lang w:val="ro-RO"/>
        </w:rPr>
        <w:t>ui</w:t>
      </w:r>
      <w:r w:rsidR="006E6520" w:rsidRPr="0006669E">
        <w:rPr>
          <w:lang w:val="ro-RO"/>
        </w:rPr>
        <w:t xml:space="preserve"> ONU”</w:t>
      </w:r>
      <w:r w:rsidR="006E6520">
        <w:rPr>
          <w:lang w:val="ro-RO"/>
        </w:rPr>
        <w:t xml:space="preserve"> și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775018" w:rsidRPr="0006669E" w:rsidRDefault="00775018" w:rsidP="00775018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9.1.2.2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</w:t>
      </w:r>
      <w:r w:rsidR="006E6520">
        <w:rPr>
          <w:lang w:val="ro-RO"/>
        </w:rPr>
        <w:t>ui</w:t>
      </w:r>
      <w:r w:rsidR="00780965" w:rsidRPr="0006669E">
        <w:rPr>
          <w:lang w:val="ro-RO"/>
        </w:rPr>
        <w:t xml:space="preserve"> CEE-ONU” cu “Regulamentul</w:t>
      </w:r>
      <w:r w:rsidR="006E6520">
        <w:rPr>
          <w:lang w:val="ro-RO"/>
        </w:rPr>
        <w:t>ui</w:t>
      </w:r>
      <w:r w:rsidR="00780965" w:rsidRPr="0006669E">
        <w:rPr>
          <w:lang w:val="ro-RO"/>
        </w:rPr>
        <w:t xml:space="preserve"> ONU”</w:t>
      </w:r>
      <w:r w:rsidR="006E6520">
        <w:rPr>
          <w:lang w:val="ro-RO"/>
        </w:rPr>
        <w:t xml:space="preserve"> și </w:t>
      </w:r>
      <w:r w:rsidR="006E6520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08534C" w:rsidP="0008534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="001923AA" w:rsidRPr="0006669E">
        <w:rPr>
          <w:lang w:val="ro-RO"/>
        </w:rPr>
        <w:t xml:space="preserve"> 9.2</w:t>
      </w:r>
    </w:p>
    <w:p w:rsidR="001923AA" w:rsidRPr="0006669E" w:rsidRDefault="001923AA" w:rsidP="00B7234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9.2.1.1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cu: “Regulamentul ONU”</w:t>
      </w:r>
      <w:r w:rsidRPr="0006669E">
        <w:rPr>
          <w:lang w:val="ro-RO"/>
        </w:rPr>
        <w:t xml:space="preserve"> (de</w:t>
      </w:r>
      <w:r w:rsidR="005428BE" w:rsidRPr="0006669E">
        <w:rPr>
          <w:lang w:val="ro-RO"/>
        </w:rPr>
        <w:t xml:space="preserve"> două ori</w:t>
      </w:r>
      <w:r w:rsidRPr="0006669E">
        <w:rPr>
          <w:lang w:val="ro-RO"/>
        </w:rPr>
        <w:t>).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9.2.2.6.2</w:t>
      </w:r>
      <w:r w:rsidRPr="0006669E">
        <w:rPr>
          <w:lang w:val="ro-RO"/>
        </w:rPr>
        <w:tab/>
      </w:r>
      <w:r w:rsidR="005428BE" w:rsidRPr="0006669E">
        <w:rPr>
          <w:lang w:val="ro-RO"/>
        </w:rPr>
        <w:t>La al doilea alineat</w:t>
      </w:r>
      <w:r w:rsidR="004F6379" w:rsidRPr="0006669E">
        <w:rPr>
          <w:lang w:val="ro-RO"/>
        </w:rPr>
        <w:t xml:space="preserve">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5428BE" w:rsidRPr="0006669E">
        <w:rPr>
          <w:lang w:val="ro-RO"/>
        </w:rPr>
        <w:t>a</w:t>
      </w:r>
      <w:r w:rsidRPr="0006669E">
        <w:rPr>
          <w:lang w:val="ro-RO"/>
        </w:rPr>
        <w:t xml:space="preserve"> de </w:t>
      </w:r>
      <w:r w:rsidR="005428BE" w:rsidRPr="0006669E">
        <w:rPr>
          <w:lang w:val="ro-RO"/>
        </w:rPr>
        <w:t>subsol</w:t>
      </w:r>
      <w:r w:rsidRPr="0006669E">
        <w:rPr>
          <w:lang w:val="ro-RO"/>
        </w:rPr>
        <w:t xml:space="preserve"> 2),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9.2.3.1.1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text</w:t>
      </w:r>
      <w:r w:rsidR="005428BE" w:rsidRPr="0006669E">
        <w:rPr>
          <w:lang w:val="ro-RO"/>
        </w:rPr>
        <w:t>ul</w:t>
      </w:r>
      <w:r w:rsidRPr="0006669E">
        <w:rPr>
          <w:lang w:val="ro-RO"/>
        </w:rPr>
        <w:t xml:space="preserve"> paragra</w:t>
      </w:r>
      <w:r w:rsidR="005428BE" w:rsidRPr="0006669E">
        <w:rPr>
          <w:lang w:val="ro-RO"/>
        </w:rPr>
        <w:t xml:space="preserve">fului </w:t>
      </w:r>
      <w:r w:rsidR="004F6379" w:rsidRPr="0006669E">
        <w:rPr>
          <w:lang w:val="ro-RO"/>
        </w:rPr>
        <w:t xml:space="preserve">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5428BE" w:rsidRPr="0006669E">
        <w:rPr>
          <w:lang w:val="ro-RO"/>
        </w:rPr>
        <w:t>a</w:t>
      </w:r>
      <w:r w:rsidRPr="0006669E">
        <w:rPr>
          <w:lang w:val="ro-RO"/>
        </w:rPr>
        <w:t xml:space="preserve"> de </w:t>
      </w:r>
      <w:r w:rsidR="005428BE" w:rsidRPr="0006669E">
        <w:rPr>
          <w:lang w:val="ro-RO"/>
        </w:rPr>
        <w:t>subsol</w:t>
      </w:r>
      <w:r w:rsidRPr="0006669E">
        <w:rPr>
          <w:lang w:val="ro-RO"/>
        </w:rPr>
        <w:t xml:space="preserve"> </w:t>
      </w:r>
      <w:r w:rsidR="00FB4274" w:rsidRPr="0006669E">
        <w:rPr>
          <w:lang w:val="ro-RO"/>
        </w:rPr>
        <w:t>4</w:t>
      </w:r>
      <w:r w:rsidRPr="0006669E">
        <w:rPr>
          <w:lang w:val="ro-RO"/>
        </w:rPr>
        <w:t xml:space="preserve">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1923AA">
      <w:pPr>
        <w:pStyle w:val="SingleTxtG"/>
        <w:rPr>
          <w:lang w:val="ro-RO"/>
        </w:rPr>
      </w:pPr>
      <w:r w:rsidRPr="0006669E">
        <w:rPr>
          <w:lang w:val="ro-RO"/>
        </w:rPr>
        <w:t>9.2.3.1.2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1923A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9.2.4.3</w:t>
      </w:r>
      <w:r w:rsidRPr="0006669E">
        <w:rPr>
          <w:lang w:val="ro-RO"/>
        </w:rPr>
        <w:tab/>
      </w:r>
      <w:r w:rsidR="009A4EA5" w:rsidRPr="009A4EA5">
        <w:rPr>
          <w:lang w:val="ro-RO"/>
        </w:rPr>
        <w:t>La alineatul b) și în notele de subsol 5), 6) și 7), Se înlocuiește “Regulamentul CEE-ONU” cu “Regulamentul ONU” și “Regulamentului CEE-ONU” cu: “Regulamentului ONU” (de două ori).</w:t>
      </w:r>
    </w:p>
    <w:p w:rsidR="001923AA" w:rsidRPr="0006669E" w:rsidRDefault="001923AA" w:rsidP="001923A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9.2.4.4</w:t>
      </w:r>
      <w:r w:rsidRPr="0006669E">
        <w:rPr>
          <w:lang w:val="ro-RO"/>
        </w:rPr>
        <w:tab/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 xml:space="preserve"> (</w:t>
      </w:r>
      <w:r w:rsidR="005428BE" w:rsidRPr="0006669E">
        <w:rPr>
          <w:lang w:val="ro-RO"/>
        </w:rPr>
        <w:t>de patru ori</w:t>
      </w:r>
      <w:r w:rsidRPr="0006669E">
        <w:rPr>
          <w:lang w:val="ro-RO"/>
        </w:rPr>
        <w:t>).</w:t>
      </w:r>
    </w:p>
    <w:p w:rsidR="001923AA" w:rsidRPr="0006669E" w:rsidRDefault="001923AA" w:rsidP="005E6428">
      <w:pPr>
        <w:pStyle w:val="SingleTxtG"/>
        <w:rPr>
          <w:lang w:val="ro-RO"/>
        </w:rPr>
      </w:pPr>
      <w:r w:rsidRPr="0006669E">
        <w:rPr>
          <w:lang w:val="ro-RO"/>
        </w:rPr>
        <w:t>9.2.4.7.1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4F6379" w:rsidRPr="0006669E">
        <w:rPr>
          <w:lang w:val="ro-RO"/>
        </w:rPr>
        <w:t xml:space="preserve">textul paragrafului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4F6379" w:rsidRPr="0006669E">
        <w:rPr>
          <w:lang w:val="ro-RO"/>
        </w:rPr>
        <w:t>a</w:t>
      </w:r>
      <w:r w:rsidRPr="0006669E">
        <w:rPr>
          <w:lang w:val="ro-RO"/>
        </w:rPr>
        <w:t xml:space="preserve"> de </w:t>
      </w:r>
      <w:r w:rsidR="004F6379" w:rsidRPr="0006669E">
        <w:rPr>
          <w:lang w:val="ro-RO"/>
        </w:rPr>
        <w:t>subsol</w:t>
      </w:r>
      <w:r w:rsidRPr="0006669E">
        <w:rPr>
          <w:lang w:val="ro-RO"/>
        </w:rPr>
        <w:t xml:space="preserve"> </w:t>
      </w:r>
      <w:r w:rsidR="00FB4274" w:rsidRPr="0006669E">
        <w:rPr>
          <w:lang w:val="ro-RO"/>
        </w:rPr>
        <w:t>8</w:t>
      </w:r>
      <w:r w:rsidRPr="0006669E">
        <w:rPr>
          <w:lang w:val="ro-RO"/>
        </w:rPr>
        <w:t xml:space="preserve">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FB4274">
      <w:pPr>
        <w:pStyle w:val="SingleTxtG"/>
        <w:rPr>
          <w:lang w:val="ro-RO"/>
        </w:rPr>
      </w:pPr>
      <w:r w:rsidRPr="0006669E">
        <w:rPr>
          <w:lang w:val="ro-RO"/>
        </w:rPr>
        <w:t>9.2.5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="00361536" w:rsidRPr="0006669E">
        <w:rPr>
          <w:lang w:val="ro-RO"/>
        </w:rPr>
        <w:t xml:space="preserve"> pr</w:t>
      </w:r>
      <w:r w:rsidR="005428BE" w:rsidRPr="0006669E">
        <w:rPr>
          <w:lang w:val="ro-RO"/>
        </w:rPr>
        <w:t>ima frază</w:t>
      </w:r>
      <w:r w:rsidR="00361536"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="00361536"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FB4274" w:rsidRPr="0006669E">
        <w:rPr>
          <w:lang w:val="ro-RO"/>
        </w:rPr>
        <w:t>un dispozitiv de limitare</w:t>
      </w:r>
      <w:r w:rsidR="00692D50">
        <w:rPr>
          <w:lang w:val="ro-RO"/>
        </w:rPr>
        <w:t xml:space="preserve"> a vitezei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FB74FB" w:rsidRPr="0006669E">
        <w:rPr>
          <w:lang w:val="ro-RO"/>
        </w:rPr>
        <w:t>“</w:t>
      </w:r>
      <w:r w:rsidR="00FB4274" w:rsidRPr="0006669E">
        <w:rPr>
          <w:lang w:val="ro-RO"/>
        </w:rPr>
        <w:t xml:space="preserve">un dispozitiv de limitare </w:t>
      </w:r>
      <w:r w:rsidR="00692D50">
        <w:rPr>
          <w:lang w:val="ro-RO"/>
        </w:rPr>
        <w:t xml:space="preserve">a vitezei </w:t>
      </w:r>
      <w:r w:rsidR="00FB4274" w:rsidRPr="0006669E">
        <w:rPr>
          <w:lang w:val="ro-RO"/>
        </w:rPr>
        <w:t xml:space="preserve">sau </w:t>
      </w:r>
      <w:r w:rsidR="00692D50">
        <w:rPr>
          <w:lang w:val="ro-RO"/>
        </w:rPr>
        <w:t xml:space="preserve">cu o </w:t>
      </w:r>
      <w:r w:rsidR="00FB4274" w:rsidRPr="0006669E">
        <w:rPr>
          <w:lang w:val="ro-RO"/>
        </w:rPr>
        <w:t>funcție de limitare</w:t>
      </w:r>
      <w:r w:rsidR="00692D50">
        <w:rPr>
          <w:lang w:val="ro-RO"/>
        </w:rPr>
        <w:t xml:space="preserve"> a vitezei,</w:t>
      </w:r>
      <w:r w:rsidR="00FB74FB" w:rsidRPr="0006669E">
        <w:rPr>
          <w:lang w:val="ro-RO"/>
        </w:rPr>
        <w:t>”</w:t>
      </w:r>
      <w:r w:rsidR="00361536" w:rsidRPr="0006669E">
        <w:rPr>
          <w:lang w:val="ro-RO"/>
        </w:rPr>
        <w:t xml:space="preserve">. </w:t>
      </w:r>
      <w:r w:rsidR="00C86BBD" w:rsidRPr="0006669E">
        <w:rPr>
          <w:lang w:val="ro-RO"/>
        </w:rPr>
        <w:t>În</w:t>
      </w:r>
      <w:r w:rsidR="00361536" w:rsidRPr="0006669E">
        <w:rPr>
          <w:lang w:val="ro-RO"/>
        </w:rPr>
        <w:t xml:space="preserve"> </w:t>
      </w:r>
      <w:r w:rsidR="00FB4274" w:rsidRPr="0006669E">
        <w:rPr>
          <w:lang w:val="ro-RO"/>
        </w:rPr>
        <w:t xml:space="preserve">ultima </w:t>
      </w:r>
      <w:r w:rsidR="005428BE" w:rsidRPr="0006669E">
        <w:rPr>
          <w:lang w:val="ro-RO"/>
        </w:rPr>
        <w:t>frază</w:t>
      </w:r>
      <w:r w:rsidR="00361536" w:rsidRPr="0006669E">
        <w:rPr>
          <w:lang w:val="ro-RO"/>
        </w:rPr>
        <w:t xml:space="preserve">, </w:t>
      </w:r>
      <w:r w:rsidR="005428BE" w:rsidRPr="0006669E">
        <w:rPr>
          <w:lang w:val="ro-RO"/>
        </w:rPr>
        <w:t>la început</w:t>
      </w:r>
      <w:r w:rsidR="00361536"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="00361536"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FB4274" w:rsidRPr="0006669E">
        <w:rPr>
          <w:lang w:val="ro-RO"/>
        </w:rPr>
        <w:t>Dispozitivul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FB74FB" w:rsidRPr="0006669E">
        <w:rPr>
          <w:lang w:val="ro-RO"/>
        </w:rPr>
        <w:t>“</w:t>
      </w:r>
      <w:r w:rsidR="00FB4274" w:rsidRPr="0006669E">
        <w:rPr>
          <w:lang w:val="ro-RO"/>
        </w:rPr>
        <w:t>Dispozitivul de limitare sau funcția de limitare a</w:t>
      </w:r>
      <w:r w:rsidR="00361536" w:rsidRPr="0006669E">
        <w:rPr>
          <w:lang w:val="ro-RO"/>
        </w:rPr>
        <w:t xml:space="preserve"> vite</w:t>
      </w:r>
      <w:r w:rsidR="00FB4274" w:rsidRPr="0006669E">
        <w:rPr>
          <w:lang w:val="ro-RO"/>
        </w:rPr>
        <w:t>zei</w:t>
      </w:r>
      <w:r w:rsidR="00FB74FB" w:rsidRPr="0006669E">
        <w:rPr>
          <w:lang w:val="ro-RO"/>
        </w:rPr>
        <w:t>”</w:t>
      </w:r>
      <w:r w:rsidR="00361536" w:rsidRPr="0006669E">
        <w:rPr>
          <w:lang w:val="ro-RO"/>
        </w:rPr>
        <w:t>.</w:t>
      </w:r>
    </w:p>
    <w:p w:rsidR="001923AA" w:rsidRPr="0006669E" w:rsidRDefault="001923AA" w:rsidP="001923AA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9.2.5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5428BE" w:rsidRPr="0006669E">
        <w:rPr>
          <w:lang w:val="ro-RO"/>
        </w:rPr>
        <w:t>prima frază</w:t>
      </w:r>
      <w:r w:rsidR="004F6379" w:rsidRPr="0006669E">
        <w:rPr>
          <w:lang w:val="ro-RO"/>
        </w:rPr>
        <w:t xml:space="preserve">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5428BE" w:rsidRPr="0006669E">
        <w:rPr>
          <w:lang w:val="ro-RO"/>
        </w:rPr>
        <w:t>a</w:t>
      </w:r>
      <w:r w:rsidRPr="0006669E">
        <w:rPr>
          <w:lang w:val="ro-RO"/>
        </w:rPr>
        <w:t xml:space="preserve"> de </w:t>
      </w:r>
      <w:r w:rsidR="005428BE" w:rsidRPr="0006669E">
        <w:rPr>
          <w:lang w:val="ro-RO"/>
        </w:rPr>
        <w:t>subsol</w:t>
      </w:r>
      <w:r w:rsidR="00FB4274" w:rsidRPr="0006669E">
        <w:rPr>
          <w:lang w:val="ro-RO"/>
        </w:rPr>
        <w:t xml:space="preserve"> 9</w:t>
      </w:r>
      <w:r w:rsidRPr="0006669E">
        <w:rPr>
          <w:lang w:val="ro-RO"/>
        </w:rPr>
        <w:t xml:space="preserve">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FB4274">
      <w:pPr>
        <w:pStyle w:val="SingleTxtG"/>
        <w:rPr>
          <w:lang w:val="ro-RO"/>
        </w:rPr>
      </w:pPr>
      <w:r w:rsidRPr="0006669E">
        <w:rPr>
          <w:lang w:val="ro-RO"/>
        </w:rPr>
        <w:t>9.2.5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</w:r>
      <w:r w:rsidR="004F6379" w:rsidRPr="0006669E">
        <w:rPr>
          <w:lang w:val="ro-RO"/>
        </w:rPr>
        <w:t>La sfârșit, se șterge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Pr="0006669E">
        <w:rPr>
          <w:lang w:val="ro-RO"/>
        </w:rPr>
        <w:t xml:space="preserve">, </w:t>
      </w:r>
      <w:r w:rsidR="00FB4274" w:rsidRPr="0006669E">
        <w:rPr>
          <w:lang w:val="ro-RO"/>
        </w:rPr>
        <w:t>ținând seama de toleranța tehnică a dispozitivului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1923AA" w:rsidP="005E6428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9.2.6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text</w:t>
      </w:r>
      <w:r w:rsidR="00780965" w:rsidRPr="0006669E">
        <w:rPr>
          <w:lang w:val="ro-RO"/>
        </w:rPr>
        <w:t>ul paragrafului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și</w:t>
      </w:r>
      <w:r w:rsidRPr="0006669E">
        <w:rPr>
          <w:lang w:val="ro-RO"/>
        </w:rPr>
        <w:t xml:space="preserve">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not</w:t>
      </w:r>
      <w:r w:rsidR="00780965" w:rsidRPr="0006669E">
        <w:rPr>
          <w:lang w:val="ro-RO"/>
        </w:rPr>
        <w:t>a de subsol</w:t>
      </w:r>
      <w:r w:rsidRPr="0006669E">
        <w:rPr>
          <w:lang w:val="ro-RO"/>
        </w:rPr>
        <w:t xml:space="preserve"> 2), </w:t>
      </w:r>
      <w:r w:rsidR="00FB74FB" w:rsidRPr="0006669E">
        <w:rPr>
          <w:lang w:val="ro-RO"/>
        </w:rPr>
        <w:t>Se înlocuiește</w:t>
      </w:r>
      <w:r w:rsidR="00780965" w:rsidRPr="0006669E">
        <w:rPr>
          <w:lang w:val="ro-RO"/>
        </w:rPr>
        <w:t xml:space="preserve"> </w:t>
      </w:r>
      <w:r w:rsidR="004F6379" w:rsidRPr="0006669E">
        <w:rPr>
          <w:lang w:val="ro-RO"/>
        </w:rPr>
        <w:t>“Regulamentul CEE-ONU” cu “Regulamentul ONU”</w:t>
      </w:r>
      <w:r w:rsidRPr="0006669E">
        <w:rPr>
          <w:lang w:val="ro-RO"/>
        </w:rPr>
        <w:t>.</w:t>
      </w:r>
    </w:p>
    <w:p w:rsidR="001923AA" w:rsidRPr="0006669E" w:rsidRDefault="001923AA" w:rsidP="00C50B7C">
      <w:pPr>
        <w:pStyle w:val="H1G"/>
        <w:rPr>
          <w:lang w:val="ro-RO"/>
        </w:rPr>
      </w:pPr>
      <w:r w:rsidRPr="0006669E">
        <w:rPr>
          <w:lang w:val="ro-RO"/>
        </w:rPr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Pr="0006669E">
        <w:rPr>
          <w:lang w:val="ro-RO"/>
        </w:rPr>
        <w:t xml:space="preserve"> 9.7</w:t>
      </w:r>
    </w:p>
    <w:p w:rsidR="00B14E7D" w:rsidRPr="0006669E" w:rsidRDefault="00B14E7D" w:rsidP="00B14E7D">
      <w:pPr>
        <w:pStyle w:val="SingleTxtG"/>
        <w:rPr>
          <w:lang w:val="ro-RO"/>
        </w:rPr>
      </w:pPr>
      <w:r w:rsidRPr="0006669E">
        <w:rPr>
          <w:lang w:val="ro-RO"/>
        </w:rPr>
        <w:t>9.7.4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titlu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610F48" w:rsidRPr="0006669E">
        <w:rPr>
          <w:lang w:val="ro-RO"/>
        </w:rPr>
        <w:t xml:space="preserve"> Legarea la pământ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FB74FB" w:rsidRPr="0006669E">
        <w:rPr>
          <w:lang w:val="ro-RO"/>
        </w:rPr>
        <w:t>“</w:t>
      </w:r>
      <w:r w:rsidR="00610F48" w:rsidRPr="0006669E">
        <w:rPr>
          <w:lang w:val="ro-RO"/>
        </w:rPr>
        <w:t>Legarea electrică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1923AA" w:rsidRPr="0006669E" w:rsidRDefault="001923AA" w:rsidP="005E6428">
      <w:pPr>
        <w:pStyle w:val="SingleTxtG"/>
        <w:tabs>
          <w:tab w:val="left" w:pos="2268"/>
        </w:tabs>
        <w:rPr>
          <w:lang w:val="ro-RO"/>
        </w:rPr>
      </w:pPr>
      <w:r w:rsidRPr="0006669E">
        <w:rPr>
          <w:lang w:val="ro-RO"/>
        </w:rPr>
        <w:t>9.7.5.2</w:t>
      </w:r>
      <w:r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610F48" w:rsidRPr="0006669E">
        <w:rPr>
          <w:lang w:val="ro-RO"/>
        </w:rPr>
        <w:t>prima frază</w:t>
      </w:r>
      <w:r w:rsidR="004F6379" w:rsidRPr="0006669E">
        <w:rPr>
          <w:lang w:val="ro-RO"/>
        </w:rPr>
        <w:t xml:space="preserve"> și </w:t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610F48" w:rsidRPr="0006669E">
        <w:rPr>
          <w:lang w:val="ro-RO"/>
        </w:rPr>
        <w:t>nota de subsol</w:t>
      </w:r>
      <w:r w:rsidRPr="0006669E">
        <w:rPr>
          <w:lang w:val="ro-RO"/>
        </w:rPr>
        <w:t xml:space="preserve"> 1),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“Regulamentul CEE-ONU” cu: “Regulamentul ONU”</w:t>
      </w:r>
      <w:r w:rsidRPr="0006669E">
        <w:rPr>
          <w:lang w:val="ro-RO"/>
        </w:rPr>
        <w:t>.</w:t>
      </w:r>
    </w:p>
    <w:p w:rsidR="00E07FAC" w:rsidRPr="0006669E" w:rsidRDefault="00C50B7C" w:rsidP="00A07D75">
      <w:pPr>
        <w:pStyle w:val="H1G"/>
        <w:rPr>
          <w:lang w:val="ro-RO"/>
        </w:rPr>
      </w:pPr>
      <w:r w:rsidRPr="0006669E">
        <w:rPr>
          <w:lang w:val="ro-RO"/>
        </w:rPr>
        <w:lastRenderedPageBreak/>
        <w:tab/>
      </w:r>
      <w:r w:rsidRPr="0006669E">
        <w:rPr>
          <w:lang w:val="ro-RO"/>
        </w:rPr>
        <w:tab/>
      </w:r>
      <w:r w:rsidR="00C86BBD" w:rsidRPr="0006669E">
        <w:rPr>
          <w:lang w:val="ro-RO"/>
        </w:rPr>
        <w:t>Capitolul</w:t>
      </w:r>
      <w:r w:rsidR="00E07FAC" w:rsidRPr="0006669E">
        <w:rPr>
          <w:lang w:val="ro-RO"/>
        </w:rPr>
        <w:t xml:space="preserve"> 9.8</w:t>
      </w:r>
    </w:p>
    <w:p w:rsidR="001923AA" w:rsidRPr="0006669E" w:rsidRDefault="00E07FAC" w:rsidP="006E1A46">
      <w:pPr>
        <w:pStyle w:val="SingleTxtG"/>
        <w:rPr>
          <w:lang w:val="ro-RO"/>
        </w:rPr>
      </w:pPr>
      <w:r w:rsidRPr="0006669E">
        <w:rPr>
          <w:lang w:val="ro-RO"/>
        </w:rPr>
        <w:t>9.8.3</w:t>
      </w:r>
      <w:r w:rsidRPr="0006669E">
        <w:rPr>
          <w:lang w:val="ro-RO"/>
        </w:rPr>
        <w:tab/>
      </w:r>
      <w:r w:rsidR="00037A39" w:rsidRPr="0006669E">
        <w:rPr>
          <w:lang w:val="ro-RO"/>
        </w:rPr>
        <w:tab/>
      </w:r>
      <w:r w:rsidR="00C86BBD" w:rsidRPr="0006669E">
        <w:rPr>
          <w:lang w:val="ro-RO"/>
        </w:rPr>
        <w:t>În</w:t>
      </w:r>
      <w:r w:rsidRPr="0006669E">
        <w:rPr>
          <w:lang w:val="ro-RO"/>
        </w:rPr>
        <w:t xml:space="preserve"> </w:t>
      </w:r>
      <w:r w:rsidR="00780965" w:rsidRPr="0006669E">
        <w:rPr>
          <w:lang w:val="ro-RO"/>
        </w:rPr>
        <w:t>titlu</w:t>
      </w:r>
      <w:r w:rsidRPr="0006669E">
        <w:rPr>
          <w:lang w:val="ro-RO"/>
        </w:rPr>
        <w:t xml:space="preserve">, </w:t>
      </w:r>
      <w:r w:rsidR="00FB74FB" w:rsidRPr="0006669E">
        <w:rPr>
          <w:lang w:val="ro-RO"/>
        </w:rPr>
        <w:t>Se înlocuiește</w:t>
      </w:r>
      <w:r w:rsidRPr="0006669E">
        <w:rPr>
          <w:lang w:val="ro-RO"/>
        </w:rPr>
        <w:t xml:space="preserve"> </w:t>
      </w:r>
      <w:r w:rsidR="00FB74FB" w:rsidRPr="0006669E">
        <w:rPr>
          <w:lang w:val="ro-RO"/>
        </w:rPr>
        <w:t>“</w:t>
      </w:r>
      <w:r w:rsidR="00610F48" w:rsidRPr="0006669E">
        <w:rPr>
          <w:lang w:val="ro-RO"/>
        </w:rPr>
        <w:t xml:space="preserve"> Legarea la pământ</w:t>
      </w:r>
      <w:r w:rsidR="00FB74FB" w:rsidRPr="0006669E">
        <w:rPr>
          <w:lang w:val="ro-RO"/>
        </w:rPr>
        <w:t>”</w:t>
      </w:r>
      <w:r w:rsidR="00C86BBD" w:rsidRPr="0006669E">
        <w:rPr>
          <w:lang w:val="ro-RO"/>
        </w:rPr>
        <w:t xml:space="preserve"> cu </w:t>
      </w:r>
      <w:r w:rsidR="00FB74FB" w:rsidRPr="0006669E">
        <w:rPr>
          <w:lang w:val="ro-RO"/>
        </w:rPr>
        <w:t>“</w:t>
      </w:r>
      <w:r w:rsidR="00610F48" w:rsidRPr="0006669E">
        <w:rPr>
          <w:lang w:val="ro-RO"/>
        </w:rPr>
        <w:t>Legarea electrică</w:t>
      </w:r>
      <w:r w:rsidR="00FB74FB" w:rsidRPr="0006669E">
        <w:rPr>
          <w:lang w:val="ro-RO"/>
        </w:rPr>
        <w:t>”</w:t>
      </w:r>
      <w:r w:rsidRPr="0006669E">
        <w:rPr>
          <w:lang w:val="ro-RO"/>
        </w:rPr>
        <w:t>.</w:t>
      </w:r>
    </w:p>
    <w:p w:rsidR="008C7AD9" w:rsidRPr="0006669E" w:rsidRDefault="00EA09D6" w:rsidP="00EA09D6">
      <w:pPr>
        <w:pStyle w:val="SingleTxtG"/>
        <w:spacing w:after="0"/>
        <w:jc w:val="center"/>
        <w:rPr>
          <w:u w:val="single"/>
          <w:lang w:val="ro-RO"/>
        </w:rPr>
      </w:pPr>
      <w:r w:rsidRPr="0006669E">
        <w:rPr>
          <w:u w:val="single"/>
          <w:lang w:val="ro-RO"/>
        </w:rPr>
        <w:tab/>
      </w:r>
      <w:r w:rsidRPr="0006669E">
        <w:rPr>
          <w:u w:val="single"/>
          <w:lang w:val="ro-RO"/>
        </w:rPr>
        <w:tab/>
      </w:r>
      <w:r w:rsidRPr="0006669E">
        <w:rPr>
          <w:u w:val="single"/>
          <w:lang w:val="ro-RO"/>
        </w:rPr>
        <w:tab/>
      </w:r>
    </w:p>
    <w:sectPr w:rsidR="008C7AD9" w:rsidRPr="0006669E" w:rsidSect="00E5505D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99" w:rsidRDefault="008E4B99"/>
  </w:endnote>
  <w:endnote w:type="continuationSeparator" w:id="0">
    <w:p w:rsidR="008E4B99" w:rsidRDefault="008E4B99"/>
  </w:endnote>
  <w:endnote w:type="continuationNotice" w:id="1">
    <w:p w:rsidR="008E4B99" w:rsidRDefault="008E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FB" w:rsidRPr="00765650" w:rsidRDefault="007D7802" w:rsidP="00765650">
    <w:pPr>
      <w:pStyle w:val="Footer"/>
      <w:tabs>
        <w:tab w:val="right" w:pos="9638"/>
      </w:tabs>
      <w:rPr>
        <w:sz w:val="18"/>
      </w:rPr>
    </w:pPr>
    <w:r w:rsidRPr="00765650">
      <w:rPr>
        <w:b/>
        <w:sz w:val="18"/>
      </w:rPr>
      <w:fldChar w:fldCharType="begin"/>
    </w:r>
    <w:r w:rsidR="00FB74FB" w:rsidRPr="00765650">
      <w:rPr>
        <w:b/>
        <w:sz w:val="18"/>
      </w:rPr>
      <w:instrText xml:space="preserve"> PAGE  \* MERGEFORMAT </w:instrText>
    </w:r>
    <w:r w:rsidRPr="00765650">
      <w:rPr>
        <w:b/>
        <w:sz w:val="18"/>
      </w:rPr>
      <w:fldChar w:fldCharType="separate"/>
    </w:r>
    <w:r w:rsidR="0095495D">
      <w:rPr>
        <w:b/>
        <w:noProof/>
        <w:sz w:val="18"/>
      </w:rPr>
      <w:t>2</w:t>
    </w:r>
    <w:r w:rsidRPr="00765650">
      <w:rPr>
        <w:b/>
        <w:sz w:val="18"/>
      </w:rPr>
      <w:fldChar w:fldCharType="end"/>
    </w:r>
    <w:r w:rsidR="00FB74FB">
      <w:rPr>
        <w:sz w:val="18"/>
      </w:rPr>
      <w:tab/>
    </w:r>
  </w:p>
  <w:p w:rsidR="00FB74FB" w:rsidRDefault="00FB74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FB" w:rsidRPr="00765650" w:rsidRDefault="00FB74FB" w:rsidP="00765650">
    <w:pPr>
      <w:pStyle w:val="Footer"/>
      <w:tabs>
        <w:tab w:val="right" w:pos="9638"/>
      </w:tabs>
      <w:rPr>
        <w:sz w:val="18"/>
      </w:rPr>
    </w:pPr>
    <w:r>
      <w:tab/>
    </w:r>
    <w:r w:rsidR="007D7802" w:rsidRPr="00765650">
      <w:rPr>
        <w:b/>
        <w:sz w:val="18"/>
      </w:rPr>
      <w:fldChar w:fldCharType="begin"/>
    </w:r>
    <w:r w:rsidRPr="00765650">
      <w:rPr>
        <w:b/>
        <w:sz w:val="18"/>
      </w:rPr>
      <w:instrText xml:space="preserve"> PAGE  \* MERGEFORMAT </w:instrText>
    </w:r>
    <w:r w:rsidR="007D7802" w:rsidRPr="00765650">
      <w:rPr>
        <w:b/>
        <w:sz w:val="18"/>
      </w:rPr>
      <w:fldChar w:fldCharType="separate"/>
    </w:r>
    <w:r w:rsidR="0095495D">
      <w:rPr>
        <w:b/>
        <w:noProof/>
        <w:sz w:val="18"/>
      </w:rPr>
      <w:t>5</w:t>
    </w:r>
    <w:r w:rsidR="007D7802" w:rsidRPr="00765650">
      <w:rPr>
        <w:b/>
        <w:sz w:val="18"/>
      </w:rPr>
      <w:fldChar w:fldCharType="end"/>
    </w:r>
  </w:p>
  <w:p w:rsidR="00FB74FB" w:rsidRDefault="00FB7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99" w:rsidRPr="00D27D5E" w:rsidRDefault="008E4B9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4B99" w:rsidRPr="00A80554" w:rsidRDefault="008E4B99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8E4B99" w:rsidRDefault="008E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FB" w:rsidRPr="00765650" w:rsidRDefault="00FB74FB">
    <w:pPr>
      <w:pStyle w:val="Header"/>
    </w:pPr>
    <w:r>
      <w:t>ECE/TRANS/WP.15/240/Add.1</w:t>
    </w:r>
  </w:p>
  <w:p w:rsidR="00FB74FB" w:rsidRDefault="00FB74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FB" w:rsidRPr="00765650" w:rsidRDefault="00FB74FB" w:rsidP="00765650">
    <w:pPr>
      <w:pStyle w:val="Header"/>
      <w:jc w:val="right"/>
    </w:pPr>
    <w:r>
      <w:t>ECE/TRANS/WP.15/240/Add.1</w:t>
    </w:r>
  </w:p>
  <w:p w:rsidR="00FB74FB" w:rsidRDefault="00FB74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E10ABD"/>
    <w:multiLevelType w:val="hybridMultilevel"/>
    <w:tmpl w:val="29E6D352"/>
    <w:lvl w:ilvl="0" w:tplc="67F6BFDE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4E373E9"/>
    <w:multiLevelType w:val="hybridMultilevel"/>
    <w:tmpl w:val="969C78EE"/>
    <w:lvl w:ilvl="0" w:tplc="2AC8B33C">
      <w:start w:val="1"/>
      <w:numFmt w:val="upperLetter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D1A26B7"/>
    <w:multiLevelType w:val="hybridMultilevel"/>
    <w:tmpl w:val="2A5A31B6"/>
    <w:lvl w:ilvl="0" w:tplc="67605778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A4316"/>
    <w:multiLevelType w:val="multilevel"/>
    <w:tmpl w:val="EA4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1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65650"/>
    <w:rsid w:val="0000121E"/>
    <w:rsid w:val="00016AC5"/>
    <w:rsid w:val="00024736"/>
    <w:rsid w:val="00030ADE"/>
    <w:rsid w:val="000312C0"/>
    <w:rsid w:val="00037A39"/>
    <w:rsid w:val="00054577"/>
    <w:rsid w:val="0006669E"/>
    <w:rsid w:val="0007332E"/>
    <w:rsid w:val="00082578"/>
    <w:rsid w:val="000843FF"/>
    <w:rsid w:val="0008534C"/>
    <w:rsid w:val="000964C7"/>
    <w:rsid w:val="000B34CA"/>
    <w:rsid w:val="000B7806"/>
    <w:rsid w:val="000C4DD6"/>
    <w:rsid w:val="000E0F83"/>
    <w:rsid w:val="000E7574"/>
    <w:rsid w:val="000F41F2"/>
    <w:rsid w:val="001055AA"/>
    <w:rsid w:val="0011449D"/>
    <w:rsid w:val="001157E5"/>
    <w:rsid w:val="00116391"/>
    <w:rsid w:val="00130074"/>
    <w:rsid w:val="00135C0D"/>
    <w:rsid w:val="00141C47"/>
    <w:rsid w:val="0014489B"/>
    <w:rsid w:val="00146279"/>
    <w:rsid w:val="00147929"/>
    <w:rsid w:val="00153D80"/>
    <w:rsid w:val="00154636"/>
    <w:rsid w:val="0015786B"/>
    <w:rsid w:val="00160540"/>
    <w:rsid w:val="0017182C"/>
    <w:rsid w:val="00177007"/>
    <w:rsid w:val="00186EE9"/>
    <w:rsid w:val="001923AA"/>
    <w:rsid w:val="00192EEB"/>
    <w:rsid w:val="001A1B1E"/>
    <w:rsid w:val="001A20FB"/>
    <w:rsid w:val="001B6F40"/>
    <w:rsid w:val="001C139F"/>
    <w:rsid w:val="001C1C9C"/>
    <w:rsid w:val="001C34D2"/>
    <w:rsid w:val="001D25EA"/>
    <w:rsid w:val="001D7F8A"/>
    <w:rsid w:val="001E3FEB"/>
    <w:rsid w:val="001E4A02"/>
    <w:rsid w:val="0021199C"/>
    <w:rsid w:val="0021629C"/>
    <w:rsid w:val="00223B89"/>
    <w:rsid w:val="0022452E"/>
    <w:rsid w:val="00225A8C"/>
    <w:rsid w:val="00225FD8"/>
    <w:rsid w:val="00232C61"/>
    <w:rsid w:val="002659F1"/>
    <w:rsid w:val="00270C74"/>
    <w:rsid w:val="00271C7C"/>
    <w:rsid w:val="00273F3C"/>
    <w:rsid w:val="00284094"/>
    <w:rsid w:val="00287E79"/>
    <w:rsid w:val="002928F9"/>
    <w:rsid w:val="002A1116"/>
    <w:rsid w:val="002A5D07"/>
    <w:rsid w:val="002B51EB"/>
    <w:rsid w:val="002D43AD"/>
    <w:rsid w:val="003016B7"/>
    <w:rsid w:val="00304E93"/>
    <w:rsid w:val="00324078"/>
    <w:rsid w:val="0032752A"/>
    <w:rsid w:val="003306BF"/>
    <w:rsid w:val="00330F9C"/>
    <w:rsid w:val="00340C35"/>
    <w:rsid w:val="00343240"/>
    <w:rsid w:val="003515AA"/>
    <w:rsid w:val="00356CB6"/>
    <w:rsid w:val="00361536"/>
    <w:rsid w:val="00367E6A"/>
    <w:rsid w:val="00370E0F"/>
    <w:rsid w:val="00373317"/>
    <w:rsid w:val="00374106"/>
    <w:rsid w:val="003857A1"/>
    <w:rsid w:val="00393312"/>
    <w:rsid w:val="003976D5"/>
    <w:rsid w:val="003B32B5"/>
    <w:rsid w:val="003D13EA"/>
    <w:rsid w:val="003D1DF3"/>
    <w:rsid w:val="003D375A"/>
    <w:rsid w:val="003D46A7"/>
    <w:rsid w:val="003D68F0"/>
    <w:rsid w:val="003D6C68"/>
    <w:rsid w:val="003D76E4"/>
    <w:rsid w:val="003F3A64"/>
    <w:rsid w:val="00407DDB"/>
    <w:rsid w:val="004135CD"/>
    <w:rsid w:val="00414425"/>
    <w:rsid w:val="004159D0"/>
    <w:rsid w:val="004249E7"/>
    <w:rsid w:val="00426DA1"/>
    <w:rsid w:val="00434168"/>
    <w:rsid w:val="004352BC"/>
    <w:rsid w:val="00442080"/>
    <w:rsid w:val="004610AF"/>
    <w:rsid w:val="00476853"/>
    <w:rsid w:val="00491DEA"/>
    <w:rsid w:val="0049272D"/>
    <w:rsid w:val="00497A70"/>
    <w:rsid w:val="004B16EF"/>
    <w:rsid w:val="004B17D3"/>
    <w:rsid w:val="004B47EB"/>
    <w:rsid w:val="004D078B"/>
    <w:rsid w:val="004D4DA0"/>
    <w:rsid w:val="004D53B7"/>
    <w:rsid w:val="004E2A2B"/>
    <w:rsid w:val="004F6379"/>
    <w:rsid w:val="00516A87"/>
    <w:rsid w:val="00520C42"/>
    <w:rsid w:val="00523539"/>
    <w:rsid w:val="00541759"/>
    <w:rsid w:val="005428BE"/>
    <w:rsid w:val="00543D5E"/>
    <w:rsid w:val="00552182"/>
    <w:rsid w:val="00555FB6"/>
    <w:rsid w:val="005620AE"/>
    <w:rsid w:val="00571F41"/>
    <w:rsid w:val="0058170A"/>
    <w:rsid w:val="00584D23"/>
    <w:rsid w:val="00585B80"/>
    <w:rsid w:val="00587B24"/>
    <w:rsid w:val="0059410B"/>
    <w:rsid w:val="00595BE4"/>
    <w:rsid w:val="005A5E74"/>
    <w:rsid w:val="005A7A0D"/>
    <w:rsid w:val="005B68A1"/>
    <w:rsid w:val="005B738F"/>
    <w:rsid w:val="005B76A3"/>
    <w:rsid w:val="005C4DF1"/>
    <w:rsid w:val="005D0D06"/>
    <w:rsid w:val="005E5D1F"/>
    <w:rsid w:val="005E6428"/>
    <w:rsid w:val="00603391"/>
    <w:rsid w:val="006049FD"/>
    <w:rsid w:val="00606974"/>
    <w:rsid w:val="00610F48"/>
    <w:rsid w:val="00611471"/>
    <w:rsid w:val="00611D43"/>
    <w:rsid w:val="00612D48"/>
    <w:rsid w:val="00616B45"/>
    <w:rsid w:val="00626E9C"/>
    <w:rsid w:val="00630D9B"/>
    <w:rsid w:val="00631953"/>
    <w:rsid w:val="006439EC"/>
    <w:rsid w:val="0064430B"/>
    <w:rsid w:val="00645C01"/>
    <w:rsid w:val="00652E9D"/>
    <w:rsid w:val="0066732B"/>
    <w:rsid w:val="00681513"/>
    <w:rsid w:val="00687E20"/>
    <w:rsid w:val="00692D50"/>
    <w:rsid w:val="006A047B"/>
    <w:rsid w:val="006A4C46"/>
    <w:rsid w:val="006B4590"/>
    <w:rsid w:val="006C340C"/>
    <w:rsid w:val="006D20E3"/>
    <w:rsid w:val="006D3E0A"/>
    <w:rsid w:val="006D7C2B"/>
    <w:rsid w:val="006E1A46"/>
    <w:rsid w:val="006E3B57"/>
    <w:rsid w:val="006E5FC7"/>
    <w:rsid w:val="006E6068"/>
    <w:rsid w:val="006E6520"/>
    <w:rsid w:val="0070347C"/>
    <w:rsid w:val="007149FB"/>
    <w:rsid w:val="007176C1"/>
    <w:rsid w:val="00725B68"/>
    <w:rsid w:val="00740BC2"/>
    <w:rsid w:val="00741FFF"/>
    <w:rsid w:val="0074396A"/>
    <w:rsid w:val="00753948"/>
    <w:rsid w:val="0076227D"/>
    <w:rsid w:val="0076474D"/>
    <w:rsid w:val="00765650"/>
    <w:rsid w:val="00775018"/>
    <w:rsid w:val="00780965"/>
    <w:rsid w:val="007830B1"/>
    <w:rsid w:val="00783355"/>
    <w:rsid w:val="00783F37"/>
    <w:rsid w:val="00784394"/>
    <w:rsid w:val="00790F2F"/>
    <w:rsid w:val="007916E4"/>
    <w:rsid w:val="00795461"/>
    <w:rsid w:val="007A30E4"/>
    <w:rsid w:val="007A6076"/>
    <w:rsid w:val="007C4E5F"/>
    <w:rsid w:val="007C512E"/>
    <w:rsid w:val="007D1F7E"/>
    <w:rsid w:val="007D2AB9"/>
    <w:rsid w:val="007D637D"/>
    <w:rsid w:val="007D7802"/>
    <w:rsid w:val="007F55CB"/>
    <w:rsid w:val="008071B2"/>
    <w:rsid w:val="00811076"/>
    <w:rsid w:val="00812C1A"/>
    <w:rsid w:val="008317F6"/>
    <w:rsid w:val="00844750"/>
    <w:rsid w:val="00845F25"/>
    <w:rsid w:val="0084685D"/>
    <w:rsid w:val="008569B3"/>
    <w:rsid w:val="00863B45"/>
    <w:rsid w:val="00881D68"/>
    <w:rsid w:val="00884911"/>
    <w:rsid w:val="00887D85"/>
    <w:rsid w:val="008935F2"/>
    <w:rsid w:val="00897AB6"/>
    <w:rsid w:val="008B15A6"/>
    <w:rsid w:val="008B1D37"/>
    <w:rsid w:val="008B44C4"/>
    <w:rsid w:val="008B543D"/>
    <w:rsid w:val="008B7879"/>
    <w:rsid w:val="008B79E8"/>
    <w:rsid w:val="008C2211"/>
    <w:rsid w:val="008C4A2C"/>
    <w:rsid w:val="008C7AD9"/>
    <w:rsid w:val="008D3919"/>
    <w:rsid w:val="008E3FB8"/>
    <w:rsid w:val="008E4B99"/>
    <w:rsid w:val="008E7FAE"/>
    <w:rsid w:val="008F04A3"/>
    <w:rsid w:val="00910CC3"/>
    <w:rsid w:val="00911BF7"/>
    <w:rsid w:val="009124D6"/>
    <w:rsid w:val="00917269"/>
    <w:rsid w:val="009266FA"/>
    <w:rsid w:val="00926E87"/>
    <w:rsid w:val="00952FDB"/>
    <w:rsid w:val="0095495D"/>
    <w:rsid w:val="00974483"/>
    <w:rsid w:val="00977495"/>
    <w:rsid w:val="00977EC8"/>
    <w:rsid w:val="00983D84"/>
    <w:rsid w:val="009843EC"/>
    <w:rsid w:val="009A4EA5"/>
    <w:rsid w:val="009B18A3"/>
    <w:rsid w:val="009B7198"/>
    <w:rsid w:val="009C16F9"/>
    <w:rsid w:val="009C2D51"/>
    <w:rsid w:val="009D3A8C"/>
    <w:rsid w:val="009E01B8"/>
    <w:rsid w:val="009E7956"/>
    <w:rsid w:val="009F69FE"/>
    <w:rsid w:val="00A07D75"/>
    <w:rsid w:val="00A1547F"/>
    <w:rsid w:val="00A2492E"/>
    <w:rsid w:val="00A307D5"/>
    <w:rsid w:val="00A31F07"/>
    <w:rsid w:val="00A344ED"/>
    <w:rsid w:val="00A40F44"/>
    <w:rsid w:val="00A41235"/>
    <w:rsid w:val="00A613E4"/>
    <w:rsid w:val="00A632C7"/>
    <w:rsid w:val="00A67918"/>
    <w:rsid w:val="00A70163"/>
    <w:rsid w:val="00A80554"/>
    <w:rsid w:val="00A91BC7"/>
    <w:rsid w:val="00A94683"/>
    <w:rsid w:val="00AA5619"/>
    <w:rsid w:val="00AA72C3"/>
    <w:rsid w:val="00AB0CC6"/>
    <w:rsid w:val="00AB0E07"/>
    <w:rsid w:val="00AC67A1"/>
    <w:rsid w:val="00AC74C0"/>
    <w:rsid w:val="00AC7977"/>
    <w:rsid w:val="00AE352C"/>
    <w:rsid w:val="00AF4FE3"/>
    <w:rsid w:val="00B12E3B"/>
    <w:rsid w:val="00B1494A"/>
    <w:rsid w:val="00B14E7D"/>
    <w:rsid w:val="00B2661A"/>
    <w:rsid w:val="00B32E2D"/>
    <w:rsid w:val="00B333B7"/>
    <w:rsid w:val="00B359AE"/>
    <w:rsid w:val="00B4466B"/>
    <w:rsid w:val="00B61990"/>
    <w:rsid w:val="00B6602A"/>
    <w:rsid w:val="00B67CD5"/>
    <w:rsid w:val="00B7058F"/>
    <w:rsid w:val="00B7234A"/>
    <w:rsid w:val="00B76EAE"/>
    <w:rsid w:val="00B85D99"/>
    <w:rsid w:val="00B93E72"/>
    <w:rsid w:val="00B94939"/>
    <w:rsid w:val="00BB0394"/>
    <w:rsid w:val="00BB422E"/>
    <w:rsid w:val="00BB6B82"/>
    <w:rsid w:val="00BC1C02"/>
    <w:rsid w:val="00BC20CF"/>
    <w:rsid w:val="00BC556F"/>
    <w:rsid w:val="00BC7260"/>
    <w:rsid w:val="00BD0202"/>
    <w:rsid w:val="00BE036D"/>
    <w:rsid w:val="00BF0556"/>
    <w:rsid w:val="00BF06B0"/>
    <w:rsid w:val="00BF2DC1"/>
    <w:rsid w:val="00BF77AE"/>
    <w:rsid w:val="00C102B5"/>
    <w:rsid w:val="00C20E32"/>
    <w:rsid w:val="00C24B53"/>
    <w:rsid w:val="00C261F8"/>
    <w:rsid w:val="00C26DE8"/>
    <w:rsid w:val="00C33100"/>
    <w:rsid w:val="00C50B7C"/>
    <w:rsid w:val="00C64452"/>
    <w:rsid w:val="00C74DB7"/>
    <w:rsid w:val="00C76112"/>
    <w:rsid w:val="00C76152"/>
    <w:rsid w:val="00C805AC"/>
    <w:rsid w:val="00C81426"/>
    <w:rsid w:val="00C84A77"/>
    <w:rsid w:val="00C86BBD"/>
    <w:rsid w:val="00C90CAE"/>
    <w:rsid w:val="00C940E9"/>
    <w:rsid w:val="00CA6352"/>
    <w:rsid w:val="00CB6267"/>
    <w:rsid w:val="00CB637F"/>
    <w:rsid w:val="00CD1A71"/>
    <w:rsid w:val="00CD1FBB"/>
    <w:rsid w:val="00CE085F"/>
    <w:rsid w:val="00CF58AF"/>
    <w:rsid w:val="00CF684D"/>
    <w:rsid w:val="00CF7D08"/>
    <w:rsid w:val="00D016B5"/>
    <w:rsid w:val="00D034F1"/>
    <w:rsid w:val="00D11B17"/>
    <w:rsid w:val="00D15E6D"/>
    <w:rsid w:val="00D27D5E"/>
    <w:rsid w:val="00D34402"/>
    <w:rsid w:val="00D60301"/>
    <w:rsid w:val="00D63526"/>
    <w:rsid w:val="00D65401"/>
    <w:rsid w:val="00D76B18"/>
    <w:rsid w:val="00D839C9"/>
    <w:rsid w:val="00D86B2A"/>
    <w:rsid w:val="00D87B69"/>
    <w:rsid w:val="00D97256"/>
    <w:rsid w:val="00D97B49"/>
    <w:rsid w:val="00DA3E1D"/>
    <w:rsid w:val="00DA57D4"/>
    <w:rsid w:val="00DA7D56"/>
    <w:rsid w:val="00DB4793"/>
    <w:rsid w:val="00DB77BC"/>
    <w:rsid w:val="00DC7380"/>
    <w:rsid w:val="00DD0FEC"/>
    <w:rsid w:val="00DD540B"/>
    <w:rsid w:val="00DE01E3"/>
    <w:rsid w:val="00DE6D90"/>
    <w:rsid w:val="00DF002F"/>
    <w:rsid w:val="00DF4339"/>
    <w:rsid w:val="00DF527A"/>
    <w:rsid w:val="00E0244D"/>
    <w:rsid w:val="00E0792D"/>
    <w:rsid w:val="00E07DCE"/>
    <w:rsid w:val="00E07FAC"/>
    <w:rsid w:val="00E133D1"/>
    <w:rsid w:val="00E157A7"/>
    <w:rsid w:val="00E16D6E"/>
    <w:rsid w:val="00E2718B"/>
    <w:rsid w:val="00E432EC"/>
    <w:rsid w:val="00E45CF9"/>
    <w:rsid w:val="00E460A1"/>
    <w:rsid w:val="00E50256"/>
    <w:rsid w:val="00E5505D"/>
    <w:rsid w:val="00E55D71"/>
    <w:rsid w:val="00E623CA"/>
    <w:rsid w:val="00E73877"/>
    <w:rsid w:val="00E81E94"/>
    <w:rsid w:val="00E82607"/>
    <w:rsid w:val="00E903DB"/>
    <w:rsid w:val="00EA09D6"/>
    <w:rsid w:val="00EA31C2"/>
    <w:rsid w:val="00EB465D"/>
    <w:rsid w:val="00EB60D5"/>
    <w:rsid w:val="00EC28BB"/>
    <w:rsid w:val="00ED00DC"/>
    <w:rsid w:val="00ED72D1"/>
    <w:rsid w:val="00EE2EA3"/>
    <w:rsid w:val="00F01516"/>
    <w:rsid w:val="00F025AD"/>
    <w:rsid w:val="00F040D5"/>
    <w:rsid w:val="00F06EBE"/>
    <w:rsid w:val="00F106F7"/>
    <w:rsid w:val="00F22D6C"/>
    <w:rsid w:val="00F24C54"/>
    <w:rsid w:val="00F30EF5"/>
    <w:rsid w:val="00F42B4E"/>
    <w:rsid w:val="00F46508"/>
    <w:rsid w:val="00F5312B"/>
    <w:rsid w:val="00F57129"/>
    <w:rsid w:val="00F63415"/>
    <w:rsid w:val="00F879D5"/>
    <w:rsid w:val="00F92F7B"/>
    <w:rsid w:val="00FA5A79"/>
    <w:rsid w:val="00FA6422"/>
    <w:rsid w:val="00FB00CB"/>
    <w:rsid w:val="00FB0BFE"/>
    <w:rsid w:val="00FB4274"/>
    <w:rsid w:val="00FB4C51"/>
    <w:rsid w:val="00FB684F"/>
    <w:rsid w:val="00FB74FB"/>
    <w:rsid w:val="00FC29AA"/>
    <w:rsid w:val="00FC3A89"/>
    <w:rsid w:val="00FC6DEB"/>
    <w:rsid w:val="00FD6B1B"/>
    <w:rsid w:val="00FE5A99"/>
    <w:rsid w:val="00FF1034"/>
    <w:rsid w:val="00FF1DBD"/>
    <w:rsid w:val="00FF3B4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E140C4-9D97-435B-8566-2FD8202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964C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964C7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964C7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64C7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964C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964C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64C7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qFormat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uiPriority w:val="99"/>
    <w:rsid w:val="00E16D6E"/>
    <w:rPr>
      <w:lang w:val="fr-CH" w:eastAsia="en-US"/>
    </w:rPr>
  </w:style>
  <w:style w:type="character" w:customStyle="1" w:styleId="H1GChar">
    <w:name w:val="_ H_1_G Char"/>
    <w:link w:val="H1G"/>
    <w:rsid w:val="00E16D6E"/>
    <w:rPr>
      <w:b/>
      <w:sz w:val="24"/>
      <w:lang w:val="fr-CH" w:eastAsia="en-US"/>
    </w:rPr>
  </w:style>
  <w:style w:type="character" w:customStyle="1" w:styleId="apple-converted-space">
    <w:name w:val="apple-converted-space"/>
    <w:rsid w:val="00E16D6E"/>
  </w:style>
  <w:style w:type="character" w:styleId="CommentReference">
    <w:name w:val="annotation reference"/>
    <w:basedOn w:val="DefaultParagraphFont"/>
    <w:unhideWhenUsed/>
    <w:rsid w:val="00407D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7D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07DDB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DDB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407DDB"/>
    <w:rPr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B"/>
    <w:rPr>
      <w:rFonts w:ascii="Segoe UI" w:hAnsi="Segoe UI" w:cs="Segoe UI"/>
      <w:sz w:val="18"/>
      <w:szCs w:val="18"/>
      <w:lang w:val="fr-CH" w:eastAsia="en-US"/>
    </w:rPr>
  </w:style>
  <w:style w:type="character" w:customStyle="1" w:styleId="H23GChar">
    <w:name w:val="_ H_2/3_G Char"/>
    <w:link w:val="H23G"/>
    <w:rsid w:val="00B67CD5"/>
    <w:rPr>
      <w:b/>
      <w:lang w:val="fr-CH" w:eastAsia="en-US"/>
    </w:rPr>
  </w:style>
  <w:style w:type="character" w:customStyle="1" w:styleId="HChGChar">
    <w:name w:val="_ H _Ch_G Char"/>
    <w:link w:val="HChG"/>
    <w:rsid w:val="00D34402"/>
    <w:rPr>
      <w:b/>
      <w:sz w:val="28"/>
      <w:lang w:val="fr-CH" w:eastAsia="en-US"/>
    </w:rPr>
  </w:style>
  <w:style w:type="paragraph" w:customStyle="1" w:styleId="H1">
    <w:name w:val="_ H_1"/>
    <w:basedOn w:val="Normal"/>
    <w:next w:val="SingleTxt"/>
    <w:qFormat/>
    <w:rsid w:val="0064430B"/>
    <w:pPr>
      <w:keepNext/>
      <w:keepLines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64430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64430B"/>
    <w:pPr>
      <w:keepNext/>
      <w:keepLines/>
      <w:tabs>
        <w:tab w:val="right" w:pos="360"/>
      </w:tabs>
      <w:spacing w:line="240" w:lineRule="exact"/>
      <w:outlineLvl w:val="3"/>
    </w:pPr>
    <w:rPr>
      <w:rFonts w:eastAsiaTheme="minorHAnsi"/>
      <w:i/>
      <w:spacing w:val="3"/>
      <w:w w:val="103"/>
      <w:kern w:val="14"/>
      <w:szCs w:val="22"/>
      <w:lang w:val="fr-CA"/>
    </w:rPr>
  </w:style>
  <w:style w:type="paragraph" w:customStyle="1" w:styleId="SingleTxt">
    <w:name w:val="__Single Txt"/>
    <w:basedOn w:val="Normal"/>
    <w:qFormat/>
    <w:rsid w:val="0064430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">
    <w:name w:val="Footnote Text Char"/>
    <w:aliases w:val="5_G Char"/>
    <w:link w:val="FootnoteText"/>
    <w:rsid w:val="0064430B"/>
    <w:rPr>
      <w:sz w:val="18"/>
      <w:lang w:val="fr-CH" w:eastAsia="en-US"/>
    </w:rPr>
  </w:style>
  <w:style w:type="character" w:customStyle="1" w:styleId="SingleTxtGChar">
    <w:name w:val="_ Single Txt_G Char"/>
    <w:qFormat/>
    <w:rsid w:val="00606974"/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E0792D"/>
    <w:rPr>
      <w:lang w:val="fr-CH" w:eastAsia="en-US"/>
    </w:rPr>
  </w:style>
  <w:style w:type="character" w:customStyle="1" w:styleId="Heading2Char">
    <w:name w:val="Heading 2 Char"/>
    <w:basedOn w:val="DefaultParagraphFont"/>
    <w:link w:val="Heading2"/>
    <w:rsid w:val="00E0792D"/>
    <w:rPr>
      <w:lang w:val="fr-CH" w:eastAsia="en-US"/>
    </w:rPr>
  </w:style>
  <w:style w:type="character" w:customStyle="1" w:styleId="Heading3Char">
    <w:name w:val="Heading 3 Char"/>
    <w:basedOn w:val="DefaultParagraphFont"/>
    <w:link w:val="Heading3"/>
    <w:rsid w:val="00E0792D"/>
    <w:rPr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E0792D"/>
    <w:rPr>
      <w:lang w:val="fr-CH" w:eastAsia="en-US"/>
    </w:rPr>
  </w:style>
  <w:style w:type="character" w:customStyle="1" w:styleId="Heading5Char">
    <w:name w:val="Heading 5 Char"/>
    <w:basedOn w:val="DefaultParagraphFont"/>
    <w:link w:val="Heading5"/>
    <w:rsid w:val="00E0792D"/>
    <w:rPr>
      <w:lang w:val="fr-CH" w:eastAsia="en-US"/>
    </w:rPr>
  </w:style>
  <w:style w:type="character" w:customStyle="1" w:styleId="Heading6Char">
    <w:name w:val="Heading 6 Char"/>
    <w:basedOn w:val="DefaultParagraphFont"/>
    <w:link w:val="Heading6"/>
    <w:rsid w:val="00E0792D"/>
    <w:rPr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E0792D"/>
    <w:rPr>
      <w:lang w:val="fr-CH" w:eastAsia="en-US"/>
    </w:rPr>
  </w:style>
  <w:style w:type="character" w:customStyle="1" w:styleId="Heading8Char">
    <w:name w:val="Heading 8 Char"/>
    <w:basedOn w:val="DefaultParagraphFont"/>
    <w:link w:val="Heading8"/>
    <w:rsid w:val="00E0792D"/>
    <w:rPr>
      <w:lang w:val="fr-CH" w:eastAsia="en-US"/>
    </w:rPr>
  </w:style>
  <w:style w:type="character" w:customStyle="1" w:styleId="Heading9Char">
    <w:name w:val="Heading 9 Char"/>
    <w:basedOn w:val="DefaultParagraphFont"/>
    <w:link w:val="Heading9"/>
    <w:rsid w:val="00E0792D"/>
    <w:rPr>
      <w:lang w:val="fr-CH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0792D"/>
    <w:rPr>
      <w:sz w:val="18"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0792D"/>
    <w:rPr>
      <w:sz w:val="16"/>
      <w:lang w:val="fr-CH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0792D"/>
    <w:rPr>
      <w:b/>
      <w:sz w:val="18"/>
      <w:lang w:val="fr-CH" w:eastAsia="en-US"/>
    </w:rPr>
  </w:style>
  <w:style w:type="paragraph" w:customStyle="1" w:styleId="Default">
    <w:name w:val="Default"/>
    <w:rsid w:val="00E079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NoG">
    <w:name w:val="_ParNo_G"/>
    <w:basedOn w:val="SingleTxtG"/>
    <w:link w:val="ParNoGCar"/>
    <w:qFormat/>
    <w:rsid w:val="00E0792D"/>
    <w:pPr>
      <w:numPr>
        <w:numId w:val="9"/>
      </w:numPr>
    </w:pPr>
  </w:style>
  <w:style w:type="character" w:customStyle="1" w:styleId="ParNoGCar">
    <w:name w:val="_ParNo_G Car"/>
    <w:link w:val="ParNoG"/>
    <w:locked/>
    <w:rsid w:val="00F5312B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741FFF"/>
    <w:pPr>
      <w:ind w:left="720"/>
      <w:contextualSpacing/>
    </w:pPr>
  </w:style>
  <w:style w:type="paragraph" w:styleId="ListNumber4">
    <w:name w:val="List Number 4"/>
    <w:basedOn w:val="Normal"/>
    <w:uiPriority w:val="99"/>
    <w:semiHidden/>
    <w:rsid w:val="008B15A6"/>
    <w:pPr>
      <w:numPr>
        <w:numId w:val="15"/>
      </w:numPr>
      <w:tabs>
        <w:tab w:val="clear" w:pos="360"/>
        <w:tab w:val="num" w:pos="1209"/>
      </w:tabs>
      <w:ind w:left="1209"/>
    </w:pPr>
    <w:rPr>
      <w:lang w:val="en-GB"/>
    </w:rPr>
  </w:style>
  <w:style w:type="paragraph" w:styleId="BodyText">
    <w:name w:val="Body Text"/>
    <w:basedOn w:val="Normal"/>
    <w:link w:val="BodyTextChar"/>
    <w:semiHidden/>
    <w:unhideWhenUsed/>
    <w:rsid w:val="008569B3"/>
    <w:pPr>
      <w:overflowPunct w:val="0"/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569B3"/>
    <w:rPr>
      <w:lang w:val="fr-CH" w:eastAsia="en-US"/>
    </w:rPr>
  </w:style>
  <w:style w:type="character" w:customStyle="1" w:styleId="CCMCvariableitalic">
    <w:name w:val="CCMCvariable_italic"/>
    <w:rsid w:val="008569B3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basedOn w:val="DefaultParagraphFont"/>
    <w:rsid w:val="0019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gazin.asro.ro/produs/1045228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danger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7179-B191-42A8-B126-C210AAC0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0</TotalTime>
  <Pages>6</Pages>
  <Words>1472</Words>
  <Characters>8538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ECE/TRANS/WP.15/AC.1/</vt:lpstr>
      <vt:lpstr>ECE/TRANS/WP.15/AC.1/</vt:lpstr>
      <vt:lpstr>ECE/TRANS/WP.15/AC.1/</vt:lpstr>
    </vt:vector>
  </TitlesOfParts>
  <Company>CSD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 SM</dc:creator>
  <cp:lastModifiedBy>user</cp:lastModifiedBy>
  <cp:revision>2</cp:revision>
  <cp:lastPrinted>2018-05-29T09:52:00Z</cp:lastPrinted>
  <dcterms:created xsi:type="dcterms:W3CDTF">2019-06-18T14:18:00Z</dcterms:created>
  <dcterms:modified xsi:type="dcterms:W3CDTF">2019-06-18T14:18:00Z</dcterms:modified>
</cp:coreProperties>
</file>