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D0908" w:rsidRPr="00857CDA" w:rsidTr="00902C44">
        <w:trPr>
          <w:trHeight w:hRule="exact" w:val="851"/>
        </w:trPr>
        <w:tc>
          <w:tcPr>
            <w:tcW w:w="1276" w:type="dxa"/>
            <w:tcBorders>
              <w:bottom w:val="single" w:sz="4" w:space="0" w:color="auto"/>
            </w:tcBorders>
          </w:tcPr>
          <w:p w:rsidR="009D0908" w:rsidRPr="00857CDA" w:rsidRDefault="009D0908" w:rsidP="009D0908">
            <w:pPr>
              <w:rPr>
                <w:lang w:val="ro-RO"/>
              </w:rPr>
            </w:pPr>
            <w:bookmarkStart w:id="0" w:name="_GoBack"/>
            <w:bookmarkEnd w:id="0"/>
          </w:p>
        </w:tc>
        <w:tc>
          <w:tcPr>
            <w:tcW w:w="2268" w:type="dxa"/>
            <w:tcBorders>
              <w:bottom w:val="single" w:sz="4" w:space="0" w:color="auto"/>
            </w:tcBorders>
            <w:vAlign w:val="bottom"/>
          </w:tcPr>
          <w:p w:rsidR="009D0908" w:rsidRPr="00857CDA" w:rsidRDefault="00902C44" w:rsidP="009D0908">
            <w:pPr>
              <w:spacing w:after="80" w:line="300" w:lineRule="exact"/>
              <w:rPr>
                <w:sz w:val="28"/>
                <w:lang w:val="ro-RO"/>
              </w:rPr>
            </w:pPr>
            <w:r w:rsidRPr="00857CDA">
              <w:rPr>
                <w:sz w:val="28"/>
                <w:lang w:val="ro-RO"/>
              </w:rPr>
              <w:t>Națiunile Unite</w:t>
            </w:r>
          </w:p>
        </w:tc>
        <w:tc>
          <w:tcPr>
            <w:tcW w:w="6095" w:type="dxa"/>
            <w:gridSpan w:val="2"/>
            <w:tcBorders>
              <w:bottom w:val="single" w:sz="4" w:space="0" w:color="auto"/>
            </w:tcBorders>
            <w:vAlign w:val="bottom"/>
          </w:tcPr>
          <w:p w:rsidR="00902C44" w:rsidRPr="00857CDA" w:rsidRDefault="00902C44" w:rsidP="00902C44">
            <w:pPr>
              <w:jc w:val="right"/>
              <w:rPr>
                <w:sz w:val="28"/>
                <w:lang w:val="ro-RO"/>
              </w:rPr>
            </w:pPr>
            <w:r w:rsidRPr="00857CDA">
              <w:rPr>
                <w:sz w:val="28"/>
                <w:lang w:val="ro-RO"/>
              </w:rPr>
              <w:t>Anexa 1</w:t>
            </w:r>
            <w:r w:rsidR="004C5542" w:rsidRPr="00857CDA">
              <w:rPr>
                <w:sz w:val="28"/>
                <w:lang w:val="ro-RO"/>
              </w:rPr>
              <w:t xml:space="preserve"> la OMT nr. </w:t>
            </w:r>
            <w:r w:rsidR="00F17DE7">
              <w:rPr>
                <w:sz w:val="28"/>
                <w:lang w:val="ro-RO"/>
              </w:rPr>
              <w:t>…..</w:t>
            </w:r>
            <w:r w:rsidR="004C5542" w:rsidRPr="00857CDA">
              <w:rPr>
                <w:sz w:val="28"/>
                <w:lang w:val="ro-RO"/>
              </w:rPr>
              <w:t>../2019</w:t>
            </w:r>
          </w:p>
          <w:p w:rsidR="009D0908" w:rsidRPr="00857CDA" w:rsidRDefault="009D0908" w:rsidP="009D0908">
            <w:pPr>
              <w:jc w:val="right"/>
              <w:rPr>
                <w:lang w:val="ro-RO"/>
              </w:rPr>
            </w:pPr>
            <w:r w:rsidRPr="00857CDA">
              <w:rPr>
                <w:sz w:val="40"/>
                <w:lang w:val="ro-RO"/>
              </w:rPr>
              <w:t>ECE</w:t>
            </w:r>
            <w:r w:rsidRPr="00857CDA">
              <w:rPr>
                <w:lang w:val="ro-RO"/>
              </w:rPr>
              <w:t>/TRANS/WP.15/240</w:t>
            </w:r>
          </w:p>
        </w:tc>
      </w:tr>
      <w:tr w:rsidR="009D0908" w:rsidRPr="00857CDA" w:rsidTr="00DA6CDE">
        <w:trPr>
          <w:trHeight w:hRule="exact" w:val="2835"/>
        </w:trPr>
        <w:tc>
          <w:tcPr>
            <w:tcW w:w="1276" w:type="dxa"/>
            <w:tcBorders>
              <w:top w:val="single" w:sz="4" w:space="0" w:color="auto"/>
              <w:bottom w:val="single" w:sz="12" w:space="0" w:color="auto"/>
            </w:tcBorders>
          </w:tcPr>
          <w:p w:rsidR="009D0908" w:rsidRPr="00857CDA" w:rsidRDefault="009D0908" w:rsidP="009D0908">
            <w:pPr>
              <w:spacing w:before="120"/>
              <w:jc w:val="center"/>
              <w:rPr>
                <w:lang w:val="ro-RO"/>
              </w:rPr>
            </w:pPr>
            <w:r w:rsidRPr="00857CDA">
              <w:rPr>
                <w:noProof/>
                <w:lang w:val="ro-RO" w:eastAsia="ro-RO"/>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D0908" w:rsidRPr="00857CDA" w:rsidRDefault="00902C44" w:rsidP="009D0908">
            <w:pPr>
              <w:spacing w:before="120" w:line="420" w:lineRule="exact"/>
              <w:rPr>
                <w:b/>
                <w:sz w:val="40"/>
                <w:szCs w:val="40"/>
                <w:lang w:val="ro-RO"/>
              </w:rPr>
            </w:pPr>
            <w:r w:rsidRPr="00857CDA">
              <w:rPr>
                <w:b/>
                <w:sz w:val="40"/>
                <w:szCs w:val="40"/>
                <w:lang w:val="ro-RO"/>
              </w:rPr>
              <w:t>Consiliul economic și social</w:t>
            </w:r>
          </w:p>
        </w:tc>
        <w:tc>
          <w:tcPr>
            <w:tcW w:w="2835" w:type="dxa"/>
            <w:tcBorders>
              <w:top w:val="single" w:sz="4" w:space="0" w:color="auto"/>
              <w:bottom w:val="single" w:sz="12" w:space="0" w:color="auto"/>
            </w:tcBorders>
          </w:tcPr>
          <w:p w:rsidR="00902C44" w:rsidRPr="00857CDA" w:rsidRDefault="00902C44" w:rsidP="00902C44">
            <w:pPr>
              <w:spacing w:before="240" w:line="240" w:lineRule="exact"/>
              <w:rPr>
                <w:lang w:val="ro-RO"/>
              </w:rPr>
            </w:pPr>
            <w:r w:rsidRPr="00857CDA">
              <w:rPr>
                <w:lang w:val="ro-RO"/>
              </w:rPr>
              <w:t>Distr. generală</w:t>
            </w:r>
          </w:p>
          <w:p w:rsidR="00902C44" w:rsidRPr="00857CDA" w:rsidRDefault="00902C44" w:rsidP="00902C44">
            <w:pPr>
              <w:spacing w:line="240" w:lineRule="exact"/>
              <w:rPr>
                <w:lang w:val="ro-RO"/>
              </w:rPr>
            </w:pPr>
            <w:r w:rsidRPr="00857CDA">
              <w:rPr>
                <w:lang w:val="ro-RO"/>
              </w:rPr>
              <w:t>7 martie 2018</w:t>
            </w:r>
          </w:p>
          <w:p w:rsidR="00902C44" w:rsidRPr="00857CDA" w:rsidRDefault="00902C44" w:rsidP="00902C44">
            <w:pPr>
              <w:spacing w:line="240" w:lineRule="exact"/>
              <w:rPr>
                <w:lang w:val="ro-RO"/>
              </w:rPr>
            </w:pPr>
            <w:r w:rsidRPr="00857CDA">
              <w:rPr>
                <w:lang w:val="ro-RO"/>
              </w:rPr>
              <w:t>Română</w:t>
            </w:r>
          </w:p>
          <w:p w:rsidR="009D0908" w:rsidRPr="00857CDA" w:rsidRDefault="00902C44" w:rsidP="00902C44">
            <w:pPr>
              <w:spacing w:line="240" w:lineRule="exact"/>
              <w:rPr>
                <w:lang w:val="ro-RO"/>
              </w:rPr>
            </w:pPr>
            <w:r w:rsidRPr="00857CDA">
              <w:rPr>
                <w:lang w:val="ro-RO"/>
              </w:rPr>
              <w:t>Originale: engleză și franceză</w:t>
            </w:r>
          </w:p>
        </w:tc>
      </w:tr>
    </w:tbl>
    <w:p w:rsidR="00902C44" w:rsidRPr="00857CDA" w:rsidRDefault="00902C44" w:rsidP="00902C44">
      <w:pPr>
        <w:spacing w:before="120"/>
        <w:rPr>
          <w:b/>
          <w:sz w:val="28"/>
          <w:szCs w:val="28"/>
          <w:lang w:val="ro-RO"/>
        </w:rPr>
      </w:pPr>
      <w:r w:rsidRPr="00857CDA">
        <w:rPr>
          <w:b/>
          <w:sz w:val="28"/>
          <w:szCs w:val="28"/>
          <w:lang w:val="ro-RO"/>
        </w:rPr>
        <w:t>Comisia Economică pentru Europa</w:t>
      </w:r>
    </w:p>
    <w:p w:rsidR="00902C44" w:rsidRPr="00857CDA" w:rsidRDefault="00902C44" w:rsidP="00902C44">
      <w:pPr>
        <w:spacing w:before="120"/>
        <w:rPr>
          <w:sz w:val="28"/>
          <w:szCs w:val="28"/>
          <w:lang w:val="ro-RO"/>
        </w:rPr>
      </w:pPr>
      <w:r w:rsidRPr="00857CDA">
        <w:rPr>
          <w:sz w:val="28"/>
          <w:szCs w:val="28"/>
          <w:lang w:val="ro-RO"/>
        </w:rPr>
        <w:t>Comitetul pentru Transporturi Interioare</w:t>
      </w:r>
    </w:p>
    <w:p w:rsidR="009D0908" w:rsidRPr="00857CDA" w:rsidRDefault="00902C44" w:rsidP="00902C44">
      <w:pPr>
        <w:spacing w:before="120"/>
        <w:rPr>
          <w:b/>
          <w:sz w:val="24"/>
          <w:szCs w:val="24"/>
          <w:lang w:val="ro-RO"/>
        </w:rPr>
      </w:pPr>
      <w:r w:rsidRPr="00857CDA">
        <w:rPr>
          <w:b/>
          <w:sz w:val="24"/>
          <w:szCs w:val="24"/>
          <w:lang w:val="ro-RO"/>
        </w:rPr>
        <w:t>Grupul de lucru pentru transportul mărfurilor periculoase</w:t>
      </w:r>
    </w:p>
    <w:p w:rsidR="00902C44" w:rsidRPr="00857CDA" w:rsidRDefault="00902C44" w:rsidP="00902C44">
      <w:pPr>
        <w:spacing w:before="120"/>
        <w:rPr>
          <w:b/>
          <w:sz w:val="24"/>
          <w:szCs w:val="24"/>
          <w:lang w:val="ro-RO"/>
        </w:rPr>
      </w:pPr>
    </w:p>
    <w:p w:rsidR="00DA6CDE" w:rsidRPr="00857CDA" w:rsidRDefault="00DA6CDE" w:rsidP="00DA6CDE">
      <w:pPr>
        <w:pStyle w:val="HChG"/>
        <w:rPr>
          <w:lang w:val="ro-RO"/>
        </w:rPr>
      </w:pPr>
      <w:r w:rsidRPr="00857CDA">
        <w:rPr>
          <w:lang w:val="ro-RO"/>
        </w:rPr>
        <w:tab/>
      </w:r>
      <w:r w:rsidRPr="00857CDA">
        <w:rPr>
          <w:lang w:val="ro-RO"/>
        </w:rPr>
        <w:tab/>
      </w:r>
      <w:r w:rsidR="00902C44" w:rsidRPr="00857CDA">
        <w:rPr>
          <w:lang w:val="ro-RO"/>
        </w:rPr>
        <w:t>Acordul european referitor la transportul rutier internaţional al mărfurilor periculoase (ADR)</w:t>
      </w:r>
    </w:p>
    <w:p w:rsidR="00DA6CDE" w:rsidRPr="00857CDA" w:rsidRDefault="00DA6CDE" w:rsidP="00DA6CDE">
      <w:pPr>
        <w:pStyle w:val="H1G"/>
        <w:outlineLvl w:val="0"/>
        <w:rPr>
          <w:lang w:val="ro-RO"/>
        </w:rPr>
      </w:pPr>
      <w:r w:rsidRPr="00857CDA">
        <w:rPr>
          <w:lang w:val="ro-RO"/>
        </w:rPr>
        <w:tab/>
      </w:r>
      <w:r w:rsidRPr="00857CDA">
        <w:rPr>
          <w:lang w:val="ro-RO"/>
        </w:rPr>
        <w:tab/>
      </w:r>
      <w:r w:rsidR="00902C44" w:rsidRPr="00857CDA">
        <w:rPr>
          <w:lang w:val="ro-RO"/>
        </w:rPr>
        <w:t>Amendamente la anexele A şi B ale ADR</w:t>
      </w:r>
    </w:p>
    <w:p w:rsidR="00902C44" w:rsidRPr="00857CDA" w:rsidRDefault="006B06C2" w:rsidP="00902C44">
      <w:pPr>
        <w:pStyle w:val="SingleTxtG"/>
        <w:rPr>
          <w:lang w:val="ro-RO"/>
        </w:rPr>
      </w:pPr>
      <w:r w:rsidRPr="00857CDA">
        <w:rPr>
          <w:lang w:val="ro-RO"/>
        </w:rPr>
        <w:tab/>
      </w:r>
      <w:r w:rsidR="00DA6CDE" w:rsidRPr="00857CDA">
        <w:rPr>
          <w:lang w:val="ro-RO"/>
        </w:rPr>
        <w:tab/>
      </w:r>
      <w:r w:rsidR="00902C44" w:rsidRPr="00857CDA">
        <w:rPr>
          <w:lang w:val="ro-RO"/>
        </w:rPr>
        <w:t>Cu ocazia celei de a 103-a sesiuni a sa, Grupul de lucru pentru transportul mărfurilor periculoase a solicitat secretariatului să pregătească o listă recapitulativă a tuturor amendamentelor care au fost adoptate pentru a intra în vigoare la 1 ianuarie 2019, în scopul ca ele să poată face obiectul unei propuneri oficiale, în conformitate cu procedura prevăzută în articolul 14 al ADR, pe care, potrivit uzanţelor, Preşedintele se va obliga să o transmită depozitarului prin intermediul Guvernului său. Notificarea va trebui să fie emisă până la 1 iulie 2018 cel mai târziu, menţionând data prevăzută de intrare în vigoare de 1 ianuarie 2019 (a se vedea ECE/TRANS/WP.15/239, paragraful 66).</w:t>
      </w:r>
    </w:p>
    <w:p w:rsidR="00902C44" w:rsidRPr="00857CDA" w:rsidRDefault="00902C44" w:rsidP="00902C44">
      <w:pPr>
        <w:pStyle w:val="SingleTxtG"/>
        <w:rPr>
          <w:bCs/>
          <w:lang w:val="ro-RO"/>
        </w:rPr>
      </w:pPr>
      <w:r w:rsidRPr="00857CDA">
        <w:rPr>
          <w:bCs/>
          <w:lang w:val="ro-RO"/>
        </w:rPr>
        <w:tab/>
        <w:t>Prezentul document conţine lista recapitulativă solicitată a amendamentelor adoptate de către Grupul de lucru la sesiunile sale cu numerele 100, 101, 102 și 103 (a se vedea ECE/TRANS/WP.15/233, anexa II, ECE/TRANS/WP.15/235, anexa I, ECE/TRANS/WP.15/237, anexa I şi ECE/TRANS/WP.15/239, anexa I).</w:t>
      </w:r>
    </w:p>
    <w:p w:rsidR="00DA6CDE" w:rsidRPr="00857CDA" w:rsidRDefault="00DA6CDE" w:rsidP="00DA6CDE">
      <w:pPr>
        <w:pStyle w:val="SingleTxtG"/>
        <w:rPr>
          <w:bCs/>
          <w:lang w:val="ro-RO"/>
        </w:rPr>
      </w:pPr>
    </w:p>
    <w:p w:rsidR="00FF35B7" w:rsidRPr="00857CDA" w:rsidRDefault="00FF35B7" w:rsidP="002C052F">
      <w:pPr>
        <w:pStyle w:val="HChG"/>
        <w:rPr>
          <w:highlight w:val="yellow"/>
          <w:lang w:val="ro-RO"/>
        </w:rPr>
      </w:pPr>
      <w:r w:rsidRPr="00857CDA">
        <w:rPr>
          <w:highlight w:val="yellow"/>
          <w:lang w:val="ro-RO"/>
        </w:rPr>
        <w:br w:type="page"/>
      </w:r>
    </w:p>
    <w:p w:rsidR="00CA761A" w:rsidRPr="00857CDA" w:rsidRDefault="00CA761A" w:rsidP="00CA761A">
      <w:pPr>
        <w:pStyle w:val="H1G"/>
        <w:rPr>
          <w:lang w:val="ro-RO"/>
        </w:rPr>
      </w:pPr>
      <w:r w:rsidRPr="00857CDA">
        <w:rPr>
          <w:lang w:val="ro-RO"/>
        </w:rPr>
        <w:lastRenderedPageBreak/>
        <w:tab/>
      </w:r>
      <w:r w:rsidRPr="00857CDA">
        <w:rPr>
          <w:lang w:val="ro-RO"/>
        </w:rPr>
        <w:tab/>
      </w:r>
      <w:r w:rsidR="00902C44" w:rsidRPr="00857CDA">
        <w:rPr>
          <w:lang w:val="ro-RO"/>
        </w:rPr>
        <w:t>Capitolul</w:t>
      </w:r>
      <w:r w:rsidRPr="00857CDA">
        <w:rPr>
          <w:lang w:val="ro-RO"/>
        </w:rPr>
        <w:t xml:space="preserve"> 1.1</w:t>
      </w:r>
    </w:p>
    <w:p w:rsidR="009D320C" w:rsidRPr="00857CDA" w:rsidRDefault="00902C44" w:rsidP="009574CE">
      <w:pPr>
        <w:pStyle w:val="SingleTxtG"/>
        <w:tabs>
          <w:tab w:val="left" w:pos="4395"/>
        </w:tabs>
        <w:rPr>
          <w:lang w:val="ro-RO"/>
        </w:rPr>
      </w:pPr>
      <w:r w:rsidRPr="00857CDA">
        <w:rPr>
          <w:lang w:val="ro-RO"/>
        </w:rPr>
        <w:t>Se șterge</w:t>
      </w:r>
      <w:r w:rsidR="009D320C" w:rsidRPr="00857CDA">
        <w:rPr>
          <w:lang w:val="ro-RO"/>
        </w:rPr>
        <w:t xml:space="preserve"> 1.1.3.1 b)</w:t>
      </w:r>
      <w:r w:rsidR="004C27AD" w:rsidRPr="00857CDA">
        <w:rPr>
          <w:lang w:val="ro-RO"/>
        </w:rPr>
        <w:t xml:space="preserve"> și </w:t>
      </w:r>
      <w:r w:rsidRPr="00857CDA">
        <w:rPr>
          <w:lang w:val="ro-RO"/>
        </w:rPr>
        <w:t>se adaugă</w:t>
      </w:r>
      <w:r w:rsidR="009D320C" w:rsidRPr="00857CDA">
        <w:rPr>
          <w:lang w:val="ro-RO"/>
        </w:rPr>
        <w:t xml:space="preserve"> </w:t>
      </w:r>
      <w:r w:rsidR="001A50A8" w:rsidRPr="00857CDA">
        <w:rPr>
          <w:lang w:val="ro-RO"/>
        </w:rPr>
        <w:t>„</w:t>
      </w:r>
      <w:r w:rsidR="009D320C" w:rsidRPr="00857CDA">
        <w:rPr>
          <w:lang w:val="ro-RO"/>
        </w:rPr>
        <w:t>b)</w:t>
      </w:r>
      <w:r w:rsidR="009D320C" w:rsidRPr="00857CDA">
        <w:rPr>
          <w:lang w:val="ro-RO"/>
        </w:rPr>
        <w:tab/>
      </w:r>
      <w:r w:rsidR="009D320C" w:rsidRPr="00857CDA">
        <w:rPr>
          <w:i/>
          <w:lang w:val="ro-RO"/>
        </w:rPr>
        <w:t>(</w:t>
      </w:r>
      <w:r w:rsidR="004C27AD" w:rsidRPr="00857CDA">
        <w:rPr>
          <w:i/>
          <w:lang w:val="ro-RO"/>
        </w:rPr>
        <w:t>Șters</w:t>
      </w:r>
      <w:r w:rsidR="009D320C" w:rsidRPr="00857CDA">
        <w:rPr>
          <w:i/>
          <w:lang w:val="ro-RO"/>
        </w:rPr>
        <w:t>)</w:t>
      </w:r>
      <w:r w:rsidR="00660131" w:rsidRPr="00857CDA">
        <w:rPr>
          <w:lang w:val="ro-RO"/>
        </w:rPr>
        <w:t>”</w:t>
      </w:r>
      <w:r w:rsidR="009D320C" w:rsidRPr="00857CDA">
        <w:rPr>
          <w:lang w:val="ro-RO"/>
        </w:rPr>
        <w:t>.</w:t>
      </w:r>
    </w:p>
    <w:p w:rsidR="00CE0BE3" w:rsidRPr="00857CDA" w:rsidRDefault="00CE0BE3" w:rsidP="009D320C">
      <w:pPr>
        <w:pStyle w:val="SingleTxtG"/>
        <w:rPr>
          <w:lang w:val="ro-RO"/>
        </w:rPr>
      </w:pPr>
      <w:r w:rsidRPr="00857CDA">
        <w:rPr>
          <w:lang w:val="ro-RO"/>
        </w:rPr>
        <w:t>1.1.3.5</w:t>
      </w:r>
      <w:r w:rsidRPr="00857CDA">
        <w:rPr>
          <w:lang w:val="ro-RO"/>
        </w:rPr>
        <w:tab/>
      </w:r>
      <w:r w:rsidRPr="00857CDA">
        <w:rPr>
          <w:lang w:val="ro-RO"/>
        </w:rPr>
        <w:tab/>
      </w:r>
      <w:r w:rsidR="00805B10" w:rsidRPr="00857CDA">
        <w:rPr>
          <w:lang w:val="ro-RO"/>
        </w:rPr>
        <w:t>Se modifică „riscuri” cu „pericole” și  „riscurile” cu „pericolele” (de două ori).</w:t>
      </w:r>
    </w:p>
    <w:p w:rsidR="00970717" w:rsidRPr="00857CDA" w:rsidRDefault="00970717" w:rsidP="00970717">
      <w:pPr>
        <w:pStyle w:val="SingleTxtG"/>
        <w:rPr>
          <w:lang w:val="ro-RO"/>
        </w:rPr>
      </w:pPr>
      <w:r w:rsidRPr="00857CDA">
        <w:rPr>
          <w:lang w:val="ro-RO"/>
        </w:rPr>
        <w:t>1.1.3.6.3</w:t>
      </w:r>
      <w:r w:rsidRPr="00857CDA">
        <w:rPr>
          <w:lang w:val="ro-RO"/>
        </w:rPr>
        <w:tab/>
      </w:r>
      <w:r w:rsidR="00902C44" w:rsidRPr="00857CDA">
        <w:rPr>
          <w:lang w:val="ro-RO"/>
        </w:rPr>
        <w:t xml:space="preserve">În </w:t>
      </w:r>
      <w:r w:rsidR="002B679C" w:rsidRPr="00857CDA">
        <w:rPr>
          <w:lang w:val="ro-RO"/>
        </w:rPr>
        <w:t>titlul coloanei</w:t>
      </w:r>
      <w:r w:rsidRPr="00857CDA">
        <w:rPr>
          <w:lang w:val="ro-RO"/>
        </w:rPr>
        <w:t xml:space="preserve"> (3) </w:t>
      </w:r>
      <w:r w:rsidR="002B679C" w:rsidRPr="00857CDA">
        <w:rPr>
          <w:lang w:val="ro-RO"/>
        </w:rPr>
        <w:t>a tabelului</w:t>
      </w:r>
      <w:r w:rsidRPr="00857CDA">
        <w:rPr>
          <w:lang w:val="ro-RO"/>
        </w:rPr>
        <w:t xml:space="preserve">, </w:t>
      </w:r>
      <w:r w:rsidR="00902C44" w:rsidRPr="00857CDA">
        <w:rPr>
          <w:lang w:val="ro-RO"/>
        </w:rPr>
        <w:t>se adaugă</w:t>
      </w:r>
      <w:r w:rsidRPr="00857CDA">
        <w:rPr>
          <w:lang w:val="ro-RO"/>
        </w:rPr>
        <w:t xml:space="preserve"> </w:t>
      </w:r>
      <w:r w:rsidR="002B679C" w:rsidRPr="00857CDA">
        <w:rPr>
          <w:lang w:val="ro-RO"/>
        </w:rPr>
        <w:t>o notă de subsol b la tabel, după cum urmează</w:t>
      </w:r>
      <w:r w:rsidRPr="00857CDA">
        <w:rPr>
          <w:lang w:val="ro-RO"/>
        </w:rPr>
        <w:t>:</w:t>
      </w:r>
    </w:p>
    <w:p w:rsidR="00970717" w:rsidRPr="00857CDA" w:rsidRDefault="001A50A8" w:rsidP="00970717">
      <w:pPr>
        <w:pStyle w:val="SingleTxtG"/>
        <w:rPr>
          <w:lang w:val="ro-RO"/>
        </w:rPr>
      </w:pPr>
      <w:r w:rsidRPr="00857CDA">
        <w:rPr>
          <w:lang w:val="ro-RO"/>
        </w:rPr>
        <w:t>„</w:t>
      </w:r>
      <w:r w:rsidR="00970717" w:rsidRPr="00857CDA">
        <w:rPr>
          <w:rStyle w:val="FootnoteTextChar"/>
          <w:b/>
          <w:sz w:val="20"/>
          <w:vertAlign w:val="superscript"/>
          <w:lang w:val="ro-RO"/>
        </w:rPr>
        <w:t>b</w:t>
      </w:r>
      <w:r w:rsidR="00970717" w:rsidRPr="00857CDA">
        <w:rPr>
          <w:rStyle w:val="FootnoteTextChar"/>
          <w:sz w:val="20"/>
          <w:lang w:val="ro-RO"/>
        </w:rPr>
        <w:tab/>
      </w:r>
      <w:r w:rsidR="002B679C" w:rsidRPr="00857CDA">
        <w:rPr>
          <w:rStyle w:val="FootnoteTextChar"/>
          <w:sz w:val="20"/>
          <w:lang w:val="ro-RO"/>
        </w:rPr>
        <w:t xml:space="preserve">Cantitatea maximă totală pentru fiecare categorie de transport corespunde unei valori calculate de </w:t>
      </w:r>
      <w:r w:rsidR="00660131" w:rsidRPr="00857CDA">
        <w:rPr>
          <w:rStyle w:val="FootnoteTextChar"/>
          <w:sz w:val="20"/>
          <w:lang w:val="ro-RO"/>
        </w:rPr>
        <w:t>“</w:t>
      </w:r>
      <w:r w:rsidR="00970717" w:rsidRPr="00857CDA">
        <w:rPr>
          <w:rStyle w:val="FootnoteTextChar"/>
          <w:sz w:val="20"/>
          <w:lang w:val="ro-RO"/>
        </w:rPr>
        <w:t>1000</w:t>
      </w:r>
      <w:r w:rsidR="00660131" w:rsidRPr="00857CDA">
        <w:rPr>
          <w:rStyle w:val="FootnoteTextChar"/>
          <w:sz w:val="20"/>
          <w:lang w:val="ro-RO"/>
        </w:rPr>
        <w:t>”</w:t>
      </w:r>
      <w:r w:rsidR="00970717" w:rsidRPr="00857CDA">
        <w:rPr>
          <w:rStyle w:val="FootnoteTextChar"/>
          <w:sz w:val="20"/>
          <w:lang w:val="ro-RO"/>
        </w:rPr>
        <w:t xml:space="preserve"> (</w:t>
      </w:r>
      <w:r w:rsidR="002B679C" w:rsidRPr="00857CDA">
        <w:rPr>
          <w:rStyle w:val="FootnoteTextChar"/>
          <w:sz w:val="20"/>
          <w:lang w:val="ro-RO"/>
        </w:rPr>
        <w:t>a se vedea, de asemenea,</w:t>
      </w:r>
      <w:r w:rsidR="00970717" w:rsidRPr="00857CDA">
        <w:rPr>
          <w:rStyle w:val="FootnoteTextChar"/>
          <w:sz w:val="20"/>
          <w:lang w:val="ro-RO"/>
        </w:rPr>
        <w:t xml:space="preserve"> 1.1.3.6.4)</w:t>
      </w:r>
      <w:r w:rsidR="00970717" w:rsidRPr="00857CDA">
        <w:rPr>
          <w:lang w:val="ro-RO"/>
        </w:rPr>
        <w:t>.</w:t>
      </w:r>
      <w:r w:rsidR="00660131" w:rsidRPr="00857CDA">
        <w:rPr>
          <w:lang w:val="ro-RO"/>
        </w:rPr>
        <w:t>”</w:t>
      </w:r>
      <w:r w:rsidR="00970717" w:rsidRPr="00857CDA">
        <w:rPr>
          <w:lang w:val="ro-RO"/>
        </w:rPr>
        <w:t>.</w:t>
      </w:r>
    </w:p>
    <w:p w:rsidR="009D320C" w:rsidRPr="00857CDA" w:rsidRDefault="009D320C" w:rsidP="009D320C">
      <w:pPr>
        <w:pStyle w:val="SingleTxtG"/>
        <w:rPr>
          <w:lang w:val="ro-RO"/>
        </w:rPr>
      </w:pPr>
      <w:r w:rsidRPr="00857CDA">
        <w:rPr>
          <w:lang w:val="ro-RO"/>
        </w:rPr>
        <w:t xml:space="preserve">1.1.3.6.3, </w:t>
      </w:r>
      <w:r w:rsidR="00902C44" w:rsidRPr="00857CDA">
        <w:rPr>
          <w:lang w:val="ro-RO"/>
        </w:rPr>
        <w:t xml:space="preserve">În </w:t>
      </w:r>
      <w:r w:rsidR="002B679C" w:rsidRPr="00857CDA">
        <w:rPr>
          <w:lang w:val="ro-RO"/>
        </w:rPr>
        <w:t>tabel</w:t>
      </w:r>
      <w:r w:rsidRPr="00857CDA">
        <w:rPr>
          <w:lang w:val="ro-RO"/>
        </w:rPr>
        <w:t>, p</w:t>
      </w:r>
      <w:r w:rsidR="002B679C" w:rsidRPr="00857CDA">
        <w:rPr>
          <w:lang w:val="ro-RO"/>
        </w:rPr>
        <w:t>entru</w:t>
      </w:r>
      <w:r w:rsidRPr="00857CDA">
        <w:rPr>
          <w:lang w:val="ro-RO"/>
        </w:rPr>
        <w:t xml:space="preserve"> cat</w:t>
      </w:r>
      <w:r w:rsidR="002B679C" w:rsidRPr="00857CDA">
        <w:rPr>
          <w:lang w:val="ro-RO"/>
        </w:rPr>
        <w:t>e</w:t>
      </w:r>
      <w:r w:rsidRPr="00857CDA">
        <w:rPr>
          <w:lang w:val="ro-RO"/>
        </w:rPr>
        <w:t>gori</w:t>
      </w:r>
      <w:r w:rsidR="002B679C" w:rsidRPr="00857CDA">
        <w:rPr>
          <w:lang w:val="ro-RO"/>
        </w:rPr>
        <w:t>a</w:t>
      </w:r>
      <w:r w:rsidRPr="00857CDA">
        <w:rPr>
          <w:lang w:val="ro-RO"/>
        </w:rPr>
        <w:t xml:space="preserve"> 4, </w:t>
      </w:r>
      <w:r w:rsidR="002B679C" w:rsidRPr="00857CDA">
        <w:rPr>
          <w:lang w:val="ro-RO"/>
        </w:rPr>
        <w:t>se modifică</w:t>
      </w:r>
      <w:r w:rsidRPr="00857CDA">
        <w:rPr>
          <w:lang w:val="ro-RO"/>
        </w:rPr>
        <w:t xml:space="preserve"> </w:t>
      </w:r>
      <w:r w:rsidR="002B679C" w:rsidRPr="00857CDA">
        <w:rPr>
          <w:lang w:val="ro-RO"/>
        </w:rPr>
        <w:t>conținutul coloanei</w:t>
      </w:r>
      <w:r w:rsidRPr="00857CDA">
        <w:rPr>
          <w:lang w:val="ro-RO"/>
        </w:rPr>
        <w:t xml:space="preserve"> (2)</w:t>
      </w:r>
      <w:r w:rsidR="002B679C" w:rsidRPr="00857CDA">
        <w:rPr>
          <w:lang w:val="ro-RO"/>
        </w:rPr>
        <w:t>, după cum urmează</w:t>
      </w:r>
      <w:r w:rsidRPr="00857CDA">
        <w:rPr>
          <w:lang w:val="ro-RO"/>
        </w:rPr>
        <w:t>:</w:t>
      </w:r>
    </w:p>
    <w:p w:rsidR="009D320C" w:rsidRPr="00857CDA" w:rsidRDefault="001A50A8" w:rsidP="009D320C">
      <w:pPr>
        <w:pStyle w:val="SingleTxtG"/>
        <w:spacing w:after="0"/>
        <w:rPr>
          <w:lang w:val="ro-RO"/>
        </w:rPr>
      </w:pPr>
      <w:r w:rsidRPr="00857CDA">
        <w:rPr>
          <w:lang w:val="ro-RO"/>
        </w:rPr>
        <w:t>„</w:t>
      </w:r>
      <w:r w:rsidR="002B679C" w:rsidRPr="00857CDA">
        <w:rPr>
          <w:lang w:val="ro-RO"/>
        </w:rPr>
        <w:t>Clasa</w:t>
      </w:r>
      <w:r w:rsidR="009D320C" w:rsidRPr="00857CDA">
        <w:rPr>
          <w:lang w:val="ro-RO"/>
        </w:rPr>
        <w:t xml:space="preserve"> 1: </w:t>
      </w:r>
      <w:r w:rsidR="009D320C" w:rsidRPr="00857CDA">
        <w:rPr>
          <w:lang w:val="ro-RO"/>
        </w:rPr>
        <w:tab/>
        <w:t>1.4S</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2:</w:t>
      </w:r>
      <w:r w:rsidR="009D320C" w:rsidRPr="00857CDA">
        <w:rPr>
          <w:lang w:val="ro-RO"/>
        </w:rPr>
        <w:tab/>
      </w:r>
      <w:r w:rsidRPr="00857CDA">
        <w:rPr>
          <w:lang w:val="ro-RO"/>
        </w:rPr>
        <w:t>Nr. ONU</w:t>
      </w:r>
      <w:r w:rsidR="009D320C" w:rsidRPr="00857CDA">
        <w:rPr>
          <w:lang w:val="ro-RO"/>
        </w:rPr>
        <w:t xml:space="preserve"> 3537 </w:t>
      </w:r>
      <w:r w:rsidR="00991390" w:rsidRPr="00857CDA">
        <w:rPr>
          <w:lang w:val="ro-RO"/>
        </w:rPr>
        <w:t>până la</w:t>
      </w:r>
      <w:r w:rsidR="009D320C" w:rsidRPr="00857CDA">
        <w:rPr>
          <w:lang w:val="ro-RO"/>
        </w:rPr>
        <w:t xml:space="preserve"> 3539</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3:</w:t>
      </w:r>
      <w:r w:rsidR="009D320C" w:rsidRPr="00857CDA">
        <w:rPr>
          <w:lang w:val="ro-RO"/>
        </w:rPr>
        <w:tab/>
        <w:t>N</w:t>
      </w:r>
      <w:r w:rsidRPr="00857CDA">
        <w:rPr>
          <w:lang w:val="ro-RO"/>
        </w:rPr>
        <w:t>r.</w:t>
      </w:r>
      <w:r w:rsidR="009D320C" w:rsidRPr="00857CDA">
        <w:rPr>
          <w:lang w:val="ro-RO"/>
        </w:rPr>
        <w:t xml:space="preserve"> ONU 3540</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4.1: </w:t>
      </w:r>
      <w:r w:rsidR="009D320C" w:rsidRPr="00857CDA">
        <w:rPr>
          <w:lang w:val="ro-RO"/>
        </w:rPr>
        <w:tab/>
      </w:r>
      <w:r w:rsidRPr="00857CDA">
        <w:rPr>
          <w:lang w:val="ro-RO"/>
        </w:rPr>
        <w:t>Nr. ONU</w:t>
      </w:r>
      <w:r w:rsidR="009D320C" w:rsidRPr="00857CDA">
        <w:rPr>
          <w:lang w:val="ro-RO"/>
        </w:rPr>
        <w:t xml:space="preserve"> 1331, 1345, 1944, 1945, 2254, 2623</w:t>
      </w:r>
      <w:r w:rsidR="004C27AD" w:rsidRPr="00857CDA">
        <w:rPr>
          <w:lang w:val="ro-RO"/>
        </w:rPr>
        <w:t xml:space="preserve"> și </w:t>
      </w:r>
      <w:r w:rsidR="009D320C" w:rsidRPr="00857CDA">
        <w:rPr>
          <w:lang w:val="ro-RO"/>
        </w:rPr>
        <w:t>3541</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4.2: </w:t>
      </w:r>
      <w:r w:rsidR="009D320C" w:rsidRPr="00857CDA">
        <w:rPr>
          <w:lang w:val="ro-RO"/>
        </w:rPr>
        <w:tab/>
      </w:r>
      <w:r w:rsidRPr="00857CDA">
        <w:rPr>
          <w:lang w:val="ro-RO"/>
        </w:rPr>
        <w:t>Nr. ONU</w:t>
      </w:r>
      <w:r w:rsidR="009D320C" w:rsidRPr="00857CDA">
        <w:rPr>
          <w:lang w:val="ro-RO"/>
        </w:rPr>
        <w:t xml:space="preserve"> 1361</w:t>
      </w:r>
      <w:r w:rsidR="004C27AD" w:rsidRPr="00857CDA">
        <w:rPr>
          <w:lang w:val="ro-RO"/>
        </w:rPr>
        <w:t xml:space="preserve"> și </w:t>
      </w:r>
      <w:r w:rsidR="009D320C" w:rsidRPr="00857CDA">
        <w:rPr>
          <w:lang w:val="ro-RO"/>
        </w:rPr>
        <w:t xml:space="preserve">1362 </w:t>
      </w:r>
      <w:r w:rsidR="00217674" w:rsidRPr="00857CDA">
        <w:rPr>
          <w:lang w:val="ro-RO"/>
        </w:rPr>
        <w:t>grupa de ambalare</w:t>
      </w:r>
      <w:r w:rsidR="009D320C" w:rsidRPr="00857CDA">
        <w:rPr>
          <w:lang w:val="ro-RO"/>
        </w:rPr>
        <w:t xml:space="preserve"> III</w:t>
      </w:r>
      <w:r w:rsidR="004C27AD" w:rsidRPr="00857CDA">
        <w:rPr>
          <w:lang w:val="ro-RO"/>
        </w:rPr>
        <w:t xml:space="preserve"> și </w:t>
      </w:r>
      <w:r w:rsidRPr="00857CDA">
        <w:rPr>
          <w:lang w:val="ro-RO"/>
        </w:rPr>
        <w:t>Nr. ONU</w:t>
      </w:r>
      <w:r w:rsidR="009D320C" w:rsidRPr="00857CDA">
        <w:rPr>
          <w:lang w:val="ro-RO"/>
        </w:rPr>
        <w:t xml:space="preserve"> 3542</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4.3: </w:t>
      </w:r>
      <w:r w:rsidR="009D320C" w:rsidRPr="00857CDA">
        <w:rPr>
          <w:lang w:val="ro-RO"/>
        </w:rPr>
        <w:tab/>
        <w:t>N</w:t>
      </w:r>
      <w:r w:rsidRPr="00857CDA">
        <w:rPr>
          <w:lang w:val="ro-RO"/>
        </w:rPr>
        <w:t>r.</w:t>
      </w:r>
      <w:r w:rsidR="009D320C" w:rsidRPr="00857CDA">
        <w:rPr>
          <w:lang w:val="ro-RO"/>
        </w:rPr>
        <w:t xml:space="preserve"> ONU 3543</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5.1: </w:t>
      </w:r>
      <w:r w:rsidR="009D320C" w:rsidRPr="00857CDA">
        <w:rPr>
          <w:lang w:val="ro-RO"/>
        </w:rPr>
        <w:tab/>
        <w:t>N</w:t>
      </w:r>
      <w:r w:rsidRPr="00857CDA">
        <w:rPr>
          <w:lang w:val="ro-RO"/>
        </w:rPr>
        <w:t>r.</w:t>
      </w:r>
      <w:r w:rsidR="009D320C" w:rsidRPr="00857CDA">
        <w:rPr>
          <w:lang w:val="ro-RO"/>
        </w:rPr>
        <w:t xml:space="preserve"> ONU 3544</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5.2: </w:t>
      </w:r>
      <w:r w:rsidR="009D320C" w:rsidRPr="00857CDA">
        <w:rPr>
          <w:lang w:val="ro-RO"/>
        </w:rPr>
        <w:tab/>
        <w:t>N</w:t>
      </w:r>
      <w:r w:rsidRPr="00857CDA">
        <w:rPr>
          <w:lang w:val="ro-RO"/>
        </w:rPr>
        <w:t>r.</w:t>
      </w:r>
      <w:r w:rsidR="009D320C" w:rsidRPr="00857CDA">
        <w:rPr>
          <w:lang w:val="ro-RO"/>
        </w:rPr>
        <w:t xml:space="preserve"> ONU 3545</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6.1: </w:t>
      </w:r>
      <w:r w:rsidR="009D320C" w:rsidRPr="00857CDA">
        <w:rPr>
          <w:lang w:val="ro-RO"/>
        </w:rPr>
        <w:tab/>
      </w:r>
      <w:r w:rsidRPr="00857CDA">
        <w:rPr>
          <w:lang w:val="ro-RO"/>
        </w:rPr>
        <w:t>Nr. ONU</w:t>
      </w:r>
      <w:r w:rsidR="009D320C" w:rsidRPr="00857CDA">
        <w:rPr>
          <w:lang w:val="ro-RO"/>
        </w:rPr>
        <w:t xml:space="preserve"> 3546</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7: </w:t>
      </w:r>
      <w:r w:rsidR="009D320C" w:rsidRPr="00857CDA">
        <w:rPr>
          <w:lang w:val="ro-RO"/>
        </w:rPr>
        <w:tab/>
      </w:r>
      <w:r w:rsidRPr="00857CDA">
        <w:rPr>
          <w:lang w:val="ro-RO"/>
        </w:rPr>
        <w:t>Nr. ONU</w:t>
      </w:r>
      <w:r w:rsidR="009D320C" w:rsidRPr="00857CDA">
        <w:rPr>
          <w:lang w:val="ro-RO"/>
        </w:rPr>
        <w:t xml:space="preserve"> 2908 </w:t>
      </w:r>
      <w:r w:rsidR="00991390" w:rsidRPr="00857CDA">
        <w:rPr>
          <w:lang w:val="ro-RO"/>
        </w:rPr>
        <w:t xml:space="preserve">până </w:t>
      </w:r>
      <w:r w:rsidRPr="00857CDA">
        <w:rPr>
          <w:lang w:val="ro-RO"/>
        </w:rPr>
        <w:t>la</w:t>
      </w:r>
      <w:r w:rsidR="009D320C" w:rsidRPr="00857CDA">
        <w:rPr>
          <w:lang w:val="ro-RO"/>
        </w:rPr>
        <w:t xml:space="preserve"> 2911</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8: </w:t>
      </w:r>
      <w:r w:rsidR="009D320C" w:rsidRPr="00857CDA">
        <w:rPr>
          <w:lang w:val="ro-RO"/>
        </w:rPr>
        <w:tab/>
      </w:r>
      <w:r w:rsidRPr="00857CDA">
        <w:rPr>
          <w:lang w:val="ro-RO"/>
        </w:rPr>
        <w:t>Nr. ONU</w:t>
      </w:r>
      <w:r w:rsidR="009D320C" w:rsidRPr="00857CDA">
        <w:rPr>
          <w:lang w:val="ro-RO"/>
        </w:rPr>
        <w:t xml:space="preserve"> 3547</w:t>
      </w:r>
    </w:p>
    <w:p w:rsidR="009D320C" w:rsidRPr="00857CDA" w:rsidRDefault="002B679C" w:rsidP="009D320C">
      <w:pPr>
        <w:pStyle w:val="SingleTxtG"/>
        <w:spacing w:after="0"/>
        <w:rPr>
          <w:lang w:val="ro-RO"/>
        </w:rPr>
      </w:pPr>
      <w:r w:rsidRPr="00857CDA">
        <w:rPr>
          <w:lang w:val="ro-RO"/>
        </w:rPr>
        <w:t>Clasa</w:t>
      </w:r>
      <w:r w:rsidR="009D320C" w:rsidRPr="00857CDA">
        <w:rPr>
          <w:lang w:val="ro-RO"/>
        </w:rPr>
        <w:t xml:space="preserve"> 9: </w:t>
      </w:r>
      <w:r w:rsidR="009D320C" w:rsidRPr="00857CDA">
        <w:rPr>
          <w:lang w:val="ro-RO"/>
        </w:rPr>
        <w:tab/>
      </w:r>
      <w:r w:rsidRPr="00857CDA">
        <w:rPr>
          <w:lang w:val="ro-RO"/>
        </w:rPr>
        <w:t>Nr. ONU</w:t>
      </w:r>
      <w:r w:rsidR="009D320C" w:rsidRPr="00857CDA">
        <w:rPr>
          <w:lang w:val="ro-RO"/>
        </w:rPr>
        <w:t xml:space="preserve"> 3268, 3499, 3508, 3509</w:t>
      </w:r>
      <w:r w:rsidR="004C27AD" w:rsidRPr="00857CDA">
        <w:rPr>
          <w:lang w:val="ro-RO"/>
        </w:rPr>
        <w:t xml:space="preserve"> și </w:t>
      </w:r>
      <w:r w:rsidR="009D320C" w:rsidRPr="00857CDA">
        <w:rPr>
          <w:lang w:val="ro-RO"/>
        </w:rPr>
        <w:t>3548</w:t>
      </w:r>
    </w:p>
    <w:p w:rsidR="009D320C" w:rsidRPr="00857CDA" w:rsidRDefault="00991390" w:rsidP="009D320C">
      <w:pPr>
        <w:pStyle w:val="SingleTxtG"/>
        <w:rPr>
          <w:lang w:val="ro-RO"/>
        </w:rPr>
      </w:pPr>
      <w:r w:rsidRPr="00857CDA">
        <w:rPr>
          <w:lang w:val="ro-RO"/>
        </w:rPr>
        <w:t>precum și ambalaje goale, necurăţate, care au conţinut substanţe periculoase, cu excepţia celor clasificate în categoria de transport 0</w:t>
      </w:r>
      <w:r w:rsidR="00660131" w:rsidRPr="00857CDA">
        <w:rPr>
          <w:lang w:val="ro-RO"/>
        </w:rPr>
        <w:t>”</w:t>
      </w:r>
      <w:r w:rsidR="009D320C" w:rsidRPr="00857CDA">
        <w:rPr>
          <w:lang w:val="ro-RO"/>
        </w:rPr>
        <w:t>.</w:t>
      </w:r>
    </w:p>
    <w:p w:rsidR="00BE507D" w:rsidRPr="00857CDA" w:rsidRDefault="00BE507D" w:rsidP="00BE507D">
      <w:pPr>
        <w:pStyle w:val="SingleTxtG"/>
        <w:rPr>
          <w:lang w:val="ro-RO"/>
        </w:rPr>
      </w:pPr>
      <w:r w:rsidRPr="00857CDA">
        <w:rPr>
          <w:lang w:val="ro-RO"/>
        </w:rPr>
        <w:t>1.1.3.6</w:t>
      </w:r>
      <w:r w:rsidR="000026A2" w:rsidRPr="00857CDA">
        <w:rPr>
          <w:lang w:val="ro-RO"/>
        </w:rPr>
        <w:t>.3</w:t>
      </w:r>
      <w:r w:rsidRPr="00857CDA">
        <w:rPr>
          <w:lang w:val="ro-RO"/>
        </w:rPr>
        <w:tab/>
      </w:r>
      <w:r w:rsidR="00902C44" w:rsidRPr="00857CDA">
        <w:rPr>
          <w:lang w:val="ro-RO"/>
        </w:rPr>
        <w:t xml:space="preserve">În </w:t>
      </w:r>
      <w:r w:rsidR="00991390" w:rsidRPr="00857CDA">
        <w:rPr>
          <w:lang w:val="ro-RO"/>
        </w:rPr>
        <w:t>textul de după tabel</w:t>
      </w:r>
      <w:r w:rsidRPr="00857CDA">
        <w:rPr>
          <w:lang w:val="ro-RO"/>
        </w:rPr>
        <w:t xml:space="preserve">, </w:t>
      </w:r>
      <w:r w:rsidR="00991390" w:rsidRPr="00857CDA">
        <w:rPr>
          <w:lang w:val="ro-RO"/>
        </w:rPr>
        <w:t>la primul alineat</w:t>
      </w:r>
      <w:r w:rsidRPr="00857CDA">
        <w:rPr>
          <w:lang w:val="ro-RO"/>
        </w:rPr>
        <w:t xml:space="preserve">, </w:t>
      </w:r>
      <w:r w:rsidR="00902C44" w:rsidRPr="00857CDA">
        <w:rPr>
          <w:lang w:val="ro-RO"/>
        </w:rPr>
        <w:t>Se modifică</w:t>
      </w:r>
      <w:r w:rsidRPr="00857CDA">
        <w:rPr>
          <w:lang w:val="ro-RO"/>
        </w:rPr>
        <w:t xml:space="preserve"> </w:t>
      </w:r>
      <w:r w:rsidR="001A50A8" w:rsidRPr="00857CDA">
        <w:rPr>
          <w:lang w:val="ro-RO"/>
        </w:rPr>
        <w:t>„</w:t>
      </w:r>
      <w:r w:rsidRPr="00857CDA">
        <w:rPr>
          <w:lang w:val="ro-RO"/>
        </w:rPr>
        <w:t>mas</w:t>
      </w:r>
      <w:r w:rsidR="00991390" w:rsidRPr="00857CDA">
        <w:rPr>
          <w:lang w:val="ro-RO"/>
        </w:rPr>
        <w:t>a</w:t>
      </w:r>
      <w:r w:rsidRPr="00857CDA">
        <w:rPr>
          <w:lang w:val="ro-RO"/>
        </w:rPr>
        <w:t xml:space="preserve"> brut</w:t>
      </w:r>
      <w:r w:rsidR="00991390" w:rsidRPr="00857CDA">
        <w:rPr>
          <w:lang w:val="ro-RO"/>
        </w:rPr>
        <w:t>ă</w:t>
      </w:r>
      <w:r w:rsidRPr="00857CDA">
        <w:rPr>
          <w:lang w:val="ro-RO"/>
        </w:rPr>
        <w:t xml:space="preserve"> </w:t>
      </w:r>
      <w:r w:rsidR="00991390" w:rsidRPr="00857CDA">
        <w:rPr>
          <w:lang w:val="ro-RO"/>
        </w:rPr>
        <w:t>în</w:t>
      </w:r>
      <w:r w:rsidRPr="00857CDA">
        <w:rPr>
          <w:lang w:val="ro-RO"/>
        </w:rPr>
        <w:t xml:space="preserve"> kilograme</w:t>
      </w:r>
      <w:r w:rsidR="00660131" w:rsidRPr="00857CDA">
        <w:rPr>
          <w:lang w:val="ro-RO"/>
        </w:rPr>
        <w:t>”</w:t>
      </w:r>
      <w:r w:rsidR="00902C44" w:rsidRPr="00857CDA">
        <w:rPr>
          <w:lang w:val="ro-RO"/>
        </w:rPr>
        <w:t xml:space="preserve"> cu </w:t>
      </w:r>
      <w:r w:rsidR="001A50A8" w:rsidRPr="00857CDA">
        <w:rPr>
          <w:lang w:val="ro-RO"/>
        </w:rPr>
        <w:t>„</w:t>
      </w:r>
      <w:r w:rsidRPr="00857CDA">
        <w:rPr>
          <w:lang w:val="ro-RO"/>
        </w:rPr>
        <w:t>mas</w:t>
      </w:r>
      <w:r w:rsidR="00991390" w:rsidRPr="00857CDA">
        <w:rPr>
          <w:lang w:val="ro-RO"/>
        </w:rPr>
        <w:t>a</w:t>
      </w:r>
      <w:r w:rsidRPr="00857CDA">
        <w:rPr>
          <w:lang w:val="ro-RO"/>
        </w:rPr>
        <w:t xml:space="preserve"> total</w:t>
      </w:r>
      <w:r w:rsidR="00991390" w:rsidRPr="00857CDA">
        <w:rPr>
          <w:lang w:val="ro-RO"/>
        </w:rPr>
        <w:t>ă în</w:t>
      </w:r>
      <w:r w:rsidRPr="00857CDA">
        <w:rPr>
          <w:lang w:val="ro-RO"/>
        </w:rPr>
        <w:t xml:space="preserve"> kilo</w:t>
      </w:r>
      <w:r w:rsidR="00991390" w:rsidRPr="00857CDA">
        <w:rPr>
          <w:lang w:val="ro-RO"/>
        </w:rPr>
        <w:t>gram</w:t>
      </w:r>
      <w:r w:rsidRPr="00857CDA">
        <w:rPr>
          <w:lang w:val="ro-RO"/>
        </w:rPr>
        <w:t>e de ob</w:t>
      </w:r>
      <w:r w:rsidR="00991390" w:rsidRPr="00857CDA">
        <w:rPr>
          <w:lang w:val="ro-RO"/>
        </w:rPr>
        <w:t>i</w:t>
      </w:r>
      <w:r w:rsidRPr="00857CDA">
        <w:rPr>
          <w:lang w:val="ro-RO"/>
        </w:rPr>
        <w:t>e</w:t>
      </w:r>
      <w:r w:rsidR="00991390" w:rsidRPr="00857CDA">
        <w:rPr>
          <w:lang w:val="ro-RO"/>
        </w:rPr>
        <w:t>c</w:t>
      </w:r>
      <w:r w:rsidRPr="00857CDA">
        <w:rPr>
          <w:lang w:val="ro-RO"/>
        </w:rPr>
        <w:t>t</w:t>
      </w:r>
      <w:r w:rsidR="00991390" w:rsidRPr="00857CDA">
        <w:rPr>
          <w:lang w:val="ro-RO"/>
        </w:rPr>
        <w:t xml:space="preserve"> fără ambalajul acestora</w:t>
      </w:r>
      <w:r w:rsidR="00660131" w:rsidRPr="00857CDA">
        <w:rPr>
          <w:lang w:val="ro-RO"/>
        </w:rPr>
        <w:t>”</w:t>
      </w:r>
      <w:r w:rsidRPr="00857CDA">
        <w:rPr>
          <w:lang w:val="ro-RO"/>
        </w:rPr>
        <w:t>.</w:t>
      </w:r>
    </w:p>
    <w:p w:rsidR="00970717" w:rsidRPr="00857CDA" w:rsidRDefault="00970717" w:rsidP="00970717">
      <w:pPr>
        <w:pStyle w:val="SingleTxtG"/>
        <w:rPr>
          <w:lang w:val="ro-RO"/>
        </w:rPr>
      </w:pPr>
      <w:r w:rsidRPr="00857CDA">
        <w:rPr>
          <w:lang w:val="ro-RO"/>
        </w:rPr>
        <w:t>1.1.3.6.4</w:t>
      </w:r>
      <w:r w:rsidRPr="00857CDA">
        <w:rPr>
          <w:lang w:val="ro-RO"/>
        </w:rPr>
        <w:tab/>
      </w:r>
      <w:r w:rsidR="00991390" w:rsidRPr="00857CDA">
        <w:rPr>
          <w:lang w:val="ro-RO"/>
        </w:rPr>
        <w:t>La sfârșit, după alineate,</w:t>
      </w:r>
      <w:r w:rsidRPr="00857CDA">
        <w:rPr>
          <w:lang w:val="ro-RO"/>
        </w:rPr>
        <w:t xml:space="preserve"> </w:t>
      </w:r>
      <w:r w:rsidR="00991390" w:rsidRPr="00857CDA">
        <w:rPr>
          <w:lang w:val="ro-RO"/>
        </w:rPr>
        <w:t>după</w:t>
      </w:r>
      <w:r w:rsidRPr="00857CDA">
        <w:rPr>
          <w:lang w:val="ro-RO"/>
        </w:rPr>
        <w:t xml:space="preserve"> </w:t>
      </w:r>
      <w:r w:rsidR="001A50A8" w:rsidRPr="00857CDA">
        <w:rPr>
          <w:lang w:val="ro-RO"/>
        </w:rPr>
        <w:t>„</w:t>
      </w:r>
      <w:r w:rsidR="00991390" w:rsidRPr="00857CDA">
        <w:rPr>
          <w:lang w:val="ro-RO"/>
        </w:rPr>
        <w:t>nu trebuie să depășească</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1A50A8" w:rsidRPr="00857CDA">
        <w:rPr>
          <w:lang w:val="ro-RO"/>
        </w:rPr>
        <w:t>„</w:t>
      </w:r>
      <w:r w:rsidR="00991390" w:rsidRPr="00857CDA">
        <w:rPr>
          <w:lang w:val="ro-RO"/>
        </w:rPr>
        <w:t>o valoare calculată de</w:t>
      </w:r>
      <w:r w:rsidR="00660131" w:rsidRPr="00857CDA">
        <w:rPr>
          <w:lang w:val="ro-RO"/>
        </w:rPr>
        <w:t>”</w:t>
      </w:r>
      <w:r w:rsidRPr="00857CDA">
        <w:rPr>
          <w:lang w:val="ro-RO"/>
        </w:rPr>
        <w:t xml:space="preserve">. </w:t>
      </w:r>
    </w:p>
    <w:p w:rsidR="00A95411" w:rsidRPr="00857CDA" w:rsidRDefault="00A95411" w:rsidP="009D320C">
      <w:pPr>
        <w:pStyle w:val="SingleTxtG"/>
        <w:rPr>
          <w:i/>
          <w:lang w:val="ro-RO"/>
        </w:rPr>
      </w:pPr>
      <w:r w:rsidRPr="00857CDA">
        <w:rPr>
          <w:lang w:val="ro-RO"/>
        </w:rPr>
        <w:t>1.1.4.2.1</w:t>
      </w:r>
      <w:r w:rsidRPr="00857CDA">
        <w:rPr>
          <w:lang w:val="ro-RO"/>
        </w:rPr>
        <w:tab/>
      </w:r>
      <w:r w:rsidR="00902C44" w:rsidRPr="00857CDA">
        <w:rPr>
          <w:lang w:val="ro-RO"/>
        </w:rPr>
        <w:t xml:space="preserve">În </w:t>
      </w:r>
      <w:r w:rsidRPr="00857CDA">
        <w:rPr>
          <w:lang w:val="ro-RO"/>
        </w:rPr>
        <w:t>pr</w:t>
      </w:r>
      <w:r w:rsidR="00421874" w:rsidRPr="00857CDA">
        <w:rPr>
          <w:lang w:val="ro-RO"/>
        </w:rPr>
        <w:t>i</w:t>
      </w:r>
      <w:r w:rsidRPr="00857CDA">
        <w:rPr>
          <w:lang w:val="ro-RO"/>
        </w:rPr>
        <w:t>m</w:t>
      </w:r>
      <w:r w:rsidR="00991390" w:rsidRPr="00857CDA">
        <w:rPr>
          <w:lang w:val="ro-RO"/>
        </w:rPr>
        <w:t>a</w:t>
      </w:r>
      <w:r w:rsidRPr="00857CDA">
        <w:rPr>
          <w:lang w:val="ro-RO"/>
        </w:rPr>
        <w:t xml:space="preserve"> </w:t>
      </w:r>
      <w:r w:rsidR="00991390" w:rsidRPr="00857CDA">
        <w:rPr>
          <w:lang w:val="ro-RO"/>
        </w:rPr>
        <w:t>f</w:t>
      </w:r>
      <w:r w:rsidRPr="00857CDA">
        <w:rPr>
          <w:lang w:val="ro-RO"/>
        </w:rPr>
        <w:t>ra</w:t>
      </w:r>
      <w:r w:rsidR="00991390" w:rsidRPr="00857CDA">
        <w:rPr>
          <w:lang w:val="ro-RO"/>
        </w:rPr>
        <w:t>ză</w:t>
      </w:r>
      <w:r w:rsidR="004C27AD" w:rsidRPr="00857CDA">
        <w:rPr>
          <w:lang w:val="ro-RO"/>
        </w:rPr>
        <w:t xml:space="preserve"> și </w:t>
      </w:r>
      <w:r w:rsidR="00991390" w:rsidRPr="00857CDA">
        <w:rPr>
          <w:lang w:val="ro-RO"/>
        </w:rPr>
        <w:t>la alineatul</w:t>
      </w:r>
      <w:r w:rsidRPr="00857CDA">
        <w:rPr>
          <w:lang w:val="ro-RO"/>
        </w:rPr>
        <w:t xml:space="preserve"> </w:t>
      </w:r>
      <w:r w:rsidR="00991390" w:rsidRPr="00857CDA">
        <w:rPr>
          <w:lang w:val="ro-RO"/>
        </w:rPr>
        <w:t>(</w:t>
      </w:r>
      <w:r w:rsidRPr="00857CDA">
        <w:rPr>
          <w:lang w:val="ro-RO"/>
        </w:rPr>
        <w:t xml:space="preserve">c), </w:t>
      </w:r>
      <w:r w:rsidR="00991390" w:rsidRPr="00857CDA">
        <w:rPr>
          <w:lang w:val="ro-RO"/>
        </w:rPr>
        <w:t xml:space="preserve">după </w:t>
      </w:r>
      <w:r w:rsidR="001A50A8" w:rsidRPr="00857CDA">
        <w:rPr>
          <w:lang w:val="ro-RO"/>
        </w:rPr>
        <w:t>„</w:t>
      </w:r>
      <w:r w:rsidR="00991390" w:rsidRPr="00857CDA">
        <w:rPr>
          <w:lang w:val="ro-RO"/>
        </w:rPr>
        <w:t>containerele</w:t>
      </w:r>
      <w:r w:rsidRPr="00857CDA">
        <w:rPr>
          <w:lang w:val="ro-RO"/>
        </w:rPr>
        <w:t>,</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1A50A8" w:rsidRPr="00857CDA">
        <w:rPr>
          <w:lang w:val="ro-RO"/>
        </w:rPr>
        <w:t>„</w:t>
      </w:r>
      <w:r w:rsidR="00991390" w:rsidRPr="00857CDA">
        <w:rPr>
          <w:lang w:val="ro-RO"/>
        </w:rPr>
        <w:t xml:space="preserve">containerele pentru </w:t>
      </w:r>
      <w:r w:rsidRPr="00857CDA">
        <w:rPr>
          <w:lang w:val="ro-RO"/>
        </w:rPr>
        <w:t>vrac,</w:t>
      </w:r>
      <w:r w:rsidR="00660131" w:rsidRPr="00857CDA">
        <w:rPr>
          <w:lang w:val="ro-RO"/>
        </w:rPr>
        <w:t>”</w:t>
      </w:r>
      <w:r w:rsidRPr="00857CDA">
        <w:rPr>
          <w:lang w:val="ro-RO"/>
        </w:rPr>
        <w:t>.</w:t>
      </w:r>
    </w:p>
    <w:p w:rsidR="00BE507D" w:rsidRPr="00857CDA" w:rsidRDefault="00BE507D" w:rsidP="00362B4E">
      <w:pPr>
        <w:pStyle w:val="SingleTxtG"/>
        <w:tabs>
          <w:tab w:val="left" w:pos="2268"/>
        </w:tabs>
        <w:rPr>
          <w:lang w:val="ro-RO"/>
        </w:rPr>
      </w:pPr>
      <w:r w:rsidRPr="00857CDA">
        <w:rPr>
          <w:lang w:val="ro-RO"/>
        </w:rPr>
        <w:t>1.1.4.3</w:t>
      </w:r>
      <w:r w:rsidRPr="00857CDA">
        <w:rPr>
          <w:lang w:val="ro-RO"/>
        </w:rPr>
        <w:tab/>
      </w:r>
      <w:r w:rsidR="00902C44" w:rsidRPr="00857CDA">
        <w:rPr>
          <w:lang w:val="ro-RO"/>
        </w:rPr>
        <w:t xml:space="preserve">În </w:t>
      </w:r>
      <w:r w:rsidRPr="00857CDA">
        <w:rPr>
          <w:lang w:val="ro-RO"/>
        </w:rPr>
        <w:t>not</w:t>
      </w:r>
      <w:r w:rsidR="00E02ACF" w:rsidRPr="00857CDA">
        <w:rPr>
          <w:lang w:val="ro-RO"/>
        </w:rPr>
        <w:t>a</w:t>
      </w:r>
      <w:r w:rsidRPr="00857CDA">
        <w:rPr>
          <w:lang w:val="ro-RO"/>
        </w:rPr>
        <w:t xml:space="preserve"> de </w:t>
      </w:r>
      <w:r w:rsidR="00E02ACF" w:rsidRPr="00857CDA">
        <w:rPr>
          <w:lang w:val="ro-RO"/>
        </w:rPr>
        <w:t>subsol</w:t>
      </w:r>
      <w:r w:rsidR="00F16A49" w:rsidRPr="00857CDA">
        <w:rPr>
          <w:lang w:val="ro-RO"/>
        </w:rPr>
        <w:t xml:space="preserve"> 1</w:t>
      </w:r>
      <w:r w:rsidRPr="00857CDA">
        <w:rPr>
          <w:lang w:val="ro-RO"/>
        </w:rPr>
        <w:t xml:space="preserve">, </w:t>
      </w:r>
      <w:r w:rsidR="00902C44" w:rsidRPr="00857CDA">
        <w:rPr>
          <w:lang w:val="ro-RO"/>
        </w:rPr>
        <w:t>Se modifică</w:t>
      </w:r>
      <w:r w:rsidRPr="00857CDA">
        <w:rPr>
          <w:lang w:val="ro-RO"/>
        </w:rPr>
        <w:t xml:space="preserve"> </w:t>
      </w:r>
      <w:r w:rsidR="001A50A8" w:rsidRPr="00857CDA">
        <w:rPr>
          <w:lang w:val="ro-RO"/>
        </w:rPr>
        <w:t>„</w:t>
      </w:r>
      <w:r w:rsidRPr="00857CDA">
        <w:rPr>
          <w:lang w:val="ro-RO"/>
        </w:rPr>
        <w:t>DSC/Circ.12 (</w:t>
      </w:r>
      <w:r w:rsidR="00E02ACF" w:rsidRPr="00857CDA">
        <w:rPr>
          <w:lang w:val="ro-RO"/>
        </w:rPr>
        <w:t xml:space="preserve">și </w:t>
      </w:r>
      <w:r w:rsidRPr="00857CDA">
        <w:rPr>
          <w:lang w:val="ro-RO"/>
        </w:rPr>
        <w:t>rectific</w:t>
      </w:r>
      <w:r w:rsidR="00E02ACF" w:rsidRPr="00857CDA">
        <w:rPr>
          <w:lang w:val="ro-RO"/>
        </w:rPr>
        <w:t>ările</w:t>
      </w:r>
      <w:r w:rsidRPr="00857CDA">
        <w:rPr>
          <w:lang w:val="ro-RO"/>
        </w:rPr>
        <w:t>)</w:t>
      </w:r>
      <w:r w:rsidR="00660131" w:rsidRPr="00857CDA">
        <w:rPr>
          <w:lang w:val="ro-RO"/>
        </w:rPr>
        <w:t>”</w:t>
      </w:r>
      <w:r w:rsidR="00902C44" w:rsidRPr="00857CDA">
        <w:rPr>
          <w:lang w:val="ro-RO"/>
        </w:rPr>
        <w:t xml:space="preserve"> cu </w:t>
      </w:r>
      <w:r w:rsidR="001A50A8" w:rsidRPr="00857CDA">
        <w:rPr>
          <w:lang w:val="ro-RO"/>
        </w:rPr>
        <w:t>„</w:t>
      </w:r>
      <w:r w:rsidRPr="00857CDA">
        <w:rPr>
          <w:lang w:val="ro-RO"/>
        </w:rPr>
        <w:t>CCC.1/Circ.3</w:t>
      </w:r>
      <w:r w:rsidR="00660131" w:rsidRPr="00857CDA">
        <w:rPr>
          <w:lang w:val="ro-RO"/>
        </w:rPr>
        <w:t>”</w:t>
      </w:r>
      <w:r w:rsidR="004655F6" w:rsidRPr="00857CDA">
        <w:rPr>
          <w:lang w:val="ro-RO"/>
        </w:rPr>
        <w:t>.</w:t>
      </w:r>
    </w:p>
    <w:p w:rsidR="006646BC" w:rsidRPr="00857CDA" w:rsidRDefault="00196C06" w:rsidP="006646BC">
      <w:pPr>
        <w:pStyle w:val="H1G"/>
        <w:rPr>
          <w:lang w:val="ro-RO"/>
        </w:rPr>
      </w:pPr>
      <w:r w:rsidRPr="00857CDA">
        <w:rPr>
          <w:lang w:val="ro-RO"/>
        </w:rPr>
        <w:tab/>
      </w:r>
      <w:r w:rsidRPr="00857CDA">
        <w:rPr>
          <w:lang w:val="ro-RO"/>
        </w:rPr>
        <w:tab/>
      </w:r>
      <w:r w:rsidR="00902C44" w:rsidRPr="00857CDA">
        <w:rPr>
          <w:lang w:val="ro-RO"/>
        </w:rPr>
        <w:t>Capitolul</w:t>
      </w:r>
      <w:r w:rsidR="006646BC" w:rsidRPr="00857CDA">
        <w:rPr>
          <w:lang w:val="ro-RO"/>
        </w:rPr>
        <w:t xml:space="preserve"> 1.2</w:t>
      </w:r>
    </w:p>
    <w:p w:rsidR="006646BC" w:rsidRPr="00857CDA" w:rsidRDefault="006646BC" w:rsidP="00AB70CA">
      <w:pPr>
        <w:pStyle w:val="SingleTxtG"/>
        <w:tabs>
          <w:tab w:val="left" w:pos="1985"/>
        </w:tabs>
        <w:rPr>
          <w:lang w:val="ro-RO"/>
        </w:rPr>
      </w:pPr>
      <w:r w:rsidRPr="00857CDA">
        <w:rPr>
          <w:lang w:val="ro-RO"/>
        </w:rPr>
        <w:t>1.2.1</w:t>
      </w:r>
      <w:r w:rsidRPr="00857CDA">
        <w:rPr>
          <w:lang w:val="ro-RO"/>
        </w:rPr>
        <w:tab/>
      </w:r>
      <w:r w:rsidR="007B3D4B" w:rsidRPr="00857CDA">
        <w:rPr>
          <w:lang w:val="ro-RO"/>
        </w:rPr>
        <w:t>Definiția pentru</w:t>
      </w:r>
      <w:r w:rsidRPr="00857CDA">
        <w:rPr>
          <w:lang w:val="ro-RO"/>
        </w:rPr>
        <w:t xml:space="preserve"> </w:t>
      </w:r>
      <w:r w:rsidR="00421874" w:rsidRPr="00857CDA">
        <w:rPr>
          <w:lang w:val="ro-RO"/>
        </w:rPr>
        <w:t>„</w:t>
      </w:r>
      <w:r w:rsidR="007B3D4B" w:rsidRPr="00857CDA">
        <w:rPr>
          <w:i/>
          <w:iCs/>
          <w:lang w:val="ro-RO"/>
        </w:rPr>
        <w:t>Material de origine animală</w:t>
      </w:r>
      <w:r w:rsidR="00660131" w:rsidRPr="00857CDA">
        <w:rPr>
          <w:lang w:val="ro-RO"/>
        </w:rPr>
        <w:t>”“</w:t>
      </w:r>
      <w:r w:rsidRPr="00857CDA">
        <w:rPr>
          <w:lang w:val="ro-RO"/>
        </w:rPr>
        <w:t xml:space="preserve">, </w:t>
      </w:r>
      <w:r w:rsidR="00902C44" w:rsidRPr="00857CDA">
        <w:rPr>
          <w:lang w:val="ro-RO"/>
        </w:rPr>
        <w:t xml:space="preserve">Se </w:t>
      </w:r>
      <w:r w:rsidR="007B3D4B" w:rsidRPr="00857CDA">
        <w:rPr>
          <w:lang w:val="ro-RO"/>
        </w:rPr>
        <w:t xml:space="preserve">înlocuiește cu definiția </w:t>
      </w:r>
      <w:r w:rsidR="00F9547E" w:rsidRPr="00857CDA">
        <w:rPr>
          <w:lang w:val="ro-RO"/>
        </w:rPr>
        <w:t>„</w:t>
      </w:r>
      <w:r w:rsidR="00F9547E" w:rsidRPr="00857CDA">
        <w:rPr>
          <w:i/>
          <w:lang w:val="ro-RO"/>
        </w:rPr>
        <w:t>Material animal</w:t>
      </w:r>
      <w:r w:rsidR="00660131" w:rsidRPr="00857CDA">
        <w:rPr>
          <w:lang w:val="ro-RO"/>
        </w:rPr>
        <w:t>”</w:t>
      </w:r>
      <w:r w:rsidR="00F9547E" w:rsidRPr="00857CDA">
        <w:rPr>
          <w:lang w:val="ro-RO"/>
        </w:rPr>
        <w:t xml:space="preserve"> înseamnă carcase de animale, părţi din corpul animalelor sau </w:t>
      </w:r>
      <w:r w:rsidR="00421874" w:rsidRPr="00857CDA">
        <w:rPr>
          <w:lang w:val="ro-RO"/>
        </w:rPr>
        <w:t xml:space="preserve">produse alimentare </w:t>
      </w:r>
      <w:r w:rsidR="001A50A8" w:rsidRPr="00857CDA">
        <w:rPr>
          <w:lang w:val="ro-RO"/>
        </w:rPr>
        <w:t>ori</w:t>
      </w:r>
      <w:r w:rsidR="00421874" w:rsidRPr="00857CDA">
        <w:rPr>
          <w:lang w:val="ro-RO"/>
        </w:rPr>
        <w:t xml:space="preserve"> </w:t>
      </w:r>
      <w:r w:rsidR="00F9547E" w:rsidRPr="00857CDA">
        <w:rPr>
          <w:lang w:val="ro-RO"/>
        </w:rPr>
        <w:t>hrană de origine animală</w:t>
      </w:r>
      <w:r w:rsidR="00660131" w:rsidRPr="00857CDA">
        <w:rPr>
          <w:lang w:val="ro-RO"/>
        </w:rPr>
        <w:t>”</w:t>
      </w:r>
      <w:r w:rsidRPr="00857CDA">
        <w:rPr>
          <w:lang w:val="ro-RO"/>
        </w:rPr>
        <w:t>.</w:t>
      </w:r>
    </w:p>
    <w:p w:rsidR="00A95411" w:rsidRPr="00857CDA" w:rsidRDefault="00A95411" w:rsidP="00AB70CA">
      <w:pPr>
        <w:pStyle w:val="SingleTxtG"/>
        <w:tabs>
          <w:tab w:val="left" w:pos="1985"/>
        </w:tabs>
        <w:rPr>
          <w:lang w:val="ro-RO"/>
        </w:rPr>
      </w:pPr>
      <w:r w:rsidRPr="00857CDA">
        <w:rPr>
          <w:lang w:val="ro-RO"/>
        </w:rPr>
        <w:t>1.2.1</w:t>
      </w:r>
      <w:r w:rsidRPr="00857CDA">
        <w:rPr>
          <w:lang w:val="ro-RO"/>
        </w:rPr>
        <w:tab/>
      </w:r>
      <w:r w:rsidR="00902C44" w:rsidRPr="00857CDA">
        <w:rPr>
          <w:lang w:val="ro-RO"/>
        </w:rPr>
        <w:t xml:space="preserve">În </w:t>
      </w:r>
      <w:r w:rsidR="000F7AB2" w:rsidRPr="00857CDA">
        <w:rPr>
          <w:lang w:val="ro-RO"/>
        </w:rPr>
        <w:t>definiția pentru</w:t>
      </w:r>
      <w:r w:rsidRPr="00857CDA">
        <w:rPr>
          <w:lang w:val="ro-RO"/>
        </w:rPr>
        <w:t xml:space="preserve"> </w:t>
      </w:r>
      <w:r w:rsidR="001A50A8" w:rsidRPr="00857CDA">
        <w:rPr>
          <w:lang w:val="ro-RO"/>
        </w:rPr>
        <w:t>„</w:t>
      </w:r>
      <w:r w:rsidRPr="00857CDA">
        <w:rPr>
          <w:i/>
          <w:lang w:val="ro-RO"/>
        </w:rPr>
        <w:t>Temp</w:t>
      </w:r>
      <w:r w:rsidR="007B3D4B" w:rsidRPr="00857CDA">
        <w:rPr>
          <w:i/>
          <w:lang w:val="ro-RO"/>
        </w:rPr>
        <w:t>e</w:t>
      </w:r>
      <w:r w:rsidRPr="00857CDA">
        <w:rPr>
          <w:i/>
          <w:lang w:val="ro-RO"/>
        </w:rPr>
        <w:t>ratur</w:t>
      </w:r>
      <w:r w:rsidR="007B3D4B" w:rsidRPr="00857CDA">
        <w:rPr>
          <w:i/>
          <w:lang w:val="ro-RO"/>
        </w:rPr>
        <w:t>a</w:t>
      </w:r>
      <w:r w:rsidRPr="00857CDA">
        <w:rPr>
          <w:i/>
          <w:lang w:val="ro-RO"/>
        </w:rPr>
        <w:t xml:space="preserve"> de r</w:t>
      </w:r>
      <w:r w:rsidR="007B3D4B" w:rsidRPr="00857CDA">
        <w:rPr>
          <w:i/>
          <w:lang w:val="ro-RO"/>
        </w:rPr>
        <w:t>e</w:t>
      </w:r>
      <w:r w:rsidRPr="00857CDA">
        <w:rPr>
          <w:i/>
          <w:lang w:val="ro-RO"/>
        </w:rPr>
        <w:t>gla</w:t>
      </w:r>
      <w:r w:rsidR="007B3D4B" w:rsidRPr="00857CDA">
        <w:rPr>
          <w:i/>
          <w:lang w:val="ro-RO"/>
        </w:rPr>
        <w:t>re</w:t>
      </w:r>
      <w:r w:rsidR="00660131" w:rsidRPr="00857CDA">
        <w:rPr>
          <w:lang w:val="ro-RO"/>
        </w:rPr>
        <w:t>”</w:t>
      </w:r>
      <w:r w:rsidRPr="00857CDA">
        <w:rPr>
          <w:lang w:val="ro-RO"/>
        </w:rPr>
        <w:t xml:space="preserve">, </w:t>
      </w:r>
      <w:r w:rsidR="00902C44" w:rsidRPr="00857CDA">
        <w:rPr>
          <w:lang w:val="ro-RO"/>
        </w:rPr>
        <w:t>Se modifică</w:t>
      </w:r>
      <w:r w:rsidR="007B3D4B" w:rsidRPr="00857CDA">
        <w:rPr>
          <w:lang w:val="ro-RO"/>
        </w:rPr>
        <w:t xml:space="preserve"> </w:t>
      </w:r>
      <w:r w:rsidR="001A50A8" w:rsidRPr="00857CDA">
        <w:rPr>
          <w:lang w:val="ro-RO"/>
        </w:rPr>
        <w:t>„</w:t>
      </w:r>
      <w:r w:rsidR="007B3D4B" w:rsidRPr="00857CDA">
        <w:rPr>
          <w:lang w:val="ro-RO"/>
        </w:rPr>
        <w:t>sa</w:t>
      </w:r>
      <w:r w:rsidRPr="00857CDA">
        <w:rPr>
          <w:lang w:val="ro-RO"/>
        </w:rPr>
        <w:t xml:space="preserve">u </w:t>
      </w:r>
      <w:r w:rsidR="007B3D4B" w:rsidRPr="00857CDA">
        <w:rPr>
          <w:lang w:val="ro-RO"/>
        </w:rPr>
        <w:t>substanța autoreactivă</w:t>
      </w:r>
      <w:r w:rsidR="00660131" w:rsidRPr="00857CDA">
        <w:rPr>
          <w:lang w:val="ro-RO"/>
        </w:rPr>
        <w:t>”</w:t>
      </w:r>
      <w:r w:rsidR="00902C44" w:rsidRPr="00857CDA">
        <w:rPr>
          <w:lang w:val="ro-RO"/>
        </w:rPr>
        <w:t xml:space="preserve"> cu </w:t>
      </w:r>
      <w:r w:rsidR="00D85951" w:rsidRPr="00857CDA">
        <w:rPr>
          <w:lang w:val="ro-RO"/>
        </w:rPr>
        <w:t>“ ,</w:t>
      </w:r>
      <w:r w:rsidR="007B3D4B" w:rsidRPr="00857CDA">
        <w:rPr>
          <w:lang w:val="ro-RO"/>
        </w:rPr>
        <w:t xml:space="preserve"> substanța autoreactivă sa</w:t>
      </w:r>
      <w:r w:rsidRPr="00857CDA">
        <w:rPr>
          <w:lang w:val="ro-RO"/>
        </w:rPr>
        <w:t xml:space="preserve">u </w:t>
      </w:r>
      <w:r w:rsidR="007B3D4B" w:rsidRPr="00857CDA">
        <w:rPr>
          <w:lang w:val="ro-RO"/>
        </w:rPr>
        <w:t>substanța care polimerizează</w:t>
      </w:r>
      <w:r w:rsidR="00660131" w:rsidRPr="00857CDA">
        <w:rPr>
          <w:bCs/>
          <w:lang w:val="ro-RO"/>
        </w:rPr>
        <w:t>”</w:t>
      </w:r>
      <w:r w:rsidRPr="00857CDA">
        <w:rPr>
          <w:bCs/>
          <w:lang w:val="ro-RO"/>
        </w:rPr>
        <w:t>.</w:t>
      </w:r>
    </w:p>
    <w:p w:rsidR="00C8061B" w:rsidRPr="00857CDA" w:rsidRDefault="00C8061B" w:rsidP="00AB70CA">
      <w:pPr>
        <w:pStyle w:val="SingleTxtG"/>
        <w:tabs>
          <w:tab w:val="left" w:pos="1985"/>
        </w:tabs>
        <w:rPr>
          <w:lang w:val="ro-RO"/>
        </w:rPr>
      </w:pPr>
      <w:r w:rsidRPr="00857CDA">
        <w:rPr>
          <w:lang w:val="ro-RO"/>
        </w:rPr>
        <w:t>1.2.1</w:t>
      </w:r>
      <w:r w:rsidRPr="00857CDA">
        <w:rPr>
          <w:lang w:val="ro-RO"/>
        </w:rPr>
        <w:tab/>
      </w:r>
      <w:r w:rsidR="00902C44" w:rsidRPr="00857CDA">
        <w:rPr>
          <w:lang w:val="ro-RO"/>
        </w:rPr>
        <w:t xml:space="preserve">În </w:t>
      </w:r>
      <w:r w:rsidR="000F7AB2" w:rsidRPr="00857CDA">
        <w:rPr>
          <w:lang w:val="ro-RO"/>
        </w:rPr>
        <w:t>definiția pentru</w:t>
      </w:r>
      <w:r w:rsidRPr="00857CDA">
        <w:rPr>
          <w:lang w:val="ro-RO"/>
        </w:rPr>
        <w:t xml:space="preserve"> </w:t>
      </w:r>
      <w:r w:rsidR="001A50A8" w:rsidRPr="00857CDA">
        <w:rPr>
          <w:lang w:val="ro-RO"/>
        </w:rPr>
        <w:t>„</w:t>
      </w:r>
      <w:r w:rsidRPr="00857CDA">
        <w:rPr>
          <w:i/>
          <w:lang w:val="ro-RO"/>
        </w:rPr>
        <w:t>GH</w:t>
      </w:r>
      <w:r w:rsidR="007B3D4B" w:rsidRPr="00857CDA">
        <w:rPr>
          <w:i/>
          <w:lang w:val="ro-RO"/>
        </w:rPr>
        <w:t>S</w:t>
      </w:r>
      <w:r w:rsidR="00660131" w:rsidRPr="00857CDA">
        <w:rPr>
          <w:lang w:val="ro-RO"/>
        </w:rPr>
        <w:t>”</w:t>
      </w:r>
      <w:r w:rsidR="001C6399" w:rsidRPr="00857CDA">
        <w:rPr>
          <w:lang w:val="ro-RO"/>
        </w:rPr>
        <w:t xml:space="preserve">, </w:t>
      </w:r>
      <w:r w:rsidR="00902C44" w:rsidRPr="00857CDA">
        <w:rPr>
          <w:lang w:val="ro-RO"/>
        </w:rPr>
        <w:t>Se modifică</w:t>
      </w:r>
      <w:r w:rsidR="007B3D4B" w:rsidRPr="00857CDA">
        <w:rPr>
          <w:lang w:val="ro-RO"/>
        </w:rPr>
        <w:t xml:space="preserve"> </w:t>
      </w:r>
      <w:r w:rsidR="001A50A8" w:rsidRPr="00857CDA">
        <w:rPr>
          <w:lang w:val="ro-RO"/>
        </w:rPr>
        <w:t>„</w:t>
      </w:r>
      <w:r w:rsidR="007B3D4B" w:rsidRPr="00857CDA">
        <w:rPr>
          <w:lang w:val="ro-RO"/>
        </w:rPr>
        <w:t>a șasea</w:t>
      </w:r>
      <w:r w:rsidR="00660131" w:rsidRPr="00857CDA">
        <w:rPr>
          <w:lang w:val="ro-RO"/>
        </w:rPr>
        <w:t>”</w:t>
      </w:r>
      <w:r w:rsidR="00902C44" w:rsidRPr="00857CDA">
        <w:rPr>
          <w:lang w:val="ro-RO"/>
        </w:rPr>
        <w:t xml:space="preserve"> cu </w:t>
      </w:r>
      <w:r w:rsidR="001A50A8" w:rsidRPr="00857CDA">
        <w:rPr>
          <w:lang w:val="ro-RO"/>
        </w:rPr>
        <w:t>„</w:t>
      </w:r>
      <w:r w:rsidR="007B3D4B" w:rsidRPr="00857CDA">
        <w:rPr>
          <w:lang w:val="ro-RO"/>
        </w:rPr>
        <w:t>a șaptea</w:t>
      </w:r>
      <w:r w:rsidR="00660131" w:rsidRPr="00857CDA">
        <w:rPr>
          <w:lang w:val="ro-RO"/>
        </w:rPr>
        <w:t>”</w:t>
      </w:r>
      <w:r w:rsidR="004C27AD" w:rsidRPr="00857CDA">
        <w:rPr>
          <w:lang w:val="ro-RO"/>
        </w:rPr>
        <w:t xml:space="preserve"> și </w:t>
      </w:r>
      <w:r w:rsidR="00902C44" w:rsidRPr="00857CDA">
        <w:rPr>
          <w:lang w:val="ro-RO"/>
        </w:rPr>
        <w:t>Se modifică</w:t>
      </w:r>
      <w:r w:rsidR="001C6399" w:rsidRPr="00857CDA">
        <w:rPr>
          <w:lang w:val="ro-RO"/>
        </w:rPr>
        <w:t xml:space="preserve"> </w:t>
      </w:r>
      <w:r w:rsidR="001A50A8" w:rsidRPr="00857CDA">
        <w:rPr>
          <w:lang w:val="ro-RO"/>
        </w:rPr>
        <w:t>„</w:t>
      </w:r>
      <w:r w:rsidR="001C6399" w:rsidRPr="00857CDA">
        <w:rPr>
          <w:lang w:val="ro-RO"/>
        </w:rPr>
        <w:t>ST/SG/</w:t>
      </w:r>
      <w:r w:rsidR="00CD6EB5" w:rsidRPr="00857CDA">
        <w:rPr>
          <w:lang w:val="ro-RO"/>
        </w:rPr>
        <w:t>A</w:t>
      </w:r>
      <w:r w:rsidR="001C6399" w:rsidRPr="00857CDA">
        <w:rPr>
          <w:lang w:val="ro-RO"/>
        </w:rPr>
        <w:t>C.10/30/Rev.</w:t>
      </w:r>
      <w:r w:rsidR="007B3D4B" w:rsidRPr="00857CDA">
        <w:rPr>
          <w:lang w:val="ro-RO"/>
        </w:rPr>
        <w:t>6</w:t>
      </w:r>
      <w:r w:rsidR="00660131" w:rsidRPr="00857CDA">
        <w:rPr>
          <w:lang w:val="ro-RO"/>
        </w:rPr>
        <w:t>”</w:t>
      </w:r>
      <w:r w:rsidR="00902C44" w:rsidRPr="00857CDA">
        <w:rPr>
          <w:lang w:val="ro-RO"/>
        </w:rPr>
        <w:t xml:space="preserve"> cu </w:t>
      </w:r>
      <w:r w:rsidR="001A50A8" w:rsidRPr="00857CDA">
        <w:rPr>
          <w:lang w:val="ro-RO"/>
        </w:rPr>
        <w:t>„</w:t>
      </w:r>
      <w:r w:rsidR="001C6399" w:rsidRPr="00857CDA">
        <w:rPr>
          <w:lang w:val="ro-RO"/>
        </w:rPr>
        <w:t>ST/SG/</w:t>
      </w:r>
      <w:r w:rsidR="00CD6EB5" w:rsidRPr="00857CDA">
        <w:rPr>
          <w:lang w:val="ro-RO"/>
        </w:rPr>
        <w:t>A</w:t>
      </w:r>
      <w:r w:rsidR="001C6399" w:rsidRPr="00857CDA">
        <w:rPr>
          <w:lang w:val="ro-RO"/>
        </w:rPr>
        <w:t>C.10/30/Rev.7</w:t>
      </w:r>
      <w:r w:rsidR="00660131" w:rsidRPr="00857CDA">
        <w:rPr>
          <w:lang w:val="ro-RO"/>
        </w:rPr>
        <w:t>”</w:t>
      </w:r>
      <w:r w:rsidR="001C6399" w:rsidRPr="00857CDA">
        <w:rPr>
          <w:lang w:val="ro-RO"/>
        </w:rPr>
        <w:t>.</w:t>
      </w:r>
    </w:p>
    <w:p w:rsidR="00186FAC" w:rsidRPr="00857CDA" w:rsidRDefault="00186FAC" w:rsidP="00AB70CA">
      <w:pPr>
        <w:pStyle w:val="SingleTxtG"/>
        <w:tabs>
          <w:tab w:val="left" w:pos="1985"/>
        </w:tabs>
        <w:rPr>
          <w:lang w:val="ro-RO"/>
        </w:rPr>
      </w:pPr>
      <w:r w:rsidRPr="00857CDA">
        <w:rPr>
          <w:lang w:val="ro-RO"/>
        </w:rPr>
        <w:t>1.2.1</w:t>
      </w:r>
      <w:r w:rsidRPr="00857CDA">
        <w:rPr>
          <w:lang w:val="ro-RO"/>
        </w:rPr>
        <w:tab/>
      </w:r>
      <w:r w:rsidR="00902C44" w:rsidRPr="00857CDA">
        <w:rPr>
          <w:lang w:val="ro-RO"/>
        </w:rPr>
        <w:t xml:space="preserve">În </w:t>
      </w:r>
      <w:r w:rsidR="000F7AB2" w:rsidRPr="00857CDA">
        <w:rPr>
          <w:lang w:val="ro-RO"/>
        </w:rPr>
        <w:t>definiția pentru</w:t>
      </w:r>
      <w:r w:rsidRPr="00857CDA">
        <w:rPr>
          <w:lang w:val="ro-RO"/>
        </w:rPr>
        <w:t xml:space="preserve"> </w:t>
      </w:r>
      <w:r w:rsidR="001A50A8" w:rsidRPr="00857CDA">
        <w:rPr>
          <w:lang w:val="ro-RO"/>
        </w:rPr>
        <w:t>„</w:t>
      </w:r>
      <w:r w:rsidRPr="00857CDA">
        <w:rPr>
          <w:i/>
          <w:lang w:val="ro-RO"/>
        </w:rPr>
        <w:t>Manu</w:t>
      </w:r>
      <w:r w:rsidR="007B3D4B" w:rsidRPr="00857CDA">
        <w:rPr>
          <w:i/>
          <w:lang w:val="ro-RO"/>
        </w:rPr>
        <w:t>a</w:t>
      </w:r>
      <w:r w:rsidRPr="00857CDA">
        <w:rPr>
          <w:i/>
          <w:lang w:val="ro-RO"/>
        </w:rPr>
        <w:t>l</w:t>
      </w:r>
      <w:r w:rsidR="007B3D4B" w:rsidRPr="00857CDA">
        <w:rPr>
          <w:i/>
          <w:lang w:val="ro-RO"/>
        </w:rPr>
        <w:t>ul</w:t>
      </w:r>
      <w:r w:rsidRPr="00857CDA">
        <w:rPr>
          <w:i/>
          <w:lang w:val="ro-RO"/>
        </w:rPr>
        <w:t xml:space="preserve"> d</w:t>
      </w:r>
      <w:r w:rsidR="007B3D4B" w:rsidRPr="00857CDA">
        <w:rPr>
          <w:i/>
          <w:lang w:val="ro-RO"/>
        </w:rPr>
        <w:t xml:space="preserve">e </w:t>
      </w:r>
      <w:r w:rsidR="001A50A8" w:rsidRPr="00857CDA">
        <w:rPr>
          <w:i/>
          <w:lang w:val="ro-RO"/>
        </w:rPr>
        <w:t>Încercări</w:t>
      </w:r>
      <w:r w:rsidR="007B3D4B" w:rsidRPr="00857CDA">
        <w:rPr>
          <w:i/>
          <w:lang w:val="ro-RO"/>
        </w:rPr>
        <w:t xml:space="preserve"> și Criterii</w:t>
      </w:r>
      <w:r w:rsidR="00660131" w:rsidRPr="00857CDA">
        <w:rPr>
          <w:lang w:val="ro-RO"/>
        </w:rPr>
        <w:t>”</w:t>
      </w:r>
      <w:r w:rsidRPr="00857CDA">
        <w:rPr>
          <w:lang w:val="ro-RO"/>
        </w:rPr>
        <w:t xml:space="preserve">, </w:t>
      </w:r>
      <w:r w:rsidR="00991390" w:rsidRPr="00857CDA">
        <w:rPr>
          <w:lang w:val="ro-RO"/>
        </w:rPr>
        <w:t>după</w:t>
      </w:r>
      <w:r w:rsidRPr="00857CDA">
        <w:rPr>
          <w:lang w:val="ro-RO"/>
        </w:rPr>
        <w:t xml:space="preserve"> </w:t>
      </w:r>
      <w:r w:rsidR="001A50A8" w:rsidRPr="00857CDA">
        <w:rPr>
          <w:lang w:val="ro-RO"/>
        </w:rPr>
        <w:t>„</w:t>
      </w:r>
      <w:r w:rsidRPr="00857CDA">
        <w:rPr>
          <w:lang w:val="ro-RO"/>
        </w:rPr>
        <w:t>ST/SG/AC.10/11/Rev.6</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1A50A8" w:rsidRPr="00857CDA">
        <w:rPr>
          <w:lang w:val="ro-RO"/>
        </w:rPr>
        <w:t>„</w:t>
      </w:r>
      <w:r w:rsidR="004C27AD" w:rsidRPr="00857CDA">
        <w:rPr>
          <w:lang w:val="ro-RO"/>
        </w:rPr>
        <w:t xml:space="preserve">și </w:t>
      </w:r>
      <w:r w:rsidRPr="00857CDA">
        <w:rPr>
          <w:lang w:val="ro-RO"/>
        </w:rPr>
        <w:t>Amend.1</w:t>
      </w:r>
      <w:r w:rsidR="00660131" w:rsidRPr="00857CDA">
        <w:rPr>
          <w:lang w:val="ro-RO"/>
        </w:rPr>
        <w:t>”</w:t>
      </w:r>
      <w:r w:rsidRPr="00857CDA">
        <w:rPr>
          <w:lang w:val="ro-RO"/>
        </w:rPr>
        <w:t>.</w:t>
      </w:r>
    </w:p>
    <w:p w:rsidR="00BE507D" w:rsidRPr="00857CDA" w:rsidRDefault="00BE507D" w:rsidP="00AB70CA">
      <w:pPr>
        <w:pStyle w:val="SingleTxtG"/>
        <w:tabs>
          <w:tab w:val="left" w:pos="1985"/>
        </w:tabs>
        <w:rPr>
          <w:lang w:val="ro-RO"/>
        </w:rPr>
      </w:pPr>
      <w:r w:rsidRPr="00857CDA">
        <w:rPr>
          <w:lang w:val="ro-RO"/>
        </w:rPr>
        <w:lastRenderedPageBreak/>
        <w:t>1.2.1</w:t>
      </w:r>
      <w:r w:rsidRPr="00857CDA">
        <w:rPr>
          <w:lang w:val="ro-RO"/>
        </w:rPr>
        <w:tab/>
      </w:r>
      <w:r w:rsidR="00902C44" w:rsidRPr="00857CDA">
        <w:rPr>
          <w:lang w:val="ro-RO"/>
        </w:rPr>
        <w:t xml:space="preserve">În </w:t>
      </w:r>
      <w:r w:rsidR="000F7AB2" w:rsidRPr="00857CDA">
        <w:rPr>
          <w:lang w:val="ro-RO"/>
        </w:rPr>
        <w:t>definiția pentru</w:t>
      </w:r>
      <w:r w:rsidRPr="00857CDA">
        <w:rPr>
          <w:lang w:val="ro-RO"/>
        </w:rPr>
        <w:t xml:space="preserve"> </w:t>
      </w:r>
      <w:r w:rsidR="001A50A8" w:rsidRPr="00857CDA">
        <w:rPr>
          <w:lang w:val="ro-RO"/>
        </w:rPr>
        <w:t>„</w:t>
      </w:r>
      <w:r w:rsidR="007B3D4B" w:rsidRPr="00857CDA">
        <w:rPr>
          <w:i/>
          <w:lang w:val="ro-RO"/>
        </w:rPr>
        <w:t>Re</w:t>
      </w:r>
      <w:r w:rsidRPr="00857CDA">
        <w:rPr>
          <w:i/>
          <w:lang w:val="ro-RO"/>
        </w:rPr>
        <w:t>g</w:t>
      </w:r>
      <w:r w:rsidR="007B3D4B" w:rsidRPr="00857CDA">
        <w:rPr>
          <w:i/>
          <w:lang w:val="ro-RO"/>
        </w:rPr>
        <w:t>u</w:t>
      </w:r>
      <w:r w:rsidRPr="00857CDA">
        <w:rPr>
          <w:i/>
          <w:lang w:val="ro-RO"/>
        </w:rPr>
        <w:t>l</w:t>
      </w:r>
      <w:r w:rsidR="007B3D4B" w:rsidRPr="00857CDA">
        <w:rPr>
          <w:i/>
          <w:lang w:val="ro-RO"/>
        </w:rPr>
        <w:t>a</w:t>
      </w:r>
      <w:r w:rsidRPr="00857CDA">
        <w:rPr>
          <w:i/>
          <w:lang w:val="ro-RO"/>
        </w:rPr>
        <w:t>ment t</w:t>
      </w:r>
      <w:r w:rsidR="007B3D4B" w:rsidRPr="00857CDA">
        <w:rPr>
          <w:i/>
          <w:lang w:val="ro-RO"/>
        </w:rPr>
        <w:t>i</w:t>
      </w:r>
      <w:r w:rsidRPr="00857CDA">
        <w:rPr>
          <w:i/>
          <w:lang w:val="ro-RO"/>
        </w:rPr>
        <w:t>p</w:t>
      </w:r>
      <w:r w:rsidR="007B3D4B" w:rsidRPr="00857CDA">
        <w:rPr>
          <w:i/>
          <w:lang w:val="ro-RO"/>
        </w:rPr>
        <w:t xml:space="preserve"> </w:t>
      </w:r>
      <w:r w:rsidRPr="00857CDA">
        <w:rPr>
          <w:i/>
          <w:lang w:val="ro-RO"/>
        </w:rPr>
        <w:t>ONU</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1A50A8" w:rsidRPr="00857CDA">
        <w:rPr>
          <w:lang w:val="ro-RO"/>
        </w:rPr>
        <w:t>„nouăsprezecea</w:t>
      </w:r>
      <w:r w:rsidR="00660131" w:rsidRPr="00857CDA">
        <w:rPr>
          <w:lang w:val="ro-RO"/>
        </w:rPr>
        <w:t>”</w:t>
      </w:r>
      <w:r w:rsidR="00902C44" w:rsidRPr="00857CDA">
        <w:rPr>
          <w:lang w:val="ro-RO"/>
        </w:rPr>
        <w:t xml:space="preserve"> cu </w:t>
      </w:r>
      <w:r w:rsidR="001A50A8" w:rsidRPr="00857CDA">
        <w:rPr>
          <w:lang w:val="ro-RO"/>
        </w:rPr>
        <w:t>„douăzecea</w:t>
      </w:r>
      <w:r w:rsidR="00660131" w:rsidRPr="00857CDA">
        <w:rPr>
          <w:lang w:val="ro-RO"/>
        </w:rPr>
        <w:t>”</w:t>
      </w:r>
      <w:r w:rsidR="004C27AD" w:rsidRPr="00857CDA">
        <w:rPr>
          <w:lang w:val="ro-RO"/>
        </w:rPr>
        <w:t xml:space="preserve"> și </w:t>
      </w:r>
      <w:r w:rsidR="00902C44" w:rsidRPr="00857CDA">
        <w:rPr>
          <w:lang w:val="ro-RO"/>
        </w:rPr>
        <w:t>Se modifică</w:t>
      </w:r>
      <w:r w:rsidRPr="00857CDA">
        <w:rPr>
          <w:lang w:val="ro-RO"/>
        </w:rPr>
        <w:t xml:space="preserve"> </w:t>
      </w:r>
      <w:r w:rsidR="001A50A8" w:rsidRPr="00857CDA">
        <w:rPr>
          <w:lang w:val="ro-RO"/>
        </w:rPr>
        <w:t xml:space="preserve">„ </w:t>
      </w:r>
      <w:r w:rsidRPr="00857CDA">
        <w:rPr>
          <w:lang w:val="ro-RO"/>
        </w:rPr>
        <w:t>(ST/SG/AC.10/1/Rev.19)</w:t>
      </w:r>
      <w:r w:rsidR="00660131" w:rsidRPr="00857CDA">
        <w:rPr>
          <w:lang w:val="ro-RO"/>
        </w:rPr>
        <w:t>”</w:t>
      </w:r>
      <w:r w:rsidR="00902C44" w:rsidRPr="00857CDA">
        <w:rPr>
          <w:lang w:val="ro-RO"/>
        </w:rPr>
        <w:t xml:space="preserve"> cu </w:t>
      </w:r>
      <w:r w:rsidR="001A50A8" w:rsidRPr="00857CDA">
        <w:rPr>
          <w:lang w:val="ro-RO"/>
        </w:rPr>
        <w:t xml:space="preserve">„ </w:t>
      </w:r>
      <w:r w:rsidRPr="00857CDA">
        <w:rPr>
          <w:lang w:val="ro-RO"/>
        </w:rPr>
        <w:t>(ST/SG/AC.10/1/Rev.20)</w:t>
      </w:r>
      <w:r w:rsidR="00660131" w:rsidRPr="00857CDA">
        <w:rPr>
          <w:lang w:val="ro-RO"/>
        </w:rPr>
        <w:t>”</w:t>
      </w:r>
      <w:r w:rsidRPr="00857CDA">
        <w:rPr>
          <w:lang w:val="ro-RO"/>
        </w:rPr>
        <w:t>.</w:t>
      </w:r>
    </w:p>
    <w:p w:rsidR="00970717" w:rsidRPr="00857CDA" w:rsidRDefault="00970717" w:rsidP="00AB70CA">
      <w:pPr>
        <w:pStyle w:val="SingleTxtG"/>
        <w:tabs>
          <w:tab w:val="left" w:pos="1985"/>
          <w:tab w:val="left" w:pos="2268"/>
        </w:tabs>
        <w:rPr>
          <w:b/>
          <w:lang w:val="ro-RO"/>
        </w:rPr>
      </w:pPr>
      <w:r w:rsidRPr="00857CDA">
        <w:rPr>
          <w:lang w:val="ro-RO"/>
        </w:rPr>
        <w:t>1.2.1</w:t>
      </w:r>
      <w:r w:rsidRPr="00857CDA">
        <w:rPr>
          <w:lang w:val="ro-RO"/>
        </w:rPr>
        <w:tab/>
      </w:r>
      <w:r w:rsidR="002B679C" w:rsidRPr="00857CDA">
        <w:rPr>
          <w:lang w:val="ro-RO"/>
        </w:rPr>
        <w:t>Se modifică</w:t>
      </w:r>
      <w:r w:rsidRPr="00857CDA">
        <w:rPr>
          <w:lang w:val="ro-RO"/>
        </w:rPr>
        <w:t xml:space="preserve"> </w:t>
      </w:r>
      <w:r w:rsidR="000F7AB2" w:rsidRPr="00857CDA">
        <w:rPr>
          <w:lang w:val="ro-RO"/>
        </w:rPr>
        <w:t>definiția pentru</w:t>
      </w:r>
      <w:r w:rsidRPr="00857CDA">
        <w:rPr>
          <w:lang w:val="ro-RO"/>
        </w:rPr>
        <w:t xml:space="preserve"> </w:t>
      </w:r>
      <w:r w:rsidR="001A50A8" w:rsidRPr="00857CDA">
        <w:rPr>
          <w:lang w:val="ro-RO"/>
        </w:rPr>
        <w:t>„</w:t>
      </w:r>
      <w:r w:rsidR="006B06C2" w:rsidRPr="00857CDA">
        <w:rPr>
          <w:i/>
          <w:lang w:val="ro-RO"/>
        </w:rPr>
        <w:t>C</w:t>
      </w:r>
      <w:r w:rsidRPr="00857CDA">
        <w:rPr>
          <w:i/>
          <w:lang w:val="ro-RO"/>
        </w:rPr>
        <w:t>i</w:t>
      </w:r>
      <w:r w:rsidR="000F7AB2" w:rsidRPr="00857CDA">
        <w:rPr>
          <w:i/>
          <w:lang w:val="ro-RO"/>
        </w:rPr>
        <w:t>s</w:t>
      </w:r>
      <w:r w:rsidRPr="00857CDA">
        <w:rPr>
          <w:i/>
          <w:lang w:val="ro-RO"/>
        </w:rPr>
        <w:t>tern</w:t>
      </w:r>
      <w:r w:rsidR="000F7AB2" w:rsidRPr="00857CDA">
        <w:rPr>
          <w:i/>
          <w:lang w:val="ro-RO"/>
        </w:rPr>
        <w:t>ă închisă ermetic</w:t>
      </w:r>
      <w:r w:rsidR="00660131" w:rsidRPr="00857CDA">
        <w:rPr>
          <w:lang w:val="ro-RO"/>
        </w:rPr>
        <w:t>”</w:t>
      </w:r>
      <w:r w:rsidRPr="00857CDA">
        <w:rPr>
          <w:lang w:val="ro-RO"/>
        </w:rPr>
        <w:t xml:space="preserve"> </w:t>
      </w:r>
      <w:r w:rsidR="002B679C" w:rsidRPr="00857CDA">
        <w:rPr>
          <w:lang w:val="ro-RO"/>
        </w:rPr>
        <w:t>, după cum urmează</w:t>
      </w:r>
      <w:r w:rsidRPr="00857CDA">
        <w:rPr>
          <w:lang w:val="ro-RO"/>
        </w:rPr>
        <w:t>:</w:t>
      </w:r>
    </w:p>
    <w:p w:rsidR="00970717" w:rsidRPr="00857CDA" w:rsidRDefault="001A50A8" w:rsidP="00970717">
      <w:pPr>
        <w:pStyle w:val="SingleTxtG"/>
        <w:rPr>
          <w:lang w:val="ro-RO"/>
        </w:rPr>
      </w:pPr>
      <w:r w:rsidRPr="00857CDA">
        <w:rPr>
          <w:lang w:val="ro-RO"/>
        </w:rPr>
        <w:t>„</w:t>
      </w:r>
      <w:r w:rsidR="000F7AB2" w:rsidRPr="00857CDA">
        <w:rPr>
          <w:szCs w:val="22"/>
          <w:lang w:val="ro-RO"/>
        </w:rPr>
        <w:t>„</w:t>
      </w:r>
      <w:r w:rsidR="000F7AB2" w:rsidRPr="00857CDA">
        <w:rPr>
          <w:i/>
          <w:sz w:val="22"/>
          <w:szCs w:val="22"/>
          <w:lang w:val="ro-RO"/>
        </w:rPr>
        <w:t>Cisternă închisă ermetic</w:t>
      </w:r>
      <w:r w:rsidR="00660131" w:rsidRPr="00857CDA">
        <w:rPr>
          <w:sz w:val="22"/>
          <w:szCs w:val="22"/>
          <w:lang w:val="ro-RO"/>
        </w:rPr>
        <w:t>”</w:t>
      </w:r>
      <w:r w:rsidR="000F7AB2" w:rsidRPr="00857CDA">
        <w:rPr>
          <w:lang w:val="ro-RO"/>
        </w:rPr>
        <w:t xml:space="preserve"> înseamnă o cisternă care</w:t>
      </w:r>
      <w:r w:rsidR="00970717" w:rsidRPr="00857CDA">
        <w:rPr>
          <w:lang w:val="ro-RO"/>
        </w:rPr>
        <w:t>:</w:t>
      </w:r>
    </w:p>
    <w:p w:rsidR="009E7967" w:rsidRPr="00857CDA" w:rsidRDefault="000F7AB2" w:rsidP="009E7967">
      <w:pPr>
        <w:pStyle w:val="SingleTxtG"/>
        <w:numPr>
          <w:ilvl w:val="0"/>
          <w:numId w:val="12"/>
        </w:numPr>
        <w:rPr>
          <w:lang w:val="ro-RO"/>
        </w:rPr>
      </w:pPr>
      <w:r w:rsidRPr="00857CDA">
        <w:rPr>
          <w:lang w:val="ro-RO"/>
        </w:rPr>
        <w:t xml:space="preserve">nu este prevăzută cu supape de siguranţă, discuri de rupere ori alte dispozitive similare de protecţie sau supape de depresurizare, sau </w:t>
      </w:r>
    </w:p>
    <w:p w:rsidR="009E7967" w:rsidRPr="00857CDA" w:rsidRDefault="009E7967" w:rsidP="009E7967">
      <w:pPr>
        <w:pStyle w:val="SingleTxtG"/>
        <w:numPr>
          <w:ilvl w:val="0"/>
          <w:numId w:val="12"/>
        </w:numPr>
        <w:rPr>
          <w:lang w:val="ro-RO"/>
        </w:rPr>
      </w:pPr>
      <w:r w:rsidRPr="00857CDA">
        <w:rPr>
          <w:lang w:val="ro-RO"/>
        </w:rPr>
        <w:t>este echipată cu supape de siguranţă precedate de un disc de rupere conform cu 6.8.2.2.10, dar nu este echipată cu supape de depresurizare.</w:t>
      </w:r>
    </w:p>
    <w:p w:rsidR="00B15DB5" w:rsidRPr="00857CDA" w:rsidRDefault="00B15DB5" w:rsidP="00970717">
      <w:pPr>
        <w:pStyle w:val="SingleTxtG"/>
        <w:rPr>
          <w:lang w:val="ro-RO"/>
        </w:rPr>
      </w:pPr>
      <w:r w:rsidRPr="00857CDA">
        <w:rPr>
          <w:lang w:val="ro-RO"/>
        </w:rPr>
        <w:t>O cisternă destinată transportului substanțelor lichide având o presiune de calcul de cel puțin 4 bari sau destinată transportului substanțelor solide (pulverulente sau granulare) oricare ar fi presiunea sa de calcul, este, de asemenea, considerată ca fiind etanșată dacă:</w:t>
      </w:r>
    </w:p>
    <w:p w:rsidR="00B15DB5" w:rsidRPr="00857CDA" w:rsidRDefault="00B15DB5" w:rsidP="00B15DB5">
      <w:pPr>
        <w:pStyle w:val="SingleTxtG"/>
        <w:numPr>
          <w:ilvl w:val="0"/>
          <w:numId w:val="14"/>
        </w:numPr>
        <w:ind w:left="1843" w:hanging="425"/>
        <w:rPr>
          <w:lang w:val="ro-RO"/>
        </w:rPr>
      </w:pPr>
      <w:r w:rsidRPr="00857CDA">
        <w:rPr>
          <w:lang w:val="ro-RO"/>
        </w:rPr>
        <w:t>este echipată cu supape de siguranţă precedate de un disc de rupere conform cu 6.8.2.2.10 şi de supape de depresurizare, în conformitate cu prescripțiile de la 6.8.2.2.3, sau</w:t>
      </w:r>
    </w:p>
    <w:p w:rsidR="00970717" w:rsidRPr="00857CDA" w:rsidRDefault="00B15DB5" w:rsidP="00970717">
      <w:pPr>
        <w:pStyle w:val="SingleTxtG"/>
        <w:numPr>
          <w:ilvl w:val="0"/>
          <w:numId w:val="14"/>
        </w:numPr>
        <w:ind w:left="1843" w:hanging="425"/>
        <w:rPr>
          <w:bCs/>
          <w:lang w:val="ro-RO"/>
        </w:rPr>
      </w:pPr>
      <w:r w:rsidRPr="00857CDA">
        <w:rPr>
          <w:lang w:val="ro-RO"/>
        </w:rPr>
        <w:t>nu este prevăzută cu supape de siguranţă, discuri de rupere ori alte dispozitive similare de protecţie, dar este echipată cu supape de depresurizare, în conformitate cu prescripțiile de la 6.8.2.2.3</w:t>
      </w:r>
      <w:r w:rsidRPr="00857CDA">
        <w:rPr>
          <w:bCs/>
          <w:lang w:val="ro-RO"/>
        </w:rPr>
        <w:t>.</w:t>
      </w:r>
      <w:r w:rsidR="00660131" w:rsidRPr="00857CDA">
        <w:rPr>
          <w:bCs/>
          <w:lang w:val="ro-RO"/>
        </w:rPr>
        <w:t>”</w:t>
      </w:r>
      <w:r w:rsidR="00970717" w:rsidRPr="00857CDA">
        <w:rPr>
          <w:bCs/>
          <w:lang w:val="ro-RO"/>
        </w:rPr>
        <w:t>.</w:t>
      </w:r>
    </w:p>
    <w:p w:rsidR="00970717" w:rsidRPr="00857CDA" w:rsidRDefault="00970717" w:rsidP="00180525">
      <w:pPr>
        <w:pStyle w:val="SingleTxtG"/>
        <w:tabs>
          <w:tab w:val="left" w:pos="1985"/>
        </w:tabs>
        <w:rPr>
          <w:lang w:val="ro-RO"/>
        </w:rPr>
      </w:pPr>
      <w:r w:rsidRPr="00857CDA">
        <w:rPr>
          <w:lang w:val="ro-RO"/>
        </w:rPr>
        <w:t>1.2.1</w:t>
      </w:r>
      <w:r w:rsidRPr="00857CDA">
        <w:rPr>
          <w:lang w:val="ro-RO"/>
        </w:rPr>
        <w:tab/>
      </w:r>
      <w:r w:rsidR="00180525" w:rsidRPr="00857CDA">
        <w:rPr>
          <w:lang w:val="ro-RO"/>
        </w:rPr>
        <w:t>Se adaugă următoarele definiții noi, în ordine alfabetică</w:t>
      </w:r>
      <w:r w:rsidRPr="00857CDA">
        <w:rPr>
          <w:lang w:val="ro-RO"/>
        </w:rPr>
        <w:t>:</w:t>
      </w:r>
    </w:p>
    <w:p w:rsidR="00970717" w:rsidRPr="00857CDA" w:rsidRDefault="00180525" w:rsidP="00970717">
      <w:pPr>
        <w:pStyle w:val="SingleTxtG"/>
        <w:rPr>
          <w:lang w:val="ro-RO"/>
        </w:rPr>
      </w:pPr>
      <w:r w:rsidRPr="00857CDA">
        <w:rPr>
          <w:szCs w:val="22"/>
          <w:lang w:val="ro-RO"/>
        </w:rPr>
        <w:t>„„</w:t>
      </w:r>
      <w:r w:rsidR="00970717" w:rsidRPr="00857CDA">
        <w:rPr>
          <w:bCs/>
          <w:i/>
          <w:iCs/>
          <w:lang w:val="ro-RO"/>
        </w:rPr>
        <w:t>Diam</w:t>
      </w:r>
      <w:r w:rsidRPr="00857CDA">
        <w:rPr>
          <w:bCs/>
          <w:i/>
          <w:iCs/>
          <w:lang w:val="ro-RO"/>
        </w:rPr>
        <w:t>e</w:t>
      </w:r>
      <w:r w:rsidR="00970717" w:rsidRPr="00857CDA">
        <w:rPr>
          <w:bCs/>
          <w:i/>
          <w:iCs/>
          <w:lang w:val="ro-RO"/>
        </w:rPr>
        <w:t>tr</w:t>
      </w:r>
      <w:r w:rsidRPr="00857CDA">
        <w:rPr>
          <w:bCs/>
          <w:i/>
          <w:iCs/>
          <w:lang w:val="ro-RO"/>
        </w:rPr>
        <w:t>u</w:t>
      </w:r>
      <w:r w:rsidR="00660131" w:rsidRPr="00857CDA">
        <w:rPr>
          <w:i/>
          <w:iCs/>
          <w:lang w:val="ro-RO"/>
        </w:rPr>
        <w:t>”</w:t>
      </w:r>
      <w:r w:rsidR="00970717" w:rsidRPr="00857CDA">
        <w:rPr>
          <w:lang w:val="ro-RO"/>
        </w:rPr>
        <w:t xml:space="preserve"> (</w:t>
      </w:r>
      <w:r w:rsidR="00991390" w:rsidRPr="00857CDA">
        <w:rPr>
          <w:lang w:val="ro-RO"/>
        </w:rPr>
        <w:t>pentru</w:t>
      </w:r>
      <w:r w:rsidR="00970717" w:rsidRPr="00857CDA">
        <w:rPr>
          <w:lang w:val="ro-RO"/>
        </w:rPr>
        <w:t xml:space="preserve"> </w:t>
      </w:r>
      <w:r w:rsidRPr="00857CDA">
        <w:rPr>
          <w:lang w:val="ro-RO"/>
        </w:rPr>
        <w:t>rezervoarele cisternelor</w:t>
      </w:r>
      <w:r w:rsidR="00970717" w:rsidRPr="00857CDA">
        <w:rPr>
          <w:lang w:val="ro-RO"/>
        </w:rPr>
        <w:t>)</w:t>
      </w:r>
      <w:r w:rsidRPr="00857CDA">
        <w:rPr>
          <w:i/>
          <w:lang w:val="ro-RO"/>
        </w:rPr>
        <w:t xml:space="preserve"> </w:t>
      </w:r>
      <w:r w:rsidRPr="00857CDA">
        <w:rPr>
          <w:lang w:val="ro-RO"/>
        </w:rPr>
        <w:t>înseamnă</w:t>
      </w:r>
      <w:r w:rsidR="00970717" w:rsidRPr="00857CDA">
        <w:rPr>
          <w:lang w:val="ro-RO"/>
        </w:rPr>
        <w:t xml:space="preserve"> diam</w:t>
      </w:r>
      <w:r w:rsidRPr="00857CDA">
        <w:rPr>
          <w:lang w:val="ro-RO"/>
        </w:rPr>
        <w:t>e</w:t>
      </w:r>
      <w:r w:rsidR="00970717" w:rsidRPr="00857CDA">
        <w:rPr>
          <w:lang w:val="ro-RO"/>
        </w:rPr>
        <w:t>tr</w:t>
      </w:r>
      <w:r w:rsidRPr="00857CDA">
        <w:rPr>
          <w:lang w:val="ro-RO"/>
        </w:rPr>
        <w:t>ul</w:t>
      </w:r>
      <w:r w:rsidR="00970717" w:rsidRPr="00857CDA">
        <w:rPr>
          <w:lang w:val="ro-RO"/>
        </w:rPr>
        <w:t xml:space="preserve"> int</w:t>
      </w:r>
      <w:r w:rsidRPr="00857CDA">
        <w:rPr>
          <w:lang w:val="ro-RO"/>
        </w:rPr>
        <w:t>e</w:t>
      </w:r>
      <w:r w:rsidR="00970717" w:rsidRPr="00857CDA">
        <w:rPr>
          <w:lang w:val="ro-RO"/>
        </w:rPr>
        <w:t>ri</w:t>
      </w:r>
      <w:r w:rsidRPr="00857CDA">
        <w:rPr>
          <w:lang w:val="ro-RO"/>
        </w:rPr>
        <w:t>o</w:t>
      </w:r>
      <w:r w:rsidR="00970717" w:rsidRPr="00857CDA">
        <w:rPr>
          <w:lang w:val="ro-RO"/>
        </w:rPr>
        <w:t xml:space="preserve">r </w:t>
      </w:r>
      <w:r w:rsidRPr="00857CDA">
        <w:rPr>
          <w:lang w:val="ro-RO"/>
        </w:rPr>
        <w:t>al rezervorului</w:t>
      </w:r>
      <w:r w:rsidR="006B06C2" w:rsidRPr="00857CDA">
        <w:rPr>
          <w:lang w:val="ro-RO"/>
        </w:rPr>
        <w:t>;</w:t>
      </w:r>
      <w:r w:rsidR="00660131" w:rsidRPr="00857CDA">
        <w:rPr>
          <w:lang w:val="ro-RO"/>
        </w:rPr>
        <w:t>”</w:t>
      </w:r>
      <w:r w:rsidR="00970717" w:rsidRPr="00857CDA">
        <w:rPr>
          <w:lang w:val="ro-RO"/>
        </w:rPr>
        <w:t>.</w:t>
      </w:r>
    </w:p>
    <w:p w:rsidR="00970717" w:rsidRPr="00857CDA" w:rsidRDefault="00F320DF" w:rsidP="00970717">
      <w:pPr>
        <w:pStyle w:val="SingleTxtG"/>
        <w:rPr>
          <w:rFonts w:eastAsia="MS Mincho"/>
          <w:lang w:val="ro-RO" w:eastAsia="en-GB"/>
        </w:rPr>
      </w:pPr>
      <w:r w:rsidRPr="00857CDA">
        <w:rPr>
          <w:szCs w:val="22"/>
          <w:lang w:val="ro-RO"/>
        </w:rPr>
        <w:t>„„</w:t>
      </w:r>
      <w:r w:rsidR="00936848" w:rsidRPr="00857CDA">
        <w:rPr>
          <w:i/>
          <w:lang w:val="ro-RO"/>
        </w:rPr>
        <w:t>Înveliș</w:t>
      </w:r>
      <w:r w:rsidR="00970717" w:rsidRPr="00857CDA">
        <w:rPr>
          <w:i/>
          <w:lang w:val="ro-RO"/>
        </w:rPr>
        <w:t xml:space="preserve"> protect</w:t>
      </w:r>
      <w:r w:rsidR="00936848" w:rsidRPr="00857CDA">
        <w:rPr>
          <w:i/>
          <w:lang w:val="ro-RO"/>
        </w:rPr>
        <w:t>o</w:t>
      </w:r>
      <w:r w:rsidR="00970717" w:rsidRPr="00857CDA">
        <w:rPr>
          <w:i/>
          <w:lang w:val="ro-RO"/>
        </w:rPr>
        <w:t>r</w:t>
      </w:r>
      <w:r w:rsidR="00660131" w:rsidRPr="00857CDA">
        <w:rPr>
          <w:i/>
          <w:iCs/>
          <w:lang w:val="ro-RO"/>
        </w:rPr>
        <w:t>”</w:t>
      </w:r>
      <w:r w:rsidR="00970717" w:rsidRPr="00857CDA">
        <w:rPr>
          <w:sz w:val="18"/>
          <w:szCs w:val="18"/>
          <w:lang w:val="ro-RO"/>
        </w:rPr>
        <w:t xml:space="preserve"> (</w:t>
      </w:r>
      <w:r w:rsidR="00991390" w:rsidRPr="00857CDA">
        <w:rPr>
          <w:rFonts w:eastAsia="MS Mincho"/>
          <w:lang w:val="ro-RO" w:eastAsia="en-GB"/>
        </w:rPr>
        <w:t>pentru</w:t>
      </w:r>
      <w:r w:rsidR="00970717" w:rsidRPr="00857CDA">
        <w:rPr>
          <w:rFonts w:eastAsia="MS Mincho"/>
          <w:lang w:val="ro-RO" w:eastAsia="en-GB"/>
        </w:rPr>
        <w:t xml:space="preserve"> ci</w:t>
      </w:r>
      <w:r w:rsidR="00180525" w:rsidRPr="00857CDA">
        <w:rPr>
          <w:rFonts w:eastAsia="MS Mincho"/>
          <w:lang w:val="ro-RO" w:eastAsia="en-GB"/>
        </w:rPr>
        <w:t>sterne</w:t>
      </w:r>
      <w:r w:rsidR="00970717" w:rsidRPr="00857CDA">
        <w:rPr>
          <w:rFonts w:eastAsia="MS Mincho"/>
          <w:lang w:val="ro-RO" w:eastAsia="en-GB"/>
        </w:rPr>
        <w:t xml:space="preserve">), </w:t>
      </w:r>
      <w:r w:rsidR="00F054EC" w:rsidRPr="00857CDA">
        <w:rPr>
          <w:rFonts w:eastAsia="MS Mincho"/>
          <w:lang w:val="ro-RO" w:eastAsia="en-GB"/>
        </w:rPr>
        <w:t>înseamnă un înveliș sau o acoperire care protejează materialul metalic al cisternei de substanțele care urmează să fie transportate</w:t>
      </w:r>
      <w:r w:rsidR="00970717" w:rsidRPr="00857CDA">
        <w:rPr>
          <w:rFonts w:eastAsia="MS Mincho"/>
          <w:lang w:val="ro-RO" w:eastAsia="en-GB"/>
        </w:rPr>
        <w:t>;</w:t>
      </w:r>
    </w:p>
    <w:p w:rsidR="00970717" w:rsidRPr="00857CDA" w:rsidRDefault="00970717" w:rsidP="00970717">
      <w:pPr>
        <w:pStyle w:val="SingleTxtG"/>
        <w:rPr>
          <w:lang w:val="ro-RO"/>
        </w:rPr>
      </w:pPr>
      <w:r w:rsidRPr="00857CDA">
        <w:rPr>
          <w:b/>
          <w:i/>
          <w:lang w:val="ro-RO"/>
        </w:rPr>
        <w:t>NOT</w:t>
      </w:r>
      <w:r w:rsidR="00F054EC" w:rsidRPr="00857CDA">
        <w:rPr>
          <w:b/>
          <w:i/>
          <w:lang w:val="ro-RO"/>
        </w:rPr>
        <w:t>Ă</w:t>
      </w:r>
      <w:r w:rsidRPr="00857CDA">
        <w:rPr>
          <w:b/>
          <w:i/>
          <w:lang w:val="ro-RO"/>
        </w:rPr>
        <w:t>:</w:t>
      </w:r>
      <w:r w:rsidRPr="00857CDA">
        <w:rPr>
          <w:i/>
          <w:lang w:val="ro-RO"/>
        </w:rPr>
        <w:t xml:space="preserve"> </w:t>
      </w:r>
      <w:r w:rsidR="00F054EC" w:rsidRPr="00857CDA">
        <w:rPr>
          <w:i/>
          <w:lang w:val="ro-RO"/>
        </w:rPr>
        <w:t>Această definiție nu se aplică învelișului sau acoperirii utilizate numai pentru protejarea substanței care urmează să fie transportată</w:t>
      </w:r>
      <w:r w:rsidRPr="00857CDA">
        <w:rPr>
          <w:i/>
          <w:lang w:val="ro-RO"/>
        </w:rPr>
        <w:t>.</w:t>
      </w:r>
      <w:r w:rsidR="00660131" w:rsidRPr="00857CDA">
        <w:rPr>
          <w:lang w:val="ro-RO"/>
        </w:rPr>
        <w:t>”</w:t>
      </w:r>
      <w:r w:rsidRPr="00857CDA">
        <w:rPr>
          <w:lang w:val="ro-RO"/>
        </w:rPr>
        <w:t>.</w:t>
      </w:r>
    </w:p>
    <w:p w:rsidR="002008A2" w:rsidRPr="00857CDA" w:rsidRDefault="00936848" w:rsidP="00A54D21">
      <w:pPr>
        <w:pStyle w:val="SingleTxtG"/>
        <w:rPr>
          <w:lang w:val="ro-RO"/>
        </w:rPr>
      </w:pPr>
      <w:r w:rsidRPr="00857CDA">
        <w:rPr>
          <w:szCs w:val="22"/>
          <w:lang w:val="ro-RO"/>
        </w:rPr>
        <w:t>„„</w:t>
      </w:r>
      <w:r w:rsidR="002008A2" w:rsidRPr="00857CDA">
        <w:rPr>
          <w:i/>
          <w:lang w:val="ro-RO"/>
        </w:rPr>
        <w:t>Butel</w:t>
      </w:r>
      <w:r w:rsidR="003A679F" w:rsidRPr="00857CDA">
        <w:rPr>
          <w:i/>
          <w:lang w:val="ro-RO"/>
        </w:rPr>
        <w:t>i</w:t>
      </w:r>
      <w:r w:rsidR="002008A2" w:rsidRPr="00857CDA">
        <w:rPr>
          <w:i/>
          <w:lang w:val="ro-RO"/>
        </w:rPr>
        <w:t xml:space="preserve">e </w:t>
      </w:r>
      <w:r w:rsidR="001C467B" w:rsidRPr="00857CDA">
        <w:rPr>
          <w:i/>
          <w:lang w:val="ro-RO"/>
        </w:rPr>
        <w:t xml:space="preserve">metalică </w:t>
      </w:r>
      <w:r w:rsidR="003A679F" w:rsidRPr="00857CDA">
        <w:rPr>
          <w:i/>
          <w:lang w:val="ro-RO"/>
        </w:rPr>
        <w:t>cu carcasă</w:t>
      </w:r>
      <w:r w:rsidR="00660131" w:rsidRPr="00857CDA">
        <w:rPr>
          <w:i/>
          <w:iCs/>
          <w:lang w:val="ro-RO"/>
        </w:rPr>
        <w:t>”</w:t>
      </w:r>
      <w:r w:rsidR="00F054EC" w:rsidRPr="00857CDA">
        <w:rPr>
          <w:lang w:val="ro-RO"/>
        </w:rPr>
        <w:t xml:space="preserve"> înseamnă o butelie destinată transportului de GPL cu o capacitate de apă de maxim 13 litri, </w:t>
      </w:r>
      <w:r w:rsidR="003830EF" w:rsidRPr="00857CDA">
        <w:rPr>
          <w:lang w:val="ro-RO"/>
        </w:rPr>
        <w:t>constituită</w:t>
      </w:r>
      <w:r w:rsidR="00F054EC" w:rsidRPr="00857CDA">
        <w:rPr>
          <w:lang w:val="ro-RO"/>
        </w:rPr>
        <w:t xml:space="preserve"> dintr-o </w:t>
      </w:r>
      <w:r w:rsidR="003830EF" w:rsidRPr="00857CDA">
        <w:rPr>
          <w:lang w:val="ro-RO"/>
        </w:rPr>
        <w:t>butelie</w:t>
      </w:r>
      <w:r w:rsidR="00F054EC" w:rsidRPr="00857CDA">
        <w:rPr>
          <w:lang w:val="ro-RO"/>
        </w:rPr>
        <w:t xml:space="preserve"> de oțel sudată cu o </w:t>
      </w:r>
      <w:r w:rsidR="003830EF" w:rsidRPr="00857CDA">
        <w:rPr>
          <w:lang w:val="ro-RO"/>
        </w:rPr>
        <w:t>acoperire</w:t>
      </w:r>
      <w:r w:rsidR="00F054EC" w:rsidRPr="00857CDA">
        <w:rPr>
          <w:lang w:val="ro-RO"/>
        </w:rPr>
        <w:t xml:space="preserve"> interioară, protejată de un înveliș </w:t>
      </w:r>
      <w:r w:rsidR="00A54D21" w:rsidRPr="00857CDA">
        <w:rPr>
          <w:lang w:val="ro-RO"/>
        </w:rPr>
        <w:t xml:space="preserve">supra-turnat și inamovibil </w:t>
      </w:r>
      <w:r w:rsidR="00F054EC" w:rsidRPr="00857CDA">
        <w:rPr>
          <w:lang w:val="ro-RO"/>
        </w:rPr>
        <w:t>din material plastic</w:t>
      </w:r>
      <w:r w:rsidR="00A54D21" w:rsidRPr="00857CDA">
        <w:rPr>
          <w:lang w:val="ro-RO"/>
        </w:rPr>
        <w:t xml:space="preserve"> lipit</w:t>
      </w:r>
      <w:r w:rsidR="00F054EC" w:rsidRPr="00857CDA">
        <w:rPr>
          <w:lang w:val="ro-RO"/>
        </w:rPr>
        <w:t xml:space="preserve"> de peretele exterior al </w:t>
      </w:r>
      <w:r w:rsidR="00A54D21" w:rsidRPr="00857CDA">
        <w:rPr>
          <w:lang w:val="ro-RO"/>
        </w:rPr>
        <w:t>recipientului</w:t>
      </w:r>
      <w:r w:rsidR="00F054EC" w:rsidRPr="00857CDA">
        <w:rPr>
          <w:lang w:val="ro-RO"/>
        </w:rPr>
        <w:t xml:space="preserve"> din oțel</w:t>
      </w:r>
      <w:r w:rsidR="006B06C2" w:rsidRPr="00857CDA">
        <w:rPr>
          <w:lang w:val="ro-RO"/>
        </w:rPr>
        <w:t>;</w:t>
      </w:r>
      <w:r w:rsidR="00660131" w:rsidRPr="00857CDA">
        <w:rPr>
          <w:lang w:val="ro-RO"/>
        </w:rPr>
        <w:t>”</w:t>
      </w:r>
      <w:r w:rsidR="006B06C2" w:rsidRPr="00857CDA">
        <w:rPr>
          <w:lang w:val="ro-RO"/>
        </w:rPr>
        <w:t>.</w:t>
      </w:r>
    </w:p>
    <w:p w:rsidR="00970717" w:rsidRPr="00857CDA" w:rsidRDefault="00970717" w:rsidP="00970717">
      <w:pPr>
        <w:pStyle w:val="H1G"/>
        <w:rPr>
          <w:lang w:val="ro-RO"/>
        </w:rPr>
      </w:pPr>
      <w:r w:rsidRPr="00857CDA">
        <w:rPr>
          <w:lang w:val="ro-RO"/>
        </w:rPr>
        <w:tab/>
      </w:r>
      <w:r w:rsidRPr="00857CDA">
        <w:rPr>
          <w:lang w:val="ro-RO"/>
        </w:rPr>
        <w:tab/>
      </w:r>
      <w:r w:rsidR="00902C44" w:rsidRPr="00857CDA">
        <w:rPr>
          <w:lang w:val="ro-RO"/>
        </w:rPr>
        <w:t>Capitolul</w:t>
      </w:r>
      <w:r w:rsidR="007113F3" w:rsidRPr="00857CDA">
        <w:rPr>
          <w:lang w:val="ro-RO"/>
        </w:rPr>
        <w:t xml:space="preserve"> </w:t>
      </w:r>
      <w:r w:rsidRPr="00857CDA">
        <w:rPr>
          <w:lang w:val="ro-RO"/>
        </w:rPr>
        <w:t>1.4</w:t>
      </w:r>
    </w:p>
    <w:p w:rsidR="00970717" w:rsidRPr="00857CDA" w:rsidRDefault="00970717" w:rsidP="00970717">
      <w:pPr>
        <w:pStyle w:val="SingleTxtG"/>
        <w:rPr>
          <w:lang w:val="ro-RO"/>
        </w:rPr>
      </w:pPr>
      <w:r w:rsidRPr="00857CDA">
        <w:rPr>
          <w:lang w:val="ro-RO"/>
        </w:rPr>
        <w:t>1.4.2.2.2</w:t>
      </w:r>
      <w:r w:rsidRPr="00857CDA">
        <w:rPr>
          <w:lang w:val="ro-RO"/>
        </w:rPr>
        <w:tab/>
      </w:r>
      <w:r w:rsidR="00902C44" w:rsidRPr="00857CDA">
        <w:rPr>
          <w:lang w:val="ro-RO"/>
        </w:rPr>
        <w:t>Se adaugă</w:t>
      </w:r>
      <w:r w:rsidRPr="00857CDA">
        <w:rPr>
          <w:lang w:val="ro-RO"/>
        </w:rPr>
        <w:t xml:space="preserve"> </w:t>
      </w:r>
      <w:r w:rsidR="00A54D21" w:rsidRPr="00857CDA">
        <w:rPr>
          <w:lang w:val="ro-RO"/>
        </w:rPr>
        <w:t>la sfârșit următoarea frază nouă</w:t>
      </w:r>
      <w:r w:rsidRPr="00857CDA">
        <w:rPr>
          <w:lang w:val="ro-RO"/>
        </w:rPr>
        <w:t xml:space="preserve">: </w:t>
      </w:r>
      <w:r w:rsidR="00C862F4" w:rsidRPr="00857CDA">
        <w:rPr>
          <w:szCs w:val="22"/>
          <w:lang w:val="ro-RO"/>
        </w:rPr>
        <w:t>„</w:t>
      </w:r>
      <w:r w:rsidR="00902C44" w:rsidRPr="00857CDA">
        <w:rPr>
          <w:lang w:val="ro-RO"/>
        </w:rPr>
        <w:t xml:space="preserve">În </w:t>
      </w:r>
      <w:r w:rsidR="00C862F4" w:rsidRPr="00857CDA">
        <w:rPr>
          <w:lang w:val="ro-RO"/>
        </w:rPr>
        <w:t>cazul de la</w:t>
      </w:r>
      <w:r w:rsidRPr="00857CDA">
        <w:rPr>
          <w:lang w:val="ro-RO"/>
        </w:rPr>
        <w:t xml:space="preserve"> 1.4.2.2.1 c), </w:t>
      </w:r>
      <w:r w:rsidR="00C862F4" w:rsidRPr="00857CDA">
        <w:rPr>
          <w:lang w:val="ro-RO"/>
        </w:rPr>
        <w:t>acesta poate să se bazeze pe cele atestate de</w:t>
      </w:r>
      <w:r w:rsidRPr="00857CDA">
        <w:rPr>
          <w:lang w:val="ro-RO"/>
        </w:rPr>
        <w:t xml:space="preserve"> </w:t>
      </w:r>
      <w:r w:rsidR="00C862F4" w:rsidRPr="00857CDA">
        <w:rPr>
          <w:szCs w:val="22"/>
          <w:lang w:val="ro-RO"/>
        </w:rPr>
        <w:t>„</w:t>
      </w:r>
      <w:r w:rsidR="00C862F4" w:rsidRPr="00857CDA">
        <w:rPr>
          <w:lang w:val="ro-RO"/>
        </w:rPr>
        <w:t>Certificatul de încărcare a containerului sau a vehiculului</w:t>
      </w:r>
      <w:r w:rsidR="00660131" w:rsidRPr="00857CDA">
        <w:rPr>
          <w:lang w:val="ro-RO"/>
        </w:rPr>
        <w:t>”</w:t>
      </w:r>
      <w:r w:rsidRPr="00857CDA">
        <w:rPr>
          <w:lang w:val="ro-RO"/>
        </w:rPr>
        <w:t xml:space="preserve"> furni</w:t>
      </w:r>
      <w:r w:rsidR="00C862F4" w:rsidRPr="00857CDA">
        <w:rPr>
          <w:lang w:val="ro-RO"/>
        </w:rPr>
        <w:t xml:space="preserve">zat în conformitate cu </w:t>
      </w:r>
      <w:r w:rsidRPr="00857CDA">
        <w:rPr>
          <w:lang w:val="ro-RO"/>
        </w:rPr>
        <w:t>5.4.2.</w:t>
      </w:r>
      <w:r w:rsidR="00660131" w:rsidRPr="00857CDA">
        <w:rPr>
          <w:lang w:val="ro-RO"/>
        </w:rPr>
        <w:t>”</w:t>
      </w:r>
      <w:r w:rsidRPr="00857CDA">
        <w:rPr>
          <w:lang w:val="ro-RO"/>
        </w:rPr>
        <w:t>.</w:t>
      </w:r>
    </w:p>
    <w:p w:rsidR="009B2786" w:rsidRPr="00857CDA" w:rsidRDefault="009B2786" w:rsidP="009B278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1.6</w:t>
      </w:r>
    </w:p>
    <w:p w:rsidR="00A23ED2" w:rsidRPr="00857CDA" w:rsidRDefault="00A23ED2" w:rsidP="00A23ED2">
      <w:pPr>
        <w:tabs>
          <w:tab w:val="left" w:pos="1985"/>
          <w:tab w:val="left" w:pos="2268"/>
        </w:tabs>
        <w:spacing w:after="120"/>
        <w:ind w:left="1134" w:right="1134"/>
        <w:jc w:val="both"/>
        <w:rPr>
          <w:lang w:val="ro-RO"/>
        </w:rPr>
      </w:pPr>
      <w:r w:rsidRPr="00857CDA">
        <w:rPr>
          <w:lang w:val="ro-RO"/>
        </w:rPr>
        <w:t>1.6.1.1</w:t>
      </w:r>
      <w:r w:rsidRPr="00857CDA">
        <w:rPr>
          <w:lang w:val="ro-RO"/>
        </w:rPr>
        <w:tab/>
      </w:r>
      <w:r w:rsidR="00902C44" w:rsidRPr="00857CDA">
        <w:rPr>
          <w:lang w:val="ro-RO"/>
        </w:rPr>
        <w:t>Se modifică</w:t>
      </w:r>
      <w:r w:rsidRPr="00857CDA">
        <w:rPr>
          <w:lang w:val="ro-RO"/>
        </w:rPr>
        <w:t xml:space="preserve"> </w:t>
      </w:r>
      <w:r w:rsidR="00C862F4" w:rsidRPr="00857CDA">
        <w:rPr>
          <w:sz w:val="22"/>
          <w:szCs w:val="22"/>
          <w:lang w:val="ro-RO"/>
        </w:rPr>
        <w:t>„</w:t>
      </w:r>
      <w:r w:rsidRPr="00857CDA">
        <w:rPr>
          <w:lang w:val="ro-RO"/>
        </w:rPr>
        <w:t>30 </w:t>
      </w:r>
      <w:r w:rsidR="00C862F4" w:rsidRPr="00857CDA">
        <w:rPr>
          <w:lang w:val="ro-RO"/>
        </w:rPr>
        <w:t>iunie</w:t>
      </w:r>
      <w:r w:rsidRPr="00857CDA">
        <w:rPr>
          <w:lang w:val="ro-RO"/>
        </w:rPr>
        <w:t xml:space="preserve"> 2017</w:t>
      </w:r>
      <w:r w:rsidR="00660131" w:rsidRPr="00857CDA">
        <w:rPr>
          <w:lang w:val="ro-RO"/>
        </w:rPr>
        <w:t>”</w:t>
      </w:r>
      <w:r w:rsidR="00902C44" w:rsidRPr="00857CDA">
        <w:rPr>
          <w:lang w:val="ro-RO"/>
        </w:rPr>
        <w:t xml:space="preserve"> cu </w:t>
      </w:r>
      <w:r w:rsidR="00C862F4" w:rsidRPr="00857CDA">
        <w:rPr>
          <w:sz w:val="22"/>
          <w:szCs w:val="22"/>
          <w:lang w:val="ro-RO"/>
        </w:rPr>
        <w:t>„</w:t>
      </w:r>
      <w:r w:rsidRPr="00857CDA">
        <w:rPr>
          <w:lang w:val="ro-RO"/>
        </w:rPr>
        <w:t>30 </w:t>
      </w:r>
      <w:r w:rsidR="00C862F4" w:rsidRPr="00857CDA">
        <w:rPr>
          <w:lang w:val="ro-RO"/>
        </w:rPr>
        <w:t>iunie</w:t>
      </w:r>
      <w:r w:rsidRPr="00857CDA">
        <w:rPr>
          <w:lang w:val="ro-RO"/>
        </w:rPr>
        <w:t xml:space="preserve"> 2019</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C862F4" w:rsidRPr="00857CDA">
        <w:rPr>
          <w:sz w:val="22"/>
          <w:szCs w:val="22"/>
          <w:lang w:val="ro-RO"/>
        </w:rPr>
        <w:t>„</w:t>
      </w:r>
      <w:r w:rsidRPr="00857CDA">
        <w:rPr>
          <w:lang w:val="ro-RO"/>
        </w:rPr>
        <w:t>31 d</w:t>
      </w:r>
      <w:r w:rsidR="00C862F4" w:rsidRPr="00857CDA">
        <w:rPr>
          <w:lang w:val="ro-RO"/>
        </w:rPr>
        <w:t>e</w:t>
      </w:r>
      <w:r w:rsidRPr="00857CDA">
        <w:rPr>
          <w:lang w:val="ro-RO"/>
        </w:rPr>
        <w:t>cembr</w:t>
      </w:r>
      <w:r w:rsidR="00C862F4" w:rsidRPr="00857CDA">
        <w:rPr>
          <w:lang w:val="ro-RO"/>
        </w:rPr>
        <w:t>i</w:t>
      </w:r>
      <w:r w:rsidRPr="00857CDA">
        <w:rPr>
          <w:lang w:val="ro-RO"/>
        </w:rPr>
        <w:t>e 2016</w:t>
      </w:r>
      <w:r w:rsidR="00660131" w:rsidRPr="00857CDA">
        <w:rPr>
          <w:lang w:val="ro-RO"/>
        </w:rPr>
        <w:t>”</w:t>
      </w:r>
      <w:r w:rsidR="00902C44" w:rsidRPr="00857CDA">
        <w:rPr>
          <w:lang w:val="ro-RO"/>
        </w:rPr>
        <w:t xml:space="preserve"> cu </w:t>
      </w:r>
      <w:r w:rsidR="00C862F4" w:rsidRPr="00857CDA">
        <w:rPr>
          <w:sz w:val="22"/>
          <w:szCs w:val="22"/>
          <w:lang w:val="ro-RO"/>
        </w:rPr>
        <w:t>„</w:t>
      </w:r>
      <w:r w:rsidRPr="00857CDA">
        <w:rPr>
          <w:lang w:val="ro-RO"/>
        </w:rPr>
        <w:t>31 d</w:t>
      </w:r>
      <w:r w:rsidR="00C862F4" w:rsidRPr="00857CDA">
        <w:rPr>
          <w:lang w:val="ro-RO"/>
        </w:rPr>
        <w:t>e</w:t>
      </w:r>
      <w:r w:rsidRPr="00857CDA">
        <w:rPr>
          <w:lang w:val="ro-RO"/>
        </w:rPr>
        <w:t>cembr</w:t>
      </w:r>
      <w:r w:rsidR="00C862F4" w:rsidRPr="00857CDA">
        <w:rPr>
          <w:lang w:val="ro-RO"/>
        </w:rPr>
        <w:t>i</w:t>
      </w:r>
      <w:r w:rsidRPr="00857CDA">
        <w:rPr>
          <w:lang w:val="ro-RO"/>
        </w:rPr>
        <w:t>e 2018</w:t>
      </w:r>
      <w:r w:rsidR="00660131" w:rsidRPr="00857CDA">
        <w:rPr>
          <w:lang w:val="ro-RO"/>
        </w:rPr>
        <w:t>”</w:t>
      </w:r>
      <w:r w:rsidRPr="00857CDA">
        <w:rPr>
          <w:lang w:val="ro-RO"/>
        </w:rPr>
        <w:t>.</w:t>
      </w:r>
    </w:p>
    <w:p w:rsidR="007E45F0" w:rsidRPr="00857CDA" w:rsidRDefault="00902C44" w:rsidP="007E45F0">
      <w:pPr>
        <w:pStyle w:val="SingleTxtG"/>
        <w:rPr>
          <w:lang w:val="ro-RO"/>
        </w:rPr>
      </w:pPr>
      <w:r w:rsidRPr="00857CDA">
        <w:rPr>
          <w:lang w:val="ro-RO"/>
        </w:rPr>
        <w:t>Se șterg</w:t>
      </w:r>
      <w:r w:rsidR="00C862F4" w:rsidRPr="00857CDA">
        <w:rPr>
          <w:lang w:val="ro-RO"/>
        </w:rPr>
        <w:t xml:space="preserve"> măsurile tranzitorii</w:t>
      </w:r>
      <w:r w:rsidR="007E45F0" w:rsidRPr="00857CDA">
        <w:rPr>
          <w:lang w:val="ro-RO"/>
        </w:rPr>
        <w:t xml:space="preserve"> 1.6.1.21</w:t>
      </w:r>
      <w:r w:rsidR="000A4478" w:rsidRPr="00857CDA">
        <w:rPr>
          <w:lang w:val="ro-RO"/>
        </w:rPr>
        <w:t>,</w:t>
      </w:r>
      <w:r w:rsidR="007E45F0" w:rsidRPr="00857CDA">
        <w:rPr>
          <w:lang w:val="ro-RO"/>
        </w:rPr>
        <w:t xml:space="preserve"> </w:t>
      </w:r>
      <w:r w:rsidR="000A4478" w:rsidRPr="00857CDA">
        <w:rPr>
          <w:lang w:val="ro-RO"/>
        </w:rPr>
        <w:t xml:space="preserve">1.6.1.25, </w:t>
      </w:r>
      <w:r w:rsidR="007E45F0" w:rsidRPr="00857CDA">
        <w:rPr>
          <w:lang w:val="ro-RO"/>
        </w:rPr>
        <w:t>1.6.1.35</w:t>
      </w:r>
      <w:r w:rsidR="000A4478" w:rsidRPr="00857CDA">
        <w:rPr>
          <w:lang w:val="ro-RO"/>
        </w:rPr>
        <w:t>,</w:t>
      </w:r>
      <w:r w:rsidR="007E45F0" w:rsidRPr="00857CDA">
        <w:rPr>
          <w:lang w:val="ro-RO"/>
        </w:rPr>
        <w:t xml:space="preserve"> </w:t>
      </w:r>
      <w:r w:rsidR="000A4478" w:rsidRPr="00857CDA">
        <w:rPr>
          <w:lang w:val="ro-RO"/>
        </w:rPr>
        <w:t>1.6.1.39, 1.6.1.40</w:t>
      </w:r>
      <w:r w:rsidR="004C27AD" w:rsidRPr="00857CDA">
        <w:rPr>
          <w:lang w:val="ro-RO"/>
        </w:rPr>
        <w:t xml:space="preserve"> și </w:t>
      </w:r>
      <w:r w:rsidR="000A4478" w:rsidRPr="00857CDA">
        <w:rPr>
          <w:lang w:val="ro-RO"/>
        </w:rPr>
        <w:t>1.6.1.42</w:t>
      </w:r>
      <w:r w:rsidR="004C27AD" w:rsidRPr="00857CDA">
        <w:rPr>
          <w:lang w:val="ro-RO"/>
        </w:rPr>
        <w:t xml:space="preserve"> și </w:t>
      </w:r>
      <w:r w:rsidRPr="00857CDA">
        <w:rPr>
          <w:lang w:val="ro-RO"/>
        </w:rPr>
        <w:t>se adaugă</w:t>
      </w:r>
      <w:r w:rsidR="007E45F0" w:rsidRPr="00857CDA">
        <w:rPr>
          <w:lang w:val="ro-RO"/>
        </w:rPr>
        <w:t xml:space="preserve"> </w:t>
      </w:r>
      <w:r w:rsidR="00C862F4" w:rsidRPr="00857CDA">
        <w:rPr>
          <w:szCs w:val="22"/>
          <w:lang w:val="ro-RO"/>
        </w:rPr>
        <w:t>„</w:t>
      </w:r>
      <w:r w:rsidR="007E45F0" w:rsidRPr="00857CDA">
        <w:rPr>
          <w:i/>
          <w:iCs/>
          <w:lang w:val="ro-RO"/>
        </w:rPr>
        <w:t>(</w:t>
      </w:r>
      <w:r w:rsidR="004C27AD" w:rsidRPr="00857CDA">
        <w:rPr>
          <w:i/>
          <w:iCs/>
          <w:lang w:val="ro-RO"/>
        </w:rPr>
        <w:t>Șters</w:t>
      </w:r>
      <w:r w:rsidR="007E45F0" w:rsidRPr="00857CDA">
        <w:rPr>
          <w:i/>
          <w:iCs/>
          <w:lang w:val="ro-RO"/>
        </w:rPr>
        <w:t>)</w:t>
      </w:r>
      <w:r w:rsidR="00660131" w:rsidRPr="00857CDA">
        <w:rPr>
          <w:lang w:val="ro-RO"/>
        </w:rPr>
        <w:t>”</w:t>
      </w:r>
      <w:r w:rsidR="007E45F0" w:rsidRPr="00857CDA">
        <w:rPr>
          <w:lang w:val="ro-RO"/>
        </w:rPr>
        <w:t xml:space="preserve">. </w:t>
      </w:r>
    </w:p>
    <w:p w:rsidR="009B2786" w:rsidRPr="00857CDA" w:rsidRDefault="009B2786" w:rsidP="009B2786">
      <w:pPr>
        <w:pStyle w:val="SingleTxtG"/>
        <w:rPr>
          <w:lang w:val="ro-RO"/>
        </w:rPr>
      </w:pPr>
      <w:r w:rsidRPr="00857CDA">
        <w:rPr>
          <w:lang w:val="ro-RO"/>
        </w:rPr>
        <w:t>1.6.1.40</w:t>
      </w:r>
      <w:r w:rsidRPr="00857CDA">
        <w:rPr>
          <w:lang w:val="ro-RO"/>
        </w:rPr>
        <w:tab/>
      </w:r>
      <w:r w:rsidR="00902C44" w:rsidRPr="00857CDA">
        <w:rPr>
          <w:lang w:val="ro-RO"/>
        </w:rPr>
        <w:t>Se modifică</w:t>
      </w:r>
      <w:r w:rsidRPr="00857CDA">
        <w:rPr>
          <w:lang w:val="ro-RO"/>
        </w:rPr>
        <w:t xml:space="preserve"> </w:t>
      </w:r>
      <w:r w:rsidR="00C862F4" w:rsidRPr="00857CDA">
        <w:rPr>
          <w:szCs w:val="22"/>
          <w:lang w:val="ro-RO"/>
        </w:rPr>
        <w:t>„</w:t>
      </w:r>
      <w:r w:rsidR="00936848" w:rsidRPr="00857CDA">
        <w:rPr>
          <w:lang w:val="ro-RO"/>
        </w:rPr>
        <w:t>eticheta</w:t>
      </w:r>
      <w:r w:rsidRPr="00857CDA">
        <w:rPr>
          <w:lang w:val="ro-RO"/>
        </w:rPr>
        <w:t xml:space="preserve"> de </w:t>
      </w:r>
      <w:r w:rsidR="002B679C" w:rsidRPr="00857CDA">
        <w:rPr>
          <w:lang w:val="ro-RO"/>
        </w:rPr>
        <w:t>risc</w:t>
      </w:r>
      <w:r w:rsidRPr="00857CDA">
        <w:rPr>
          <w:lang w:val="ro-RO"/>
        </w:rPr>
        <w:t xml:space="preserve"> </w:t>
      </w:r>
      <w:r w:rsidR="00936848" w:rsidRPr="00857CDA">
        <w:rPr>
          <w:lang w:val="ro-RO"/>
        </w:rPr>
        <w:t>secundar</w:t>
      </w:r>
      <w:r w:rsidR="00660131" w:rsidRPr="00857CDA">
        <w:rPr>
          <w:lang w:val="ro-RO"/>
        </w:rPr>
        <w:t>”</w:t>
      </w:r>
      <w:r w:rsidR="00902C44" w:rsidRPr="00857CDA">
        <w:rPr>
          <w:lang w:val="ro-RO"/>
        </w:rPr>
        <w:t xml:space="preserve"> cu </w:t>
      </w:r>
      <w:r w:rsidR="00C862F4" w:rsidRPr="00857CDA">
        <w:rPr>
          <w:szCs w:val="22"/>
          <w:lang w:val="ro-RO"/>
        </w:rPr>
        <w:t>„</w:t>
      </w:r>
      <w:r w:rsidR="00936848" w:rsidRPr="00857CDA">
        <w:rPr>
          <w:lang w:val="ro-RO"/>
        </w:rPr>
        <w:t>eticheta</w:t>
      </w:r>
      <w:r w:rsidRPr="00857CDA">
        <w:rPr>
          <w:lang w:val="ro-RO"/>
        </w:rPr>
        <w:t xml:space="preserve"> de </w:t>
      </w:r>
      <w:r w:rsidR="002B679C" w:rsidRPr="00857CDA">
        <w:rPr>
          <w:lang w:val="ro-RO"/>
        </w:rPr>
        <w:t>pericol</w:t>
      </w:r>
      <w:r w:rsidRPr="00857CDA">
        <w:rPr>
          <w:lang w:val="ro-RO"/>
        </w:rPr>
        <w:t xml:space="preserve"> </w:t>
      </w:r>
      <w:r w:rsidR="00936848" w:rsidRPr="00857CDA">
        <w:rPr>
          <w:lang w:val="ro-RO"/>
        </w:rPr>
        <w:t>secundar</w:t>
      </w:r>
      <w:r w:rsidR="00660131" w:rsidRPr="00857CDA">
        <w:rPr>
          <w:lang w:val="ro-RO"/>
        </w:rPr>
        <w:t>”</w:t>
      </w:r>
      <w:r w:rsidRPr="00857CDA">
        <w:rPr>
          <w:lang w:val="ro-RO"/>
        </w:rPr>
        <w:t>.</w:t>
      </w:r>
    </w:p>
    <w:p w:rsidR="009B2786" w:rsidRPr="00857CDA" w:rsidRDefault="009B2786" w:rsidP="009B2786">
      <w:pPr>
        <w:pStyle w:val="SingleTxtG"/>
        <w:rPr>
          <w:lang w:val="ro-RO"/>
        </w:rPr>
      </w:pPr>
      <w:r w:rsidRPr="00857CDA">
        <w:rPr>
          <w:lang w:val="ro-RO"/>
        </w:rPr>
        <w:t>1.6.1.43</w:t>
      </w:r>
      <w:r w:rsidRPr="00857CDA">
        <w:rPr>
          <w:lang w:val="ro-RO"/>
        </w:rPr>
        <w:tab/>
      </w:r>
      <w:r w:rsidR="00902C44" w:rsidRPr="00857CDA">
        <w:rPr>
          <w:lang w:val="ro-RO"/>
        </w:rPr>
        <w:t>Se modifică</w:t>
      </w:r>
      <w:r w:rsidRPr="00857CDA">
        <w:rPr>
          <w:lang w:val="ro-RO"/>
        </w:rPr>
        <w:t xml:space="preserve"> </w:t>
      </w:r>
      <w:r w:rsidR="00C862F4" w:rsidRPr="00857CDA">
        <w:rPr>
          <w:szCs w:val="22"/>
          <w:lang w:val="ro-RO"/>
        </w:rPr>
        <w:t>„</w:t>
      </w:r>
      <w:r w:rsidRPr="00857CDA">
        <w:rPr>
          <w:lang w:val="ro-RO"/>
        </w:rPr>
        <w:t>240, 385</w:t>
      </w:r>
      <w:r w:rsidR="004C27AD" w:rsidRPr="00857CDA">
        <w:rPr>
          <w:lang w:val="ro-RO"/>
        </w:rPr>
        <w:t xml:space="preserve"> și </w:t>
      </w:r>
      <w:r w:rsidRPr="00857CDA">
        <w:rPr>
          <w:lang w:val="ro-RO"/>
        </w:rPr>
        <w:t>669</w:t>
      </w:r>
      <w:r w:rsidR="00660131" w:rsidRPr="00857CDA">
        <w:rPr>
          <w:lang w:val="ro-RO"/>
        </w:rPr>
        <w:t>”</w:t>
      </w:r>
      <w:r w:rsidR="00902C44" w:rsidRPr="00857CDA">
        <w:rPr>
          <w:lang w:val="ro-RO"/>
        </w:rPr>
        <w:t xml:space="preserve"> cu </w:t>
      </w:r>
      <w:r w:rsidR="00C862F4" w:rsidRPr="00857CDA">
        <w:rPr>
          <w:sz w:val="22"/>
          <w:szCs w:val="22"/>
          <w:lang w:val="ro-RO"/>
        </w:rPr>
        <w:t>„</w:t>
      </w:r>
      <w:r w:rsidRPr="00857CDA">
        <w:rPr>
          <w:lang w:val="ro-RO"/>
        </w:rPr>
        <w:t>388</w:t>
      </w:r>
      <w:r w:rsidR="004C27AD" w:rsidRPr="00857CDA">
        <w:rPr>
          <w:lang w:val="ro-RO"/>
        </w:rPr>
        <w:t xml:space="preserve"> și </w:t>
      </w:r>
      <w:r w:rsidRPr="00857CDA">
        <w:rPr>
          <w:lang w:val="ro-RO"/>
        </w:rPr>
        <w:t>669</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995AE9" w:rsidRPr="00857CDA">
        <w:rPr>
          <w:szCs w:val="22"/>
          <w:lang w:val="ro-RO"/>
        </w:rPr>
        <w:t>„</w:t>
      </w:r>
      <w:r w:rsidRPr="00857CDA">
        <w:rPr>
          <w:lang w:val="ro-RO"/>
        </w:rPr>
        <w:t>prescrip</w:t>
      </w:r>
      <w:r w:rsidR="00C862F4" w:rsidRPr="00857CDA">
        <w:rPr>
          <w:lang w:val="ro-RO"/>
        </w:rPr>
        <w:t>țiile de la</w:t>
      </w:r>
      <w:r w:rsidRPr="00857CDA">
        <w:rPr>
          <w:lang w:val="ro-RO"/>
        </w:rPr>
        <w:t xml:space="preserve"> 2.2.9.1.7</w:t>
      </w:r>
      <w:r w:rsidR="00660131" w:rsidRPr="00857CDA">
        <w:rPr>
          <w:lang w:val="ro-RO"/>
        </w:rPr>
        <w:t>”</w:t>
      </w:r>
      <w:r w:rsidR="00902C44" w:rsidRPr="00857CDA">
        <w:rPr>
          <w:lang w:val="ro-RO"/>
        </w:rPr>
        <w:t xml:space="preserve"> cu </w:t>
      </w:r>
      <w:r w:rsidR="00995AE9" w:rsidRPr="00857CDA">
        <w:rPr>
          <w:szCs w:val="22"/>
          <w:lang w:val="ro-RO"/>
        </w:rPr>
        <w:t>„</w:t>
      </w:r>
      <w:r w:rsidRPr="00857CDA">
        <w:rPr>
          <w:lang w:val="ro-RO"/>
        </w:rPr>
        <w:t>dispo</w:t>
      </w:r>
      <w:r w:rsidR="00C862F4" w:rsidRPr="00857CDA">
        <w:rPr>
          <w:lang w:val="ro-RO"/>
        </w:rPr>
        <w:t>zițiile de la</w:t>
      </w:r>
      <w:r w:rsidRPr="00857CDA">
        <w:rPr>
          <w:lang w:val="ro-RO"/>
        </w:rPr>
        <w:t xml:space="preserve"> 2.2.9.1.7</w:t>
      </w:r>
      <w:r w:rsidR="00660131" w:rsidRPr="00857CDA">
        <w:rPr>
          <w:lang w:val="ro-RO"/>
        </w:rPr>
        <w:t>”</w:t>
      </w:r>
      <w:r w:rsidRPr="00857CDA">
        <w:rPr>
          <w:lang w:val="ro-RO"/>
        </w:rPr>
        <w:t xml:space="preserve">. </w:t>
      </w:r>
    </w:p>
    <w:p w:rsidR="004069B1" w:rsidRPr="00857CDA" w:rsidRDefault="004069B1" w:rsidP="004069B1">
      <w:pPr>
        <w:pStyle w:val="SingleTxtG"/>
        <w:tabs>
          <w:tab w:val="left" w:pos="2268"/>
        </w:tabs>
        <w:rPr>
          <w:lang w:val="ro-RO"/>
        </w:rPr>
      </w:pPr>
      <w:r w:rsidRPr="00857CDA">
        <w:rPr>
          <w:lang w:val="ro-RO"/>
        </w:rPr>
        <w:t>1.6.1</w:t>
      </w:r>
      <w:r w:rsidRPr="00857CDA">
        <w:rPr>
          <w:lang w:val="ro-RO"/>
        </w:rPr>
        <w:tab/>
      </w:r>
      <w:r w:rsidR="00C862F4" w:rsidRPr="00857CDA">
        <w:rPr>
          <w:lang w:val="ro-RO"/>
        </w:rPr>
        <w:t>Se adaugă următoarele măsuri tranzitorii noi</w:t>
      </w:r>
      <w:r w:rsidRPr="00857CDA">
        <w:rPr>
          <w:lang w:val="ro-RO"/>
        </w:rPr>
        <w:t>:</w:t>
      </w:r>
    </w:p>
    <w:p w:rsidR="004069B1" w:rsidRPr="00857CDA" w:rsidRDefault="00091658" w:rsidP="008101EA">
      <w:pPr>
        <w:pStyle w:val="SingleTxtG"/>
        <w:rPr>
          <w:lang w:val="ro-RO"/>
        </w:rPr>
      </w:pPr>
      <w:r w:rsidRPr="00857CDA">
        <w:rPr>
          <w:lang w:val="ro-RO"/>
        </w:rPr>
        <w:lastRenderedPageBreak/>
        <w:t>„</w:t>
      </w:r>
      <w:r w:rsidR="004069B1" w:rsidRPr="00857CDA">
        <w:rPr>
          <w:lang w:val="ro-RO"/>
        </w:rPr>
        <w:t>1.6.1.44</w:t>
      </w:r>
      <w:r w:rsidR="004069B1" w:rsidRPr="00857CDA">
        <w:rPr>
          <w:lang w:val="ro-RO"/>
        </w:rPr>
        <w:tab/>
      </w:r>
      <w:r w:rsidR="008101EA" w:rsidRPr="00857CDA">
        <w:rPr>
          <w:lang w:val="ro-RO"/>
        </w:rPr>
        <w:t xml:space="preserve">Întreprinderile implicate în transportul de mărfuri periculoase numai ca expeditori care nu au obligația de a desemna un consilier de siguranță pe baza dispozițiilor aplicabile până la 31 decembrie 2018, prin derogare de la dispozițiile de la 1.8.3.1 aplicabile de la 1 ianuarie 2019, vor </w:t>
      </w:r>
      <w:r w:rsidR="00E81D2E" w:rsidRPr="00857CDA">
        <w:rPr>
          <w:lang w:val="ro-RO"/>
        </w:rPr>
        <w:t>numi</w:t>
      </w:r>
      <w:r w:rsidR="008101EA" w:rsidRPr="00857CDA">
        <w:rPr>
          <w:lang w:val="ro-RO"/>
        </w:rPr>
        <w:t xml:space="preserve"> un consilier de siguranță până la 31 decembrie 2022</w:t>
      </w:r>
      <w:r w:rsidR="004069B1" w:rsidRPr="00857CDA">
        <w:rPr>
          <w:lang w:val="ro-RO"/>
        </w:rPr>
        <w:t>.</w:t>
      </w:r>
      <w:r w:rsidR="00660131" w:rsidRPr="00857CDA">
        <w:rPr>
          <w:lang w:val="ro-RO"/>
        </w:rPr>
        <w:t>”</w:t>
      </w:r>
      <w:r w:rsidR="00E70B2E" w:rsidRPr="00857CDA">
        <w:rPr>
          <w:lang w:val="ro-RO"/>
        </w:rPr>
        <w:t>.</w:t>
      </w:r>
    </w:p>
    <w:p w:rsidR="004069B1" w:rsidRPr="00857CDA" w:rsidRDefault="00091658" w:rsidP="008101EA">
      <w:pPr>
        <w:pStyle w:val="SingleTxtG"/>
        <w:rPr>
          <w:iCs/>
          <w:lang w:val="ro-RO"/>
        </w:rPr>
      </w:pPr>
      <w:r w:rsidRPr="00857CDA">
        <w:rPr>
          <w:lang w:val="ro-RO"/>
        </w:rPr>
        <w:t>„</w:t>
      </w:r>
      <w:r w:rsidR="004069B1" w:rsidRPr="00857CDA">
        <w:rPr>
          <w:iCs/>
          <w:lang w:val="ro-RO"/>
        </w:rPr>
        <w:t>1.6.1.45</w:t>
      </w:r>
      <w:r w:rsidR="004069B1" w:rsidRPr="00857CDA">
        <w:rPr>
          <w:iCs/>
          <w:lang w:val="ro-RO"/>
        </w:rPr>
        <w:tab/>
      </w:r>
      <w:r w:rsidR="008101EA" w:rsidRPr="00857CDA">
        <w:rPr>
          <w:iCs/>
          <w:lang w:val="ro-RO"/>
        </w:rPr>
        <w:t>Părțile contractante pot să elibereze certificate de pregătire profesională a consilierilor de siguranță conforme cu modelul aplicabil până la 31 decembrie 2018 în locul certificatelor care respectă prescripțiile de la paragraful 1.8.3.18 aplicabile începând cu 1 ianuarie 2019, până la 31 decembrie 2020. Aceste certificate pot continua să fie utilizate până la sfârșitul perioadei lor de valabilitate de cinci ani</w:t>
      </w:r>
      <w:r w:rsidR="004069B1" w:rsidRPr="00857CDA">
        <w:rPr>
          <w:szCs w:val="24"/>
          <w:lang w:val="ro-RO"/>
        </w:rPr>
        <w:t>.</w:t>
      </w:r>
      <w:r w:rsidR="00660131" w:rsidRPr="00857CDA">
        <w:rPr>
          <w:iCs/>
          <w:lang w:val="ro-RO"/>
        </w:rPr>
        <w:t>”</w:t>
      </w:r>
      <w:r w:rsidR="004069B1" w:rsidRPr="00857CDA">
        <w:rPr>
          <w:iCs/>
          <w:lang w:val="ro-RO"/>
        </w:rPr>
        <w:t>.</w:t>
      </w:r>
    </w:p>
    <w:p w:rsidR="000826EA" w:rsidRPr="00857CDA" w:rsidRDefault="00091658" w:rsidP="007D5A94">
      <w:pPr>
        <w:pStyle w:val="SingleTxtG"/>
        <w:rPr>
          <w:lang w:val="ro-RO"/>
        </w:rPr>
      </w:pPr>
      <w:r w:rsidRPr="00857CDA">
        <w:rPr>
          <w:lang w:val="ro-RO"/>
        </w:rPr>
        <w:t>„</w:t>
      </w:r>
      <w:r w:rsidR="000826EA" w:rsidRPr="00857CDA">
        <w:rPr>
          <w:lang w:val="ro-RO"/>
        </w:rPr>
        <w:t>1.6.1.46</w:t>
      </w:r>
      <w:r w:rsidR="000826EA" w:rsidRPr="00857CDA">
        <w:rPr>
          <w:lang w:val="ro-RO"/>
        </w:rPr>
        <w:tab/>
      </w:r>
      <w:r w:rsidR="008101EA" w:rsidRPr="00857CDA">
        <w:rPr>
          <w:lang w:val="ro-RO"/>
        </w:rPr>
        <w:t xml:space="preserve">Transportul de </w:t>
      </w:r>
      <w:r w:rsidR="007D5A94" w:rsidRPr="00857CDA">
        <w:rPr>
          <w:lang w:val="ro-RO"/>
        </w:rPr>
        <w:t>utilaje</w:t>
      </w:r>
      <w:r w:rsidR="008101EA" w:rsidRPr="00857CDA">
        <w:rPr>
          <w:lang w:val="ro-RO"/>
        </w:rPr>
        <w:t xml:space="preserve"> și echipamente care nu sunt specificate în prezenta anexă, care includ, printre altele, mărfuri </w:t>
      </w:r>
      <w:r w:rsidR="007D5A94" w:rsidRPr="00857CDA">
        <w:rPr>
          <w:lang w:val="ro-RO"/>
        </w:rPr>
        <w:t>periculoase</w:t>
      </w:r>
      <w:r w:rsidR="008101EA" w:rsidRPr="00857CDA">
        <w:rPr>
          <w:lang w:val="ro-RO"/>
        </w:rPr>
        <w:t xml:space="preserve">, </w:t>
      </w:r>
      <w:r w:rsidR="007D5A94" w:rsidRPr="00857CDA">
        <w:rPr>
          <w:lang w:val="ro-RO"/>
        </w:rPr>
        <w:t>în echipamentele interne sau pe circuitele funcționale</w:t>
      </w:r>
      <w:r w:rsidR="008101EA" w:rsidRPr="00857CDA">
        <w:rPr>
          <w:lang w:val="ro-RO"/>
        </w:rPr>
        <w:t xml:space="preserve">, </w:t>
      </w:r>
      <w:r w:rsidR="007D5A94" w:rsidRPr="00857CDA">
        <w:rPr>
          <w:lang w:val="ro-RO"/>
        </w:rPr>
        <w:t xml:space="preserve">și </w:t>
      </w:r>
      <w:r w:rsidR="008101EA" w:rsidRPr="00857CDA">
        <w:rPr>
          <w:lang w:val="ro-RO"/>
        </w:rPr>
        <w:t xml:space="preserve">care sunt atribuite </w:t>
      </w:r>
      <w:r w:rsidR="007D5A94" w:rsidRPr="00857CDA">
        <w:rPr>
          <w:lang w:val="ro-RO"/>
        </w:rPr>
        <w:t>la Nr. ONU</w:t>
      </w:r>
      <w:r w:rsidR="008101EA" w:rsidRPr="00857CDA">
        <w:rPr>
          <w:lang w:val="ro-RO"/>
        </w:rPr>
        <w:t xml:space="preserve"> 3363, 3537, 3538, 3539, 3540, 3541, 3542, 3543, 3544, 3545, 3546, 3547 sau 3548, care au fost </w:t>
      </w:r>
      <w:r w:rsidR="007D5A94" w:rsidRPr="00857CDA">
        <w:rPr>
          <w:lang w:val="ro-RO"/>
        </w:rPr>
        <w:t>exceptate de</w:t>
      </w:r>
      <w:r w:rsidR="008101EA" w:rsidRPr="00857CDA">
        <w:rPr>
          <w:lang w:val="ro-RO"/>
        </w:rPr>
        <w:t xml:space="preserve"> </w:t>
      </w:r>
      <w:r w:rsidR="007D5A94" w:rsidRPr="00857CDA">
        <w:rPr>
          <w:lang w:val="ro-RO"/>
        </w:rPr>
        <w:t>la dispoziți</w:t>
      </w:r>
      <w:r w:rsidR="008101EA" w:rsidRPr="00857CDA">
        <w:rPr>
          <w:lang w:val="ro-RO"/>
        </w:rPr>
        <w:t xml:space="preserve">ile ADR </w:t>
      </w:r>
      <w:r w:rsidR="007D5A94" w:rsidRPr="00857CDA">
        <w:rPr>
          <w:lang w:val="ro-RO"/>
        </w:rPr>
        <w:t>în conformitate cu</w:t>
      </w:r>
      <w:r w:rsidR="008101EA" w:rsidRPr="00857CDA">
        <w:rPr>
          <w:lang w:val="ro-RO"/>
        </w:rPr>
        <w:t xml:space="preserve"> </w:t>
      </w:r>
      <w:r w:rsidR="007D5A94" w:rsidRPr="00857CDA">
        <w:rPr>
          <w:lang w:val="ro-RO"/>
        </w:rPr>
        <w:t xml:space="preserve">paragraful </w:t>
      </w:r>
      <w:r w:rsidR="008101EA" w:rsidRPr="00857CDA">
        <w:rPr>
          <w:lang w:val="ro-RO"/>
        </w:rPr>
        <w:t xml:space="preserve">1.1.3.1 (b), aplicabil până la 31 decembrie 2018, pot fi </w:t>
      </w:r>
      <w:r w:rsidR="007D5A94" w:rsidRPr="00857CDA">
        <w:rPr>
          <w:lang w:val="ro-RO"/>
        </w:rPr>
        <w:t>exceptate în continuare</w:t>
      </w:r>
      <w:r w:rsidR="008101EA" w:rsidRPr="00857CDA">
        <w:rPr>
          <w:lang w:val="ro-RO"/>
        </w:rPr>
        <w:t xml:space="preserve"> de la dispozițiile ADR până la 31 decembrie 2022, cu condiția să se ia măsuri pentru a preveni scurgerea conținutului în condiții normale de </w:t>
      </w:r>
      <w:r w:rsidR="007D5A94" w:rsidRPr="00857CDA">
        <w:rPr>
          <w:lang w:val="ro-RO"/>
        </w:rPr>
        <w:t>transport</w:t>
      </w:r>
      <w:r w:rsidR="000826EA" w:rsidRPr="00857CDA">
        <w:rPr>
          <w:lang w:val="ro-RO"/>
        </w:rPr>
        <w:t>.</w:t>
      </w:r>
      <w:r w:rsidR="00660131" w:rsidRPr="00857CDA">
        <w:rPr>
          <w:lang w:val="ro-RO"/>
        </w:rPr>
        <w:t>”</w:t>
      </w:r>
      <w:r w:rsidR="000826EA" w:rsidRPr="00857CDA">
        <w:rPr>
          <w:lang w:val="ro-RO"/>
        </w:rPr>
        <w:t>.</w:t>
      </w:r>
    </w:p>
    <w:p w:rsidR="00964098" w:rsidRPr="00857CDA" w:rsidRDefault="00964098" w:rsidP="00964098">
      <w:pPr>
        <w:tabs>
          <w:tab w:val="left" w:pos="1985"/>
          <w:tab w:val="left" w:pos="2268"/>
        </w:tabs>
        <w:spacing w:after="120"/>
        <w:ind w:left="1134" w:right="1134"/>
        <w:jc w:val="both"/>
        <w:rPr>
          <w:i/>
          <w:lang w:val="ro-RO"/>
        </w:rPr>
      </w:pPr>
      <w:r w:rsidRPr="00857CDA">
        <w:rPr>
          <w:lang w:val="ro-RO"/>
        </w:rPr>
        <w:t>1.6.3.17</w:t>
      </w:r>
      <w:r w:rsidR="004C27AD" w:rsidRPr="00857CDA">
        <w:rPr>
          <w:lang w:val="ro-RO"/>
        </w:rPr>
        <w:t xml:space="preserve"> și </w:t>
      </w:r>
      <w:r w:rsidRPr="00857CDA">
        <w:rPr>
          <w:lang w:val="ro-RO"/>
        </w:rPr>
        <w:t>1.6.3.42</w:t>
      </w:r>
      <w:r w:rsidRPr="00857CDA">
        <w:rPr>
          <w:lang w:val="ro-RO"/>
        </w:rPr>
        <w:tab/>
      </w:r>
      <w:r w:rsidR="00902C44" w:rsidRPr="00857CDA">
        <w:rPr>
          <w:lang w:val="ro-RO"/>
        </w:rPr>
        <w:t>Se șterge</w:t>
      </w:r>
      <w:r w:rsidR="004C27AD" w:rsidRPr="00857CDA">
        <w:rPr>
          <w:lang w:val="ro-RO"/>
        </w:rPr>
        <w:t xml:space="preserve"> și </w:t>
      </w:r>
      <w:r w:rsidR="00902C44" w:rsidRPr="00857CDA">
        <w:rPr>
          <w:lang w:val="ro-RO"/>
        </w:rPr>
        <w:t>se adaugă</w:t>
      </w:r>
      <w:r w:rsidRPr="00857CDA">
        <w:rPr>
          <w:lang w:val="ro-RO"/>
        </w:rPr>
        <w:t xml:space="preserve"> </w:t>
      </w:r>
      <w:r w:rsidR="00091658" w:rsidRPr="00857CDA">
        <w:rPr>
          <w:lang w:val="ro-RO"/>
        </w:rPr>
        <w:t>„</w:t>
      </w:r>
      <w:r w:rsidRPr="00857CDA">
        <w:rPr>
          <w:i/>
          <w:lang w:val="ro-RO"/>
        </w:rPr>
        <w:t>(</w:t>
      </w:r>
      <w:r w:rsidR="004C27AD" w:rsidRPr="00857CDA">
        <w:rPr>
          <w:i/>
          <w:lang w:val="ro-RO"/>
        </w:rPr>
        <w:t>Șters</w:t>
      </w:r>
      <w:r w:rsidRPr="00857CDA">
        <w:rPr>
          <w:i/>
          <w:lang w:val="ro-RO"/>
        </w:rPr>
        <w:t>)</w:t>
      </w:r>
      <w:r w:rsidR="00660131" w:rsidRPr="00857CDA">
        <w:rPr>
          <w:lang w:val="ro-RO"/>
        </w:rPr>
        <w:t>”</w:t>
      </w:r>
      <w:r w:rsidRPr="00857CDA">
        <w:rPr>
          <w:lang w:val="ro-RO"/>
        </w:rPr>
        <w:t>.</w:t>
      </w:r>
      <w:r w:rsidRPr="00857CDA">
        <w:rPr>
          <w:i/>
          <w:lang w:val="ro-RO"/>
        </w:rPr>
        <w:t xml:space="preserve"> </w:t>
      </w:r>
    </w:p>
    <w:p w:rsidR="003778F9" w:rsidRPr="00857CDA" w:rsidRDefault="003778F9" w:rsidP="006B06C2">
      <w:pPr>
        <w:tabs>
          <w:tab w:val="left" w:pos="2268"/>
        </w:tabs>
        <w:spacing w:after="120"/>
        <w:ind w:left="1134" w:right="1134"/>
        <w:jc w:val="both"/>
        <w:rPr>
          <w:lang w:val="ro-RO"/>
        </w:rPr>
      </w:pPr>
      <w:r w:rsidRPr="00857CDA">
        <w:rPr>
          <w:lang w:val="ro-RO"/>
        </w:rPr>
        <w:t>1.6.3.44</w:t>
      </w:r>
      <w:r w:rsidRPr="00857CDA">
        <w:rPr>
          <w:lang w:val="ro-RO"/>
        </w:rPr>
        <w:tab/>
      </w:r>
      <w:r w:rsidR="00902C44" w:rsidRPr="00857CDA">
        <w:rPr>
          <w:lang w:val="ro-RO"/>
        </w:rPr>
        <w:t>Se șterge</w:t>
      </w:r>
      <w:r w:rsidRPr="00857CDA">
        <w:rPr>
          <w:lang w:val="ro-RO"/>
        </w:rPr>
        <w:t xml:space="preserve"> </w:t>
      </w:r>
      <w:r w:rsidR="00D85951" w:rsidRPr="00857CDA">
        <w:rPr>
          <w:lang w:val="ro-RO"/>
        </w:rPr>
        <w:t>“ ,</w:t>
      </w:r>
      <w:r w:rsidR="00E966E5" w:rsidRPr="00857CDA">
        <w:rPr>
          <w:lang w:val="ro-RO"/>
        </w:rPr>
        <w:t xml:space="preserve"> pot fi utilizate în continuare, până la următoarea inspecţie intermediară sau periodică efectuată după 31 decembrie 2015</w:t>
      </w:r>
      <w:r w:rsidRPr="00857CDA">
        <w:rPr>
          <w:lang w:val="ro-RO"/>
        </w:rPr>
        <w:t xml:space="preserve">. </w:t>
      </w:r>
      <w:r w:rsidR="00E966E5" w:rsidRPr="00857CDA">
        <w:rPr>
          <w:lang w:val="ro-RO"/>
        </w:rPr>
        <w:t xml:space="preserve">După această dată, </w:t>
      </w:r>
      <w:r w:rsidR="00660131" w:rsidRPr="00857CDA">
        <w:rPr>
          <w:lang w:val="ro-RO"/>
        </w:rPr>
        <w:t>”</w:t>
      </w:r>
      <w:r w:rsidRPr="00857CDA">
        <w:rPr>
          <w:lang w:val="ro-RO"/>
        </w:rPr>
        <w:t>.</w:t>
      </w:r>
    </w:p>
    <w:p w:rsidR="00E70B2E" w:rsidRPr="00857CDA" w:rsidRDefault="00E70B2E" w:rsidP="00E70B2E">
      <w:pPr>
        <w:pStyle w:val="SingleTxtG"/>
        <w:tabs>
          <w:tab w:val="left" w:pos="2268"/>
        </w:tabs>
        <w:rPr>
          <w:lang w:val="ro-RO"/>
        </w:rPr>
      </w:pPr>
      <w:r w:rsidRPr="00857CDA">
        <w:rPr>
          <w:lang w:val="ro-RO"/>
        </w:rPr>
        <w:t>1.6.3</w:t>
      </w:r>
      <w:r w:rsidRPr="00857CDA">
        <w:rPr>
          <w:lang w:val="ro-RO"/>
        </w:rPr>
        <w:tab/>
      </w:r>
      <w:r w:rsidR="00902C44" w:rsidRPr="00857CDA">
        <w:rPr>
          <w:lang w:val="ro-RO"/>
        </w:rPr>
        <w:t>Se adaugă</w:t>
      </w:r>
      <w:r w:rsidRPr="00857CDA">
        <w:rPr>
          <w:lang w:val="ro-RO"/>
        </w:rPr>
        <w:t xml:space="preserve"> </w:t>
      </w:r>
      <w:r w:rsidR="00E966E5" w:rsidRPr="00857CDA">
        <w:rPr>
          <w:lang w:val="ro-RO"/>
        </w:rPr>
        <w:t>următoarele măsuri tranzitorii noi</w:t>
      </w:r>
      <w:r w:rsidR="00091658" w:rsidRPr="00857CDA">
        <w:rPr>
          <w:lang w:val="ro-RO"/>
        </w:rPr>
        <w:t>:</w:t>
      </w:r>
    </w:p>
    <w:p w:rsidR="00E70B2E" w:rsidRPr="00857CDA" w:rsidRDefault="00091658" w:rsidP="007823B8">
      <w:pPr>
        <w:pStyle w:val="SingleTxtG"/>
        <w:rPr>
          <w:lang w:val="ro-RO"/>
        </w:rPr>
      </w:pPr>
      <w:r w:rsidRPr="00857CDA">
        <w:rPr>
          <w:lang w:val="ro-RO"/>
        </w:rPr>
        <w:t>„</w:t>
      </w:r>
      <w:r w:rsidR="00E70B2E" w:rsidRPr="00857CDA">
        <w:rPr>
          <w:bCs/>
          <w:lang w:val="ro-RO"/>
        </w:rPr>
        <w:t>1.6.3.47</w:t>
      </w:r>
      <w:r w:rsidR="00E70B2E" w:rsidRPr="00857CDA">
        <w:rPr>
          <w:lang w:val="ro-RO"/>
        </w:rPr>
        <w:tab/>
      </w:r>
      <w:r w:rsidR="007823B8" w:rsidRPr="00857CDA">
        <w:rPr>
          <w:lang w:val="ro-RO"/>
        </w:rPr>
        <w:t>Cisternele fixe (vehiculele-cisternă) și cisterne demontabile construite înainte de 1 iulie 2019, echipate cu supape de siguranță care îndeplinesc prescripțiile aplicabile până la 31 decembrie 2018, dar care nu îndeplinesc prescripțiile ultimei fraze de la paragraful 6.8.3.2.9 cu privire la concepția sau protecția acestora, aplicabile de la 1 ianuarie 2019, pot fi utilizate până la următoarea inspecţie intermediară sau periodică, ce va avea loc după 1 ianuarie 2021</w:t>
      </w:r>
      <w:r w:rsidR="00E70B2E" w:rsidRPr="00857CDA">
        <w:rPr>
          <w:lang w:val="ro-RO"/>
        </w:rPr>
        <w:t>.</w:t>
      </w:r>
      <w:r w:rsidR="00660131" w:rsidRPr="00857CDA">
        <w:rPr>
          <w:lang w:val="ro-RO"/>
        </w:rPr>
        <w:t>”</w:t>
      </w:r>
      <w:r w:rsidR="00E70B2E" w:rsidRPr="00857CDA">
        <w:rPr>
          <w:lang w:val="ro-RO"/>
        </w:rPr>
        <w:t>.</w:t>
      </w:r>
    </w:p>
    <w:p w:rsidR="00E70B2E" w:rsidRPr="00857CDA" w:rsidRDefault="00091658" w:rsidP="00FA4863">
      <w:pPr>
        <w:pStyle w:val="SingleTxtG"/>
        <w:rPr>
          <w:lang w:val="ro-RO"/>
        </w:rPr>
      </w:pPr>
      <w:r w:rsidRPr="00857CDA">
        <w:rPr>
          <w:lang w:val="ro-RO"/>
        </w:rPr>
        <w:t>„</w:t>
      </w:r>
      <w:r w:rsidR="00E70B2E" w:rsidRPr="00857CDA">
        <w:rPr>
          <w:bCs/>
          <w:lang w:val="ro-RO"/>
        </w:rPr>
        <w:t>1.6.3.48</w:t>
      </w:r>
      <w:r w:rsidR="00E70B2E" w:rsidRPr="00857CDA">
        <w:rPr>
          <w:b/>
          <w:lang w:val="ro-RO"/>
        </w:rPr>
        <w:tab/>
      </w:r>
      <w:r w:rsidR="001228E4" w:rsidRPr="00857CDA">
        <w:rPr>
          <w:lang w:val="ro-RO"/>
        </w:rPr>
        <w:t>Fără a contraveni prescripțiilor Dispoziției speciale TU 42 din 4.3.5 aplicabile de la 1 ianuarie 2019, cisternele fixe (vehiculele-cistern</w:t>
      </w:r>
      <w:r w:rsidR="00FA4863" w:rsidRPr="00857CDA">
        <w:rPr>
          <w:lang w:val="ro-RO"/>
        </w:rPr>
        <w:t>ă</w:t>
      </w:r>
      <w:r w:rsidR="001228E4" w:rsidRPr="00857CDA">
        <w:rPr>
          <w:lang w:val="ro-RO"/>
        </w:rPr>
        <w:t xml:space="preserve">) și </w:t>
      </w:r>
      <w:r w:rsidR="00FA4863" w:rsidRPr="00857CDA">
        <w:rPr>
          <w:lang w:val="ro-RO"/>
        </w:rPr>
        <w:t>cisternele</w:t>
      </w:r>
      <w:r w:rsidR="001228E4" w:rsidRPr="00857CDA">
        <w:rPr>
          <w:lang w:val="ro-RO"/>
        </w:rPr>
        <w:t xml:space="preserve"> demontabile ale căror </w:t>
      </w:r>
      <w:r w:rsidR="00FA4863" w:rsidRPr="00857CDA">
        <w:rPr>
          <w:lang w:val="ro-RO"/>
        </w:rPr>
        <w:t>rezervoare</w:t>
      </w:r>
      <w:r w:rsidR="001228E4" w:rsidRPr="00857CDA">
        <w:rPr>
          <w:lang w:val="ro-RO"/>
        </w:rPr>
        <w:t xml:space="preserve"> sunt </w:t>
      </w:r>
      <w:r w:rsidR="00FA4863" w:rsidRPr="00857CDA">
        <w:rPr>
          <w:lang w:val="ro-RO"/>
        </w:rPr>
        <w:t>construite</w:t>
      </w:r>
      <w:r w:rsidR="001228E4" w:rsidRPr="00857CDA">
        <w:rPr>
          <w:lang w:val="ro-RO"/>
        </w:rPr>
        <w:t xml:space="preserve"> din aliaj</w:t>
      </w:r>
      <w:r w:rsidR="00FA4863" w:rsidRPr="00857CDA">
        <w:rPr>
          <w:lang w:val="ro-RO"/>
        </w:rPr>
        <w:t>e</w:t>
      </w:r>
      <w:r w:rsidR="001228E4" w:rsidRPr="00857CDA">
        <w:rPr>
          <w:lang w:val="ro-RO"/>
        </w:rPr>
        <w:t xml:space="preserve"> de aluminiu, inclusiv cele cu </w:t>
      </w:r>
      <w:r w:rsidR="00FA4863" w:rsidRPr="00857CDA">
        <w:rPr>
          <w:lang w:val="ro-RO"/>
        </w:rPr>
        <w:t>u</w:t>
      </w:r>
      <w:r w:rsidR="001228E4" w:rsidRPr="00857CDA">
        <w:rPr>
          <w:lang w:val="ro-RO"/>
        </w:rPr>
        <w:t xml:space="preserve">n </w:t>
      </w:r>
      <w:r w:rsidR="00FA4863" w:rsidRPr="00857CDA">
        <w:rPr>
          <w:lang w:val="ro-RO"/>
        </w:rPr>
        <w:t>înveliș</w:t>
      </w:r>
      <w:r w:rsidR="001228E4" w:rsidRPr="00857CDA">
        <w:rPr>
          <w:lang w:val="ro-RO"/>
        </w:rPr>
        <w:t xml:space="preserve"> de protecție care a</w:t>
      </w:r>
      <w:r w:rsidR="00FA4863" w:rsidRPr="00857CDA">
        <w:rPr>
          <w:lang w:val="ro-RO"/>
        </w:rPr>
        <w:t>u</w:t>
      </w:r>
      <w:r w:rsidR="001228E4" w:rsidRPr="00857CDA">
        <w:rPr>
          <w:lang w:val="ro-RO"/>
        </w:rPr>
        <w:t xml:space="preserve"> fost utilizat înainte de 1 ianuarie 2019 pentru transportul de substanțe cu un pH mai mic de 5,0 sau mai mare de 8,0 pot fi utilizat</w:t>
      </w:r>
      <w:r w:rsidR="00FA4863" w:rsidRPr="00857CDA">
        <w:rPr>
          <w:lang w:val="ro-RO"/>
        </w:rPr>
        <w:t>e</w:t>
      </w:r>
      <w:r w:rsidR="001228E4" w:rsidRPr="00857CDA">
        <w:rPr>
          <w:lang w:val="ro-RO"/>
        </w:rPr>
        <w:t xml:space="preserve"> în continuare pentru transportul acestor subs</w:t>
      </w:r>
      <w:r w:rsidR="00FA4863" w:rsidRPr="00857CDA">
        <w:rPr>
          <w:lang w:val="ro-RO"/>
        </w:rPr>
        <w:t>tanțe până la 31 decembrie 2026</w:t>
      </w:r>
      <w:r w:rsidR="00E70B2E" w:rsidRPr="00857CDA">
        <w:rPr>
          <w:lang w:val="ro-RO"/>
        </w:rPr>
        <w:t>.</w:t>
      </w:r>
      <w:r w:rsidR="00660131" w:rsidRPr="00857CDA">
        <w:rPr>
          <w:lang w:val="ro-RO"/>
        </w:rPr>
        <w:t>”</w:t>
      </w:r>
      <w:r w:rsidR="00E70B2E" w:rsidRPr="00857CDA">
        <w:rPr>
          <w:lang w:val="ro-RO"/>
        </w:rPr>
        <w:t>.</w:t>
      </w:r>
    </w:p>
    <w:p w:rsidR="009040ED" w:rsidRPr="00857CDA" w:rsidRDefault="00091658" w:rsidP="00FA4863">
      <w:pPr>
        <w:pStyle w:val="SingleTxtG"/>
        <w:rPr>
          <w:lang w:val="ro-RO"/>
        </w:rPr>
      </w:pPr>
      <w:r w:rsidRPr="00857CDA">
        <w:rPr>
          <w:lang w:val="ro-RO"/>
        </w:rPr>
        <w:t>„</w:t>
      </w:r>
      <w:r w:rsidR="009040ED" w:rsidRPr="00857CDA">
        <w:rPr>
          <w:bCs/>
          <w:lang w:val="ro-RO"/>
        </w:rPr>
        <w:t>1.6.3.49</w:t>
      </w:r>
      <w:r w:rsidR="009040ED" w:rsidRPr="00857CDA">
        <w:rPr>
          <w:b/>
          <w:lang w:val="ro-RO"/>
        </w:rPr>
        <w:tab/>
      </w:r>
      <w:r w:rsidR="00FA4863" w:rsidRPr="00857CDA">
        <w:rPr>
          <w:lang w:val="ro-RO"/>
        </w:rPr>
        <w:t>Cisternele fixe (vehiculele-cisternă) și cisterne demontabile construite înainte de 1 iulie 2019 în conformitate cu prescripțiile aplicabile până la 31 decembrie 2018, dar care nu respectă prescripțiile de la 6.8.2.2.10 referitoare la presiunea nominală a discului de rupere aplicabile de la 1 ianuarie 2019, pot fi utilizate în continuare</w:t>
      </w:r>
      <w:r w:rsidR="009040ED" w:rsidRPr="00857CDA">
        <w:rPr>
          <w:lang w:val="ro-RO"/>
        </w:rPr>
        <w:t>.</w:t>
      </w:r>
      <w:r w:rsidR="00660131" w:rsidRPr="00857CDA">
        <w:rPr>
          <w:lang w:val="ro-RO"/>
        </w:rPr>
        <w:t>”</w:t>
      </w:r>
      <w:r w:rsidR="009040ED" w:rsidRPr="00857CDA">
        <w:rPr>
          <w:lang w:val="ro-RO"/>
        </w:rPr>
        <w:t>.</w:t>
      </w:r>
    </w:p>
    <w:p w:rsidR="00AD5DEF" w:rsidRPr="00857CDA" w:rsidRDefault="00091658" w:rsidP="005F419D">
      <w:pPr>
        <w:pStyle w:val="SingleTxtG"/>
        <w:rPr>
          <w:lang w:val="ro-RO"/>
        </w:rPr>
      </w:pPr>
      <w:r w:rsidRPr="00857CDA">
        <w:rPr>
          <w:lang w:val="ro-RO"/>
        </w:rPr>
        <w:t>„</w:t>
      </w:r>
      <w:r w:rsidR="00AD5DEF" w:rsidRPr="00857CDA">
        <w:rPr>
          <w:bCs/>
          <w:lang w:val="ro-RO"/>
        </w:rPr>
        <w:t>1.6.3.50</w:t>
      </w:r>
      <w:r w:rsidR="00AD5DEF" w:rsidRPr="00857CDA">
        <w:rPr>
          <w:b/>
          <w:lang w:val="ro-RO"/>
        </w:rPr>
        <w:tab/>
      </w:r>
      <w:r w:rsidR="00FA4863" w:rsidRPr="00857CDA">
        <w:rPr>
          <w:lang w:val="ro-RO"/>
        </w:rPr>
        <w:t xml:space="preserve">Cisternele fixe (vehicule-cisternă) și cisternele demontabile construite înainte de 1 iulie 2019, în conformitate cu prescripțiile de la 6.8.2.2.3 aplicabile până la 31 decembrie 2018, dar care nu respectă prescripțiile ultimului alineat de la paragraful 6.8.2.2.3 referitoare la dispozitivele de protecție </w:t>
      </w:r>
      <w:r w:rsidR="00061188" w:rsidRPr="00857CDA">
        <w:rPr>
          <w:lang w:val="ro-RO"/>
        </w:rPr>
        <w:t>contra</w:t>
      </w:r>
      <w:r w:rsidR="00FA4863" w:rsidRPr="00857CDA">
        <w:rPr>
          <w:lang w:val="ro-RO"/>
        </w:rPr>
        <w:t xml:space="preserve"> flăcări</w:t>
      </w:r>
      <w:r w:rsidR="005F419D" w:rsidRPr="00857CDA">
        <w:rPr>
          <w:lang w:val="ro-RO"/>
        </w:rPr>
        <w:t>lor</w:t>
      </w:r>
      <w:r w:rsidR="00FA4863" w:rsidRPr="00857CDA">
        <w:rPr>
          <w:lang w:val="ro-RO"/>
        </w:rPr>
        <w:t xml:space="preserve"> pentru dispozitivele de respirație aplicabile de la 1 ianuarie 2019</w:t>
      </w:r>
      <w:r w:rsidR="005F419D" w:rsidRPr="00857CDA">
        <w:rPr>
          <w:lang w:val="ro-RO"/>
        </w:rPr>
        <w:t>, pot fi utilizate în continuare</w:t>
      </w:r>
      <w:r w:rsidR="00AD5DEF" w:rsidRPr="00857CDA">
        <w:rPr>
          <w:lang w:val="ro-RO"/>
        </w:rPr>
        <w:t>.</w:t>
      </w:r>
      <w:r w:rsidR="00660131" w:rsidRPr="00857CDA">
        <w:rPr>
          <w:lang w:val="ro-RO"/>
        </w:rPr>
        <w:t>”</w:t>
      </w:r>
      <w:r w:rsidR="00AD5DEF" w:rsidRPr="00857CDA">
        <w:rPr>
          <w:lang w:val="ro-RO"/>
        </w:rPr>
        <w:t>.</w:t>
      </w:r>
    </w:p>
    <w:p w:rsidR="005F419D" w:rsidRPr="00857CDA" w:rsidRDefault="00091658" w:rsidP="00AD5DEF">
      <w:pPr>
        <w:pStyle w:val="SingleTxtG"/>
        <w:rPr>
          <w:lang w:val="ro-RO"/>
        </w:rPr>
      </w:pPr>
      <w:r w:rsidRPr="00857CDA">
        <w:rPr>
          <w:lang w:val="ro-RO"/>
        </w:rPr>
        <w:t>„</w:t>
      </w:r>
      <w:r w:rsidR="00E70B2E" w:rsidRPr="00857CDA">
        <w:rPr>
          <w:bCs/>
          <w:lang w:val="ro-RO"/>
        </w:rPr>
        <w:t>1.6.3.51</w:t>
      </w:r>
      <w:r w:rsidR="00E70B2E" w:rsidRPr="00857CDA">
        <w:rPr>
          <w:b/>
          <w:lang w:val="ro-RO"/>
        </w:rPr>
        <w:tab/>
      </w:r>
      <w:r w:rsidR="005F419D" w:rsidRPr="00857CDA">
        <w:rPr>
          <w:lang w:val="ro-RO"/>
        </w:rPr>
        <w:t xml:space="preserve">Cisternele fixe (vehicule-cisternă) și cisterne demontabile construite înainte de 1 iulie 2019, în conformitate cu prescripțiile aplicabile până la 31 decembrie 2018, dar care nu respectă prescripțiile de la 6.8.2.1.23 cu privire la controlul sudurilor </w:t>
      </w:r>
      <w:r w:rsidR="00436831" w:rsidRPr="00857CDA">
        <w:rPr>
          <w:lang w:val="ro-RO"/>
        </w:rPr>
        <w:t xml:space="preserve">din </w:t>
      </w:r>
      <w:r w:rsidR="00F341FA" w:rsidRPr="00857CDA">
        <w:rPr>
          <w:lang w:val="ro-RO"/>
        </w:rPr>
        <w:t>zona de racordare a fundurilor cisternei</w:t>
      </w:r>
      <w:r w:rsidR="005F419D" w:rsidRPr="00857CDA">
        <w:rPr>
          <w:lang w:val="ro-RO"/>
        </w:rPr>
        <w:t xml:space="preserve"> aplicabil</w:t>
      </w:r>
      <w:r w:rsidR="00436831" w:rsidRPr="00857CDA">
        <w:rPr>
          <w:lang w:val="ro-RO"/>
        </w:rPr>
        <w:t>e</w:t>
      </w:r>
      <w:r w:rsidR="005F419D" w:rsidRPr="00857CDA">
        <w:rPr>
          <w:lang w:val="ro-RO"/>
        </w:rPr>
        <w:t xml:space="preserve"> de la 1 ianuarie 2019, pot fi utilizat</w:t>
      </w:r>
      <w:r w:rsidR="008C5FC8" w:rsidRPr="00857CDA">
        <w:rPr>
          <w:lang w:val="ro-RO"/>
        </w:rPr>
        <w:t>e</w:t>
      </w:r>
      <w:r w:rsidR="005F419D" w:rsidRPr="00857CDA">
        <w:rPr>
          <w:lang w:val="ro-RO"/>
        </w:rPr>
        <w:t xml:space="preserve"> în continuare.</w:t>
      </w:r>
      <w:r w:rsidR="008C5FC8" w:rsidRPr="00857CDA">
        <w:rPr>
          <w:lang w:val="ro-RO"/>
        </w:rPr>
        <w:t>”.</w:t>
      </w:r>
    </w:p>
    <w:p w:rsidR="00E70B2E" w:rsidRPr="00857CDA" w:rsidRDefault="00F341FA" w:rsidP="00E70B2E">
      <w:pPr>
        <w:pStyle w:val="SingleTxtG"/>
        <w:rPr>
          <w:lang w:val="ro-RO"/>
        </w:rPr>
      </w:pPr>
      <w:r w:rsidRPr="00857CDA">
        <w:rPr>
          <w:lang w:val="ro-RO"/>
        </w:rPr>
        <w:lastRenderedPageBreak/>
        <w:t xml:space="preserve"> </w:t>
      </w:r>
      <w:r w:rsidR="00091658" w:rsidRPr="00857CDA">
        <w:rPr>
          <w:lang w:val="ro-RO"/>
        </w:rPr>
        <w:t>„</w:t>
      </w:r>
      <w:r w:rsidR="00E70B2E" w:rsidRPr="00857CDA">
        <w:rPr>
          <w:bCs/>
          <w:lang w:val="ro-RO"/>
        </w:rPr>
        <w:t>1.6.3.52</w:t>
      </w:r>
      <w:r w:rsidR="00E70B2E" w:rsidRPr="00857CDA">
        <w:rPr>
          <w:b/>
          <w:lang w:val="ro-RO"/>
        </w:rPr>
        <w:tab/>
      </w:r>
      <w:r w:rsidR="008C5FC8" w:rsidRPr="00857CDA">
        <w:rPr>
          <w:lang w:val="ro-RO"/>
        </w:rPr>
        <w:t>Cisternele fixe (vehicule-cisternă) și cisternele demontabile construite înainte de 1 iulie 2019, în conformitate cu prescripțiile aplicabile până la 31 decembrie 2018, dar care nu respectă prescripțiile de la 6.8.2.2.11 aplicabile de la 1 ianuarie 2019, pot fi utilizată în continuare.</w:t>
      </w:r>
      <w:r w:rsidR="00660131" w:rsidRPr="00857CDA">
        <w:rPr>
          <w:lang w:val="ro-RO"/>
        </w:rPr>
        <w:t>”</w:t>
      </w:r>
      <w:r w:rsidR="00E70B2E" w:rsidRPr="00857CDA">
        <w:rPr>
          <w:lang w:val="ro-RO"/>
        </w:rPr>
        <w:t>.</w:t>
      </w:r>
    </w:p>
    <w:p w:rsidR="009040ED" w:rsidRPr="00857CDA" w:rsidRDefault="00091658" w:rsidP="005C702A">
      <w:pPr>
        <w:pStyle w:val="SingleTxtG"/>
        <w:rPr>
          <w:lang w:val="ro-RO"/>
        </w:rPr>
      </w:pPr>
      <w:r w:rsidRPr="00857CDA">
        <w:rPr>
          <w:lang w:val="ro-RO"/>
        </w:rPr>
        <w:t>„</w:t>
      </w:r>
      <w:r w:rsidR="009040ED" w:rsidRPr="00857CDA">
        <w:rPr>
          <w:bCs/>
          <w:lang w:val="ro-RO"/>
        </w:rPr>
        <w:t>1.6.3.53</w:t>
      </w:r>
      <w:r w:rsidR="009040ED" w:rsidRPr="00857CDA">
        <w:rPr>
          <w:b/>
          <w:lang w:val="ro-RO"/>
        </w:rPr>
        <w:tab/>
      </w:r>
      <w:r w:rsidR="008C5FC8" w:rsidRPr="00857CDA">
        <w:rPr>
          <w:lang w:val="ro-RO"/>
        </w:rPr>
        <w:t xml:space="preserve">Certificatele de </w:t>
      </w:r>
      <w:r w:rsidR="005C702A" w:rsidRPr="00857CDA">
        <w:rPr>
          <w:lang w:val="ro-RO"/>
        </w:rPr>
        <w:t xml:space="preserve"> </w:t>
      </w:r>
      <w:r w:rsidR="008C5FC8" w:rsidRPr="00857CDA">
        <w:rPr>
          <w:lang w:val="ro-RO"/>
        </w:rPr>
        <w:t xml:space="preserve">omologare </w:t>
      </w:r>
      <w:r w:rsidR="005C702A" w:rsidRPr="00857CDA">
        <w:rPr>
          <w:lang w:val="ro-RO"/>
        </w:rPr>
        <w:t>de</w:t>
      </w:r>
      <w:r w:rsidR="008C5FC8" w:rsidRPr="00857CDA">
        <w:rPr>
          <w:lang w:val="ro-RO"/>
        </w:rPr>
        <w:t xml:space="preserve"> tip</w:t>
      </w:r>
      <w:r w:rsidR="005C702A" w:rsidRPr="00857CDA">
        <w:rPr>
          <w:lang w:val="ro-RO"/>
        </w:rPr>
        <w:t xml:space="preserve"> pentru</w:t>
      </w:r>
      <w:r w:rsidR="008C5FC8" w:rsidRPr="00857CDA">
        <w:rPr>
          <w:lang w:val="ro-RO"/>
        </w:rPr>
        <w:t xml:space="preserve"> cisterne</w:t>
      </w:r>
      <w:r w:rsidR="005C702A" w:rsidRPr="00857CDA">
        <w:rPr>
          <w:lang w:val="ro-RO"/>
        </w:rPr>
        <w:t>le</w:t>
      </w:r>
      <w:r w:rsidR="008C5FC8" w:rsidRPr="00857CDA">
        <w:rPr>
          <w:lang w:val="ro-RO"/>
        </w:rPr>
        <w:t xml:space="preserve"> fixe (vehicule</w:t>
      </w:r>
      <w:r w:rsidR="005C702A" w:rsidRPr="00857CDA">
        <w:rPr>
          <w:lang w:val="ro-RO"/>
        </w:rPr>
        <w:t>-</w:t>
      </w:r>
      <w:r w:rsidR="008C5FC8" w:rsidRPr="00857CDA">
        <w:rPr>
          <w:lang w:val="ro-RO"/>
        </w:rPr>
        <w:t>cisternă), cisterne demontabile și vehicule</w:t>
      </w:r>
      <w:r w:rsidR="005C702A" w:rsidRPr="00857CDA">
        <w:rPr>
          <w:lang w:val="ro-RO"/>
        </w:rPr>
        <w:t>-</w:t>
      </w:r>
      <w:r w:rsidR="008C5FC8" w:rsidRPr="00857CDA">
        <w:rPr>
          <w:lang w:val="ro-RO"/>
        </w:rPr>
        <w:t>bateri</w:t>
      </w:r>
      <w:r w:rsidR="005C702A" w:rsidRPr="00857CDA">
        <w:rPr>
          <w:lang w:val="ro-RO"/>
        </w:rPr>
        <w:t>e</w:t>
      </w:r>
      <w:r w:rsidR="008C5FC8" w:rsidRPr="00857CDA">
        <w:rPr>
          <w:lang w:val="ro-RO"/>
        </w:rPr>
        <w:t xml:space="preserve"> emise înainte de 1 iulie 2019, în conformitate cu </w:t>
      </w:r>
      <w:r w:rsidR="005C702A" w:rsidRPr="00857CDA">
        <w:rPr>
          <w:lang w:val="ro-RO"/>
        </w:rPr>
        <w:t>prescripțiile</w:t>
      </w:r>
      <w:r w:rsidR="008C5FC8" w:rsidRPr="00857CDA">
        <w:rPr>
          <w:lang w:val="ro-RO"/>
        </w:rPr>
        <w:t xml:space="preserve"> de la 6.8.2.3.1 aplicabile până la 31 decembrie 2018, dar care nu respectă </w:t>
      </w:r>
      <w:r w:rsidR="005C702A" w:rsidRPr="00857CDA">
        <w:rPr>
          <w:lang w:val="ro-RO"/>
        </w:rPr>
        <w:t>prescripțiile</w:t>
      </w:r>
      <w:r w:rsidR="008C5FC8" w:rsidRPr="00857CDA">
        <w:rPr>
          <w:lang w:val="ro-RO"/>
        </w:rPr>
        <w:t xml:space="preserve"> de la p</w:t>
      </w:r>
      <w:r w:rsidR="005C702A" w:rsidRPr="00857CDA">
        <w:rPr>
          <w:lang w:val="ro-RO"/>
        </w:rPr>
        <w:t>aragraf</w:t>
      </w:r>
      <w:r w:rsidR="008C5FC8" w:rsidRPr="00857CDA">
        <w:rPr>
          <w:lang w:val="ro-RO"/>
        </w:rPr>
        <w:t xml:space="preserve">ul 6.8.2.3.1 privind </w:t>
      </w:r>
      <w:r w:rsidR="005C702A" w:rsidRPr="00857CDA">
        <w:rPr>
          <w:lang w:val="ro-RO"/>
        </w:rPr>
        <w:t>semnul distinctiv utilizat pe vehiculele aflate în circulație rutieră internațională</w:t>
      </w:r>
      <w:r w:rsidR="008C5FC8" w:rsidRPr="00857CDA">
        <w:rPr>
          <w:vertAlign w:val="superscript"/>
          <w:lang w:val="ro-RO"/>
        </w:rPr>
        <w:t>1</w:t>
      </w:r>
      <w:r w:rsidR="008C5FC8" w:rsidRPr="00857CDA">
        <w:rPr>
          <w:lang w:val="ro-RO"/>
        </w:rPr>
        <w:t xml:space="preserve"> </w:t>
      </w:r>
      <w:r w:rsidR="005C702A" w:rsidRPr="00857CDA">
        <w:rPr>
          <w:lang w:val="ro-RO"/>
        </w:rPr>
        <w:t>al statului în care omologarea și numărul de înmatriculare au fost date</w:t>
      </w:r>
      <w:r w:rsidR="008C5FC8" w:rsidRPr="00857CDA">
        <w:rPr>
          <w:lang w:val="ro-RO"/>
        </w:rPr>
        <w:t>, aplicabil</w:t>
      </w:r>
      <w:r w:rsidR="005C702A" w:rsidRPr="00857CDA">
        <w:rPr>
          <w:lang w:val="ro-RO"/>
        </w:rPr>
        <w:t>e</w:t>
      </w:r>
      <w:r w:rsidR="008C5FC8" w:rsidRPr="00857CDA">
        <w:rPr>
          <w:lang w:val="ro-RO"/>
        </w:rPr>
        <w:t xml:space="preserve"> de la 1 ianuarie 2019, pot fi utilizate în </w:t>
      </w:r>
      <w:r w:rsidR="005C702A" w:rsidRPr="00857CDA">
        <w:rPr>
          <w:lang w:val="ro-RO"/>
        </w:rPr>
        <w:t>continuare</w:t>
      </w:r>
      <w:r w:rsidR="009040ED" w:rsidRPr="00857CDA">
        <w:rPr>
          <w:lang w:val="ro-RO"/>
        </w:rPr>
        <w:t>.</w:t>
      </w:r>
      <w:r w:rsidR="00660131" w:rsidRPr="00857CDA">
        <w:rPr>
          <w:lang w:val="ro-RO"/>
        </w:rPr>
        <w:t>”</w:t>
      </w:r>
      <w:r w:rsidR="009040ED" w:rsidRPr="00857CDA">
        <w:rPr>
          <w:lang w:val="ro-RO"/>
        </w:rPr>
        <w:t>.</w:t>
      </w:r>
    </w:p>
    <w:p w:rsidR="009040ED" w:rsidRPr="00857CDA" w:rsidRDefault="005C702A" w:rsidP="009040ED">
      <w:pPr>
        <w:pStyle w:val="SingleTxtG"/>
        <w:rPr>
          <w:lang w:val="ro-RO"/>
        </w:rPr>
      </w:pPr>
      <w:r w:rsidRPr="00857CDA">
        <w:rPr>
          <w:lang w:val="ro-RO"/>
        </w:rPr>
        <w:t>Nota de subsol</w:t>
      </w:r>
      <w:r w:rsidR="009040ED" w:rsidRPr="00857CDA">
        <w:rPr>
          <w:lang w:val="ro-RO"/>
        </w:rPr>
        <w:t xml:space="preserve"> 1</w:t>
      </w:r>
      <w:r w:rsidRPr="00857CDA">
        <w:rPr>
          <w:lang w:val="ro-RO"/>
        </w:rPr>
        <w:t xml:space="preserve"> va avea următorul text</w:t>
      </w:r>
      <w:r w:rsidR="00091658" w:rsidRPr="00857CDA">
        <w:rPr>
          <w:lang w:val="ro-RO"/>
        </w:rPr>
        <w:t>:</w:t>
      </w:r>
    </w:p>
    <w:p w:rsidR="009040ED" w:rsidRPr="00857CDA" w:rsidRDefault="00091658" w:rsidP="005C702A">
      <w:pPr>
        <w:pStyle w:val="SingleTxtG"/>
        <w:rPr>
          <w:szCs w:val="18"/>
          <w:lang w:val="ro-RO"/>
        </w:rPr>
      </w:pPr>
      <w:r w:rsidRPr="00857CDA">
        <w:rPr>
          <w:lang w:val="ro-RO"/>
        </w:rPr>
        <w:t>„</w:t>
      </w:r>
      <w:r w:rsidR="009040ED" w:rsidRPr="00857CDA">
        <w:rPr>
          <w:b/>
          <w:szCs w:val="18"/>
          <w:vertAlign w:val="superscript"/>
          <w:lang w:val="ro-RO"/>
        </w:rPr>
        <w:t>1</w:t>
      </w:r>
      <w:r w:rsidR="009040ED" w:rsidRPr="00857CDA">
        <w:rPr>
          <w:szCs w:val="18"/>
          <w:lang w:val="ro-RO"/>
        </w:rPr>
        <w:tab/>
      </w:r>
      <w:r w:rsidR="005C702A" w:rsidRPr="00857CDA">
        <w:rPr>
          <w:szCs w:val="18"/>
          <w:lang w:val="ro-RO"/>
        </w:rPr>
        <w:t>Semn distinctiv al statului de înmatriculare utilizat pe autoturismele și remorcile aflate în circulație rutieră internațională, de exemplu în conformitate cu Convenția de la Geneva asupra circulației rutiere din 1949 sau cu Convenția de la Viena asupra circulației rutiere din 1968</w:t>
      </w:r>
      <w:r w:rsidR="009040ED" w:rsidRPr="00857CDA">
        <w:rPr>
          <w:szCs w:val="18"/>
          <w:lang w:val="ro-RO"/>
        </w:rPr>
        <w:t>.</w:t>
      </w:r>
      <w:r w:rsidR="00660131" w:rsidRPr="00857CDA">
        <w:rPr>
          <w:szCs w:val="18"/>
          <w:lang w:val="ro-RO"/>
        </w:rPr>
        <w:t>”</w:t>
      </w:r>
      <w:r w:rsidR="009040ED" w:rsidRPr="00857CDA">
        <w:rPr>
          <w:lang w:val="ro-RO"/>
        </w:rPr>
        <w:t>.</w:t>
      </w:r>
    </w:p>
    <w:p w:rsidR="00964098" w:rsidRPr="00857CDA" w:rsidRDefault="00964098" w:rsidP="009040ED">
      <w:pPr>
        <w:tabs>
          <w:tab w:val="left" w:pos="1985"/>
          <w:tab w:val="left" w:pos="2268"/>
        </w:tabs>
        <w:spacing w:after="120"/>
        <w:ind w:left="1134" w:right="1134"/>
        <w:jc w:val="both"/>
        <w:rPr>
          <w:i/>
          <w:lang w:val="ro-RO"/>
        </w:rPr>
      </w:pPr>
      <w:r w:rsidRPr="00857CDA">
        <w:rPr>
          <w:lang w:val="ro-RO"/>
        </w:rPr>
        <w:t>1.6.4.15, 1.6.4.38, 1.6.4.44</w:t>
      </w:r>
      <w:r w:rsidR="004C27AD" w:rsidRPr="00857CDA">
        <w:rPr>
          <w:lang w:val="ro-RO"/>
        </w:rPr>
        <w:t xml:space="preserve"> și </w:t>
      </w:r>
      <w:r w:rsidRPr="00857CDA">
        <w:rPr>
          <w:lang w:val="ro-RO"/>
        </w:rPr>
        <w:t>1.6.4.45</w:t>
      </w:r>
      <w:r w:rsidRPr="00857CDA">
        <w:rPr>
          <w:lang w:val="ro-RO"/>
        </w:rPr>
        <w:tab/>
      </w:r>
      <w:r w:rsidR="00902C44" w:rsidRPr="00857CDA">
        <w:rPr>
          <w:lang w:val="ro-RO"/>
        </w:rPr>
        <w:t>Se șterg</w:t>
      </w:r>
      <w:r w:rsidR="004C27AD" w:rsidRPr="00857CDA">
        <w:rPr>
          <w:lang w:val="ro-RO"/>
        </w:rPr>
        <w:t xml:space="preserve"> și </w:t>
      </w:r>
      <w:r w:rsidR="00902C44" w:rsidRPr="00857CDA">
        <w:rPr>
          <w:lang w:val="ro-RO"/>
        </w:rPr>
        <w:t>se adaugă</w:t>
      </w:r>
      <w:r w:rsidRPr="00857CDA">
        <w:rPr>
          <w:lang w:val="ro-RO"/>
        </w:rPr>
        <w:t xml:space="preserve"> </w:t>
      </w:r>
      <w:r w:rsidR="00091658" w:rsidRPr="00857CDA">
        <w:rPr>
          <w:lang w:val="ro-RO"/>
        </w:rPr>
        <w:t>„</w:t>
      </w:r>
      <w:r w:rsidRPr="00857CDA">
        <w:rPr>
          <w:i/>
          <w:lang w:val="ro-RO"/>
        </w:rPr>
        <w:t>(</w:t>
      </w:r>
      <w:r w:rsidR="004C27AD" w:rsidRPr="00857CDA">
        <w:rPr>
          <w:i/>
          <w:lang w:val="ro-RO"/>
        </w:rPr>
        <w:t>Șters</w:t>
      </w:r>
      <w:r w:rsidRPr="00857CDA">
        <w:rPr>
          <w:i/>
          <w:lang w:val="ro-RO"/>
        </w:rPr>
        <w:t>)</w:t>
      </w:r>
      <w:r w:rsidR="00660131" w:rsidRPr="00857CDA">
        <w:rPr>
          <w:lang w:val="ro-RO"/>
        </w:rPr>
        <w:t>”</w:t>
      </w:r>
      <w:r w:rsidRPr="00857CDA">
        <w:rPr>
          <w:lang w:val="ro-RO"/>
        </w:rPr>
        <w:t>.</w:t>
      </w:r>
      <w:r w:rsidRPr="00857CDA">
        <w:rPr>
          <w:i/>
          <w:lang w:val="ro-RO"/>
        </w:rPr>
        <w:t xml:space="preserve"> </w:t>
      </w:r>
    </w:p>
    <w:p w:rsidR="00E70B2E" w:rsidRPr="00857CDA" w:rsidRDefault="00E70B2E" w:rsidP="00E70B2E">
      <w:pPr>
        <w:pStyle w:val="SingleTxtG"/>
        <w:tabs>
          <w:tab w:val="left" w:pos="2268"/>
        </w:tabs>
        <w:rPr>
          <w:lang w:val="ro-RO"/>
        </w:rPr>
      </w:pPr>
      <w:r w:rsidRPr="00857CDA">
        <w:rPr>
          <w:lang w:val="ro-RO"/>
        </w:rPr>
        <w:t>1.6.4</w:t>
      </w:r>
      <w:r w:rsidRPr="00857CDA">
        <w:rPr>
          <w:lang w:val="ro-RO"/>
        </w:rPr>
        <w:tab/>
      </w:r>
      <w:r w:rsidR="00902C44" w:rsidRPr="00857CDA">
        <w:rPr>
          <w:lang w:val="ro-RO"/>
        </w:rPr>
        <w:t>Se adaugă</w:t>
      </w:r>
      <w:r w:rsidRPr="00857CDA">
        <w:rPr>
          <w:lang w:val="ro-RO"/>
        </w:rPr>
        <w:t xml:space="preserve"> </w:t>
      </w:r>
      <w:r w:rsidR="005C702A" w:rsidRPr="00857CDA">
        <w:rPr>
          <w:lang w:val="ro-RO"/>
        </w:rPr>
        <w:t>următoarele măsuri tranzitorii noi</w:t>
      </w:r>
      <w:r w:rsidRPr="00857CDA">
        <w:rPr>
          <w:lang w:val="ro-RO"/>
        </w:rPr>
        <w:t>:</w:t>
      </w:r>
    </w:p>
    <w:p w:rsidR="00E70B2E" w:rsidRPr="00857CDA" w:rsidRDefault="00091658" w:rsidP="00C83D64">
      <w:pPr>
        <w:pStyle w:val="SingleTxtG"/>
        <w:rPr>
          <w:lang w:val="ro-RO"/>
        </w:rPr>
      </w:pPr>
      <w:r w:rsidRPr="00857CDA">
        <w:rPr>
          <w:lang w:val="ro-RO"/>
        </w:rPr>
        <w:t>„</w:t>
      </w:r>
      <w:r w:rsidR="00E70B2E" w:rsidRPr="00857CDA">
        <w:rPr>
          <w:bCs/>
          <w:lang w:val="ro-RO"/>
        </w:rPr>
        <w:t>1.6.4.49</w:t>
      </w:r>
      <w:r w:rsidR="00E70B2E" w:rsidRPr="00857CDA">
        <w:rPr>
          <w:b/>
          <w:lang w:val="ro-RO"/>
        </w:rPr>
        <w:tab/>
      </w:r>
      <w:r w:rsidR="000C3DAB" w:rsidRPr="00857CDA">
        <w:rPr>
          <w:lang w:val="ro-RO"/>
        </w:rPr>
        <w:t>Containerele</w:t>
      </w:r>
      <w:r w:rsidR="00C83D64" w:rsidRPr="00857CDA">
        <w:rPr>
          <w:lang w:val="ro-RO"/>
        </w:rPr>
        <w:t>-</w:t>
      </w:r>
      <w:r w:rsidR="000C3DAB" w:rsidRPr="00857CDA">
        <w:rPr>
          <w:lang w:val="ro-RO"/>
        </w:rPr>
        <w:t xml:space="preserve">cisternă construite înainte de 1 iulie 2019, </w:t>
      </w:r>
      <w:r w:rsidR="00D02B9B" w:rsidRPr="00857CDA">
        <w:rPr>
          <w:lang w:val="ro-RO"/>
        </w:rPr>
        <w:t>echipate cu supape de siguranță care îndeplinesc prescripțiile aplicabile până la 31 decembrie 2018, dar care nu îndeplinesc prescripțiile ultimei fraze de la paragraful 6.8.3.2.9 cu privire la concepția sau protecția acestora, aplicabile de la 1 ianuarie 2019, pot fi utilizate până la următoarea inspecţie intermediară sau periodică, ce va avea loc după 1 ianuarie 2021</w:t>
      </w:r>
      <w:r w:rsidR="00E70B2E" w:rsidRPr="00857CDA">
        <w:rPr>
          <w:lang w:val="ro-RO"/>
        </w:rPr>
        <w:t>.</w:t>
      </w:r>
      <w:r w:rsidR="00660131" w:rsidRPr="00857CDA">
        <w:rPr>
          <w:lang w:val="ro-RO"/>
        </w:rPr>
        <w:t>”</w:t>
      </w:r>
      <w:r w:rsidR="00E70B2E" w:rsidRPr="00857CDA">
        <w:rPr>
          <w:lang w:val="ro-RO"/>
        </w:rPr>
        <w:t>.</w:t>
      </w:r>
    </w:p>
    <w:p w:rsidR="00E70B2E" w:rsidRPr="00857CDA" w:rsidRDefault="00091658" w:rsidP="00C83D64">
      <w:pPr>
        <w:pStyle w:val="SingleTxtG"/>
        <w:rPr>
          <w:lang w:val="ro-RO"/>
        </w:rPr>
      </w:pPr>
      <w:r w:rsidRPr="00857CDA">
        <w:rPr>
          <w:lang w:val="ro-RO"/>
        </w:rPr>
        <w:t>„</w:t>
      </w:r>
      <w:r w:rsidR="00E70B2E" w:rsidRPr="00857CDA">
        <w:rPr>
          <w:bCs/>
          <w:lang w:val="ro-RO"/>
        </w:rPr>
        <w:t>1.6.4.50</w:t>
      </w:r>
      <w:r w:rsidR="00E70B2E" w:rsidRPr="00857CDA">
        <w:rPr>
          <w:b/>
          <w:lang w:val="ro-RO"/>
        </w:rPr>
        <w:tab/>
      </w:r>
      <w:r w:rsidR="00C83D64" w:rsidRPr="00857CDA">
        <w:rPr>
          <w:lang w:val="ro-RO"/>
        </w:rPr>
        <w:t>Fără a contraveni prescripțiilor Dispoziției speciale TU 42 din 4.3.5 aplicabile de la 1 ianuarie 2019, containerele-cisternă ale căror rezervoare sunt construite din aliaje de aluminiu, inclusiv cele cu un înveliș de protecție care au fost utilizat înainte de 1 ianuarie 2019 pentru transportul de substanțe cu un pH mai mic de 5,0 sau mai mare de 8,0 pot fi utilizate în continuare pentru transportul acestor substanțe până la 31 decembrie 2026</w:t>
      </w:r>
      <w:r w:rsidR="00E70B2E" w:rsidRPr="00857CDA">
        <w:rPr>
          <w:lang w:val="ro-RO"/>
        </w:rPr>
        <w:t>.</w:t>
      </w:r>
      <w:r w:rsidR="00660131" w:rsidRPr="00857CDA">
        <w:rPr>
          <w:lang w:val="ro-RO"/>
        </w:rPr>
        <w:t>”</w:t>
      </w:r>
      <w:r w:rsidR="00E70B2E" w:rsidRPr="00857CDA">
        <w:rPr>
          <w:lang w:val="ro-RO"/>
        </w:rPr>
        <w:t>.</w:t>
      </w:r>
    </w:p>
    <w:p w:rsidR="009040ED" w:rsidRPr="00857CDA" w:rsidRDefault="00091658" w:rsidP="00996866">
      <w:pPr>
        <w:pStyle w:val="SingleTxtG"/>
        <w:rPr>
          <w:lang w:val="ro-RO"/>
        </w:rPr>
      </w:pPr>
      <w:r w:rsidRPr="00857CDA">
        <w:rPr>
          <w:lang w:val="ro-RO"/>
        </w:rPr>
        <w:t>„</w:t>
      </w:r>
      <w:r w:rsidR="009040ED" w:rsidRPr="00857CDA">
        <w:rPr>
          <w:bCs/>
          <w:lang w:val="ro-RO"/>
        </w:rPr>
        <w:t>1.6.4.51</w:t>
      </w:r>
      <w:r w:rsidR="009040ED" w:rsidRPr="00857CDA">
        <w:rPr>
          <w:b/>
          <w:lang w:val="ro-RO"/>
        </w:rPr>
        <w:tab/>
      </w:r>
      <w:r w:rsidR="00996866" w:rsidRPr="00857CDA">
        <w:rPr>
          <w:lang w:val="ro-RO"/>
        </w:rPr>
        <w:t>Containerele-cisternă construite înainte de 1 iulie 2019 în conformitate cu prescripțiile aplicabile până la 31 decembrie 2018, dar care nu respectă prescripțiile de la 6.8.2.2.10 referitoare la presiunea nominală a discului de rupere aplicabile de la 1 ianuarie 2019, pot fi utilizate în continuare.</w:t>
      </w:r>
      <w:r w:rsidR="00660131" w:rsidRPr="00857CDA">
        <w:rPr>
          <w:lang w:val="ro-RO"/>
        </w:rPr>
        <w:t>”</w:t>
      </w:r>
      <w:r w:rsidR="009040ED" w:rsidRPr="00857CDA">
        <w:rPr>
          <w:lang w:val="ro-RO"/>
        </w:rPr>
        <w:t>.</w:t>
      </w:r>
    </w:p>
    <w:p w:rsidR="00D226B0" w:rsidRPr="00857CDA" w:rsidRDefault="00091658" w:rsidP="00996866">
      <w:pPr>
        <w:pStyle w:val="SingleTxtG"/>
        <w:rPr>
          <w:lang w:val="ro-RO"/>
        </w:rPr>
      </w:pPr>
      <w:r w:rsidRPr="00857CDA">
        <w:rPr>
          <w:lang w:val="ro-RO"/>
        </w:rPr>
        <w:t>„</w:t>
      </w:r>
      <w:r w:rsidR="00D226B0" w:rsidRPr="00857CDA">
        <w:rPr>
          <w:bCs/>
          <w:lang w:val="ro-RO"/>
        </w:rPr>
        <w:t>1.6.4.52</w:t>
      </w:r>
      <w:r w:rsidR="00D226B0" w:rsidRPr="00857CDA">
        <w:rPr>
          <w:b/>
          <w:lang w:val="ro-RO"/>
        </w:rPr>
        <w:tab/>
      </w:r>
      <w:r w:rsidR="00996866" w:rsidRPr="00857CDA">
        <w:rPr>
          <w:lang w:val="ro-RO"/>
        </w:rPr>
        <w:t>Containerele-cisternă construite înainte de 1 iulie 2019, în conformitate cu prescripțiile de la 6.8.2.2.3 aplicabile până la 31 decembrie 2018, dar care nu respectă prescripțiile ultimului alineat de la paragraful 6.8.2.2.3 referitoare la dispozitivele de protecție contra flăcărilor pentru dispozitivele de respirație aplicabile de la 1 ianuarie 2019, pot fi utilizate în continuare</w:t>
      </w:r>
      <w:r w:rsidR="00D226B0" w:rsidRPr="00857CDA">
        <w:rPr>
          <w:lang w:val="ro-RO"/>
        </w:rPr>
        <w:t>.</w:t>
      </w:r>
      <w:r w:rsidR="00660131" w:rsidRPr="00857CDA">
        <w:rPr>
          <w:lang w:val="ro-RO"/>
        </w:rPr>
        <w:t>”</w:t>
      </w:r>
      <w:r w:rsidR="00D226B0" w:rsidRPr="00857CDA">
        <w:rPr>
          <w:lang w:val="ro-RO"/>
        </w:rPr>
        <w:t>.</w:t>
      </w:r>
    </w:p>
    <w:p w:rsidR="00996866" w:rsidRPr="00857CDA" w:rsidRDefault="00091658" w:rsidP="00996866">
      <w:pPr>
        <w:pStyle w:val="SingleTxtG"/>
        <w:rPr>
          <w:lang w:val="ro-RO"/>
        </w:rPr>
      </w:pPr>
      <w:r w:rsidRPr="00857CDA">
        <w:rPr>
          <w:lang w:val="ro-RO"/>
        </w:rPr>
        <w:t>„</w:t>
      </w:r>
      <w:r w:rsidR="00E70B2E" w:rsidRPr="00857CDA">
        <w:rPr>
          <w:bCs/>
          <w:lang w:val="ro-RO"/>
        </w:rPr>
        <w:t>1.6.4.53</w:t>
      </w:r>
      <w:r w:rsidR="00E70B2E" w:rsidRPr="00857CDA">
        <w:rPr>
          <w:b/>
          <w:lang w:val="ro-RO"/>
        </w:rPr>
        <w:tab/>
      </w:r>
      <w:r w:rsidR="00996866" w:rsidRPr="00857CDA">
        <w:rPr>
          <w:lang w:val="ro-RO"/>
        </w:rPr>
        <w:t xml:space="preserve">Containerele-cisternă construite înainte de 1 iulie 2019, în conformitate cu prescripțiile aplicabile până la 31 decembrie 2018, dar care nu respectă prescripțiile de la 6.8.2.1.23 cu privire la controlul sudurilor din </w:t>
      </w:r>
      <w:r w:rsidR="00F341FA" w:rsidRPr="00857CDA">
        <w:rPr>
          <w:lang w:val="ro-RO"/>
        </w:rPr>
        <w:t xml:space="preserve">zona de racordare a fundurilor cisternei </w:t>
      </w:r>
      <w:r w:rsidR="00996866" w:rsidRPr="00857CDA">
        <w:rPr>
          <w:lang w:val="ro-RO"/>
        </w:rPr>
        <w:t>aplicabile de la 1 ianuarie 2019, pot fi utilizate în continuare.”.</w:t>
      </w:r>
    </w:p>
    <w:p w:rsidR="00E70B2E" w:rsidRPr="00857CDA" w:rsidRDefault="00F341FA" w:rsidP="00E70B2E">
      <w:pPr>
        <w:pStyle w:val="SingleTxtG"/>
        <w:rPr>
          <w:lang w:val="ro-RO"/>
        </w:rPr>
      </w:pPr>
      <w:r w:rsidRPr="00857CDA">
        <w:rPr>
          <w:lang w:val="ro-RO"/>
        </w:rPr>
        <w:t xml:space="preserve"> </w:t>
      </w:r>
      <w:r w:rsidR="00091658" w:rsidRPr="00857CDA">
        <w:rPr>
          <w:lang w:val="ro-RO"/>
        </w:rPr>
        <w:t>„</w:t>
      </w:r>
      <w:r w:rsidR="00E70B2E" w:rsidRPr="00857CDA">
        <w:rPr>
          <w:bCs/>
          <w:lang w:val="ro-RO"/>
        </w:rPr>
        <w:t>1.6.4.54</w:t>
      </w:r>
      <w:r w:rsidR="00E70B2E" w:rsidRPr="00857CDA">
        <w:rPr>
          <w:b/>
          <w:lang w:val="ro-RO"/>
        </w:rPr>
        <w:tab/>
      </w:r>
      <w:r w:rsidR="00996866" w:rsidRPr="00857CDA">
        <w:rPr>
          <w:lang w:val="ro-RO"/>
        </w:rPr>
        <w:t>Containerele-cisternă construite înainte de 1 iulie 2019, în conformitate cu prescripțiile aplicabile până la 31 decembrie 2018, dar care nu respectă prescripțiile de la 6.8.2.2.11 aplicabile de la 1 ianuarie 2019, pot fi utilizată în continuare.</w:t>
      </w:r>
      <w:r w:rsidR="00660131" w:rsidRPr="00857CDA">
        <w:rPr>
          <w:lang w:val="ro-RO"/>
        </w:rPr>
        <w:t>”</w:t>
      </w:r>
      <w:r w:rsidR="00E70B2E" w:rsidRPr="00857CDA">
        <w:rPr>
          <w:lang w:val="ro-RO"/>
        </w:rPr>
        <w:t>.</w:t>
      </w:r>
    </w:p>
    <w:p w:rsidR="002F3DB5" w:rsidRPr="00857CDA" w:rsidRDefault="002F3DB5" w:rsidP="00B76415">
      <w:pPr>
        <w:pStyle w:val="ParNoG"/>
        <w:numPr>
          <w:ilvl w:val="0"/>
          <w:numId w:val="0"/>
        </w:numPr>
        <w:tabs>
          <w:tab w:val="left" w:pos="2268"/>
        </w:tabs>
        <w:ind w:left="1134"/>
        <w:rPr>
          <w:lang w:val="ro-RO"/>
        </w:rPr>
      </w:pPr>
      <w:r w:rsidRPr="00857CDA">
        <w:rPr>
          <w:lang w:val="ro-RO"/>
        </w:rPr>
        <w:t>1.6.5</w:t>
      </w:r>
      <w:r w:rsidRPr="00857CDA">
        <w:rPr>
          <w:lang w:val="ro-RO"/>
        </w:rPr>
        <w:tab/>
      </w:r>
      <w:r w:rsidR="00996866" w:rsidRPr="00857CDA">
        <w:rPr>
          <w:lang w:val="ro-RO"/>
        </w:rPr>
        <w:t>Se r</w:t>
      </w:r>
      <w:r w:rsidRPr="00857CDA">
        <w:rPr>
          <w:lang w:val="ro-RO"/>
        </w:rPr>
        <w:t>enum</w:t>
      </w:r>
      <w:r w:rsidR="00996866" w:rsidRPr="00857CDA">
        <w:rPr>
          <w:lang w:val="ro-RO"/>
        </w:rPr>
        <w:t>e</w:t>
      </w:r>
      <w:r w:rsidRPr="00857CDA">
        <w:rPr>
          <w:lang w:val="ro-RO"/>
        </w:rPr>
        <w:t>rote</w:t>
      </w:r>
      <w:r w:rsidR="00996866" w:rsidRPr="00857CDA">
        <w:rPr>
          <w:lang w:val="ro-RO"/>
        </w:rPr>
        <w:t>ază</w:t>
      </w:r>
      <w:r w:rsidRPr="00857CDA">
        <w:rPr>
          <w:lang w:val="ro-RO"/>
        </w:rPr>
        <w:t xml:space="preserve"> note</w:t>
      </w:r>
      <w:r w:rsidR="00996866" w:rsidRPr="00857CDA">
        <w:rPr>
          <w:lang w:val="ro-RO"/>
        </w:rPr>
        <w:t>le</w:t>
      </w:r>
      <w:r w:rsidRPr="00857CDA">
        <w:rPr>
          <w:lang w:val="ro-RO"/>
        </w:rPr>
        <w:t xml:space="preserve"> de </w:t>
      </w:r>
      <w:r w:rsidR="00996866" w:rsidRPr="00857CDA">
        <w:rPr>
          <w:lang w:val="ro-RO"/>
        </w:rPr>
        <w:t>subsol de la</w:t>
      </w:r>
      <w:r w:rsidRPr="00857CDA">
        <w:rPr>
          <w:lang w:val="ro-RO"/>
        </w:rPr>
        <w:t xml:space="preserve"> 1 </w:t>
      </w:r>
      <w:r w:rsidR="00996866" w:rsidRPr="00857CDA">
        <w:rPr>
          <w:lang w:val="ro-RO"/>
        </w:rPr>
        <w:t>la</w:t>
      </w:r>
      <w:r w:rsidRPr="00857CDA">
        <w:rPr>
          <w:lang w:val="ro-RO"/>
        </w:rPr>
        <w:t xml:space="preserve"> 3 </w:t>
      </w:r>
      <w:r w:rsidR="00996866" w:rsidRPr="00857CDA">
        <w:rPr>
          <w:lang w:val="ro-RO"/>
        </w:rPr>
        <w:t>ca note de subsol de la 2 la 4</w:t>
      </w:r>
      <w:r w:rsidRPr="00857CDA">
        <w:rPr>
          <w:lang w:val="ro-RO"/>
        </w:rPr>
        <w:t>.</w:t>
      </w:r>
    </w:p>
    <w:p w:rsidR="007E45F0" w:rsidRPr="00857CDA" w:rsidRDefault="007E45F0" w:rsidP="007E45F0">
      <w:pPr>
        <w:pStyle w:val="SingleTxtG"/>
        <w:rPr>
          <w:lang w:val="ro-RO"/>
        </w:rPr>
      </w:pPr>
      <w:r w:rsidRPr="00857CDA">
        <w:rPr>
          <w:lang w:val="ro-RO"/>
        </w:rPr>
        <w:t>1.6.5.4</w:t>
      </w:r>
      <w:r w:rsidRPr="00857CDA">
        <w:rPr>
          <w:lang w:val="ro-RO"/>
        </w:rPr>
        <w:tab/>
      </w:r>
      <w:r w:rsidRPr="00857CDA">
        <w:rPr>
          <w:lang w:val="ro-RO"/>
        </w:rPr>
        <w:tab/>
      </w:r>
      <w:r w:rsidR="00902C44" w:rsidRPr="00857CDA">
        <w:rPr>
          <w:lang w:val="ro-RO"/>
        </w:rPr>
        <w:t xml:space="preserve">În </w:t>
      </w:r>
      <w:r w:rsidR="00996866" w:rsidRPr="00857CDA">
        <w:rPr>
          <w:lang w:val="ro-RO"/>
        </w:rPr>
        <w:t>primul paragraf</w:t>
      </w:r>
      <w:r w:rsidRPr="00857CDA">
        <w:rPr>
          <w:lang w:val="ro-RO"/>
        </w:rPr>
        <w:t xml:space="preserve">, </w:t>
      </w:r>
      <w:r w:rsidR="00991390" w:rsidRPr="00857CDA">
        <w:rPr>
          <w:lang w:val="ro-RO"/>
        </w:rPr>
        <w:t>după</w:t>
      </w:r>
      <w:r w:rsidRPr="00857CDA">
        <w:rPr>
          <w:lang w:val="ro-RO"/>
        </w:rPr>
        <w:t xml:space="preserve"> </w:t>
      </w:r>
      <w:r w:rsidR="00091658" w:rsidRPr="00857CDA">
        <w:rPr>
          <w:lang w:val="ro-RO"/>
        </w:rPr>
        <w:t>„</w:t>
      </w:r>
      <w:r w:rsidRPr="00857CDA">
        <w:rPr>
          <w:lang w:val="ro-RO"/>
        </w:rPr>
        <w:t>FL</w:t>
      </w:r>
      <w:r w:rsidR="00660131" w:rsidRPr="00857CDA">
        <w:rPr>
          <w:lang w:val="ro-RO"/>
        </w:rPr>
        <w:t>”</w:t>
      </w:r>
      <w:r w:rsidRPr="00857CDA">
        <w:rPr>
          <w:lang w:val="ro-RO"/>
        </w:rPr>
        <w:t xml:space="preserve">, </w:t>
      </w:r>
      <w:r w:rsidR="00902C44" w:rsidRPr="00857CDA">
        <w:rPr>
          <w:lang w:val="ro-RO"/>
        </w:rPr>
        <w:t>Se șterge</w:t>
      </w:r>
      <w:r w:rsidRPr="00857CDA">
        <w:rPr>
          <w:lang w:val="ro-RO"/>
        </w:rPr>
        <w:t xml:space="preserve"> </w:t>
      </w:r>
      <w:r w:rsidR="00D85951" w:rsidRPr="00857CDA">
        <w:rPr>
          <w:lang w:val="ro-RO"/>
        </w:rPr>
        <w:t>“ ,</w:t>
      </w:r>
      <w:r w:rsidRPr="00857CDA">
        <w:rPr>
          <w:lang w:val="ro-RO"/>
        </w:rPr>
        <w:t xml:space="preserve"> OX</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091658" w:rsidRPr="00857CDA">
        <w:rPr>
          <w:lang w:val="ro-RO"/>
        </w:rPr>
        <w:t>„</w:t>
      </w:r>
      <w:r w:rsidRPr="00857CDA">
        <w:rPr>
          <w:lang w:val="ro-RO"/>
        </w:rPr>
        <w:t>31 d</w:t>
      </w:r>
      <w:r w:rsidR="00091658" w:rsidRPr="00857CDA">
        <w:rPr>
          <w:lang w:val="ro-RO"/>
        </w:rPr>
        <w:t>e</w:t>
      </w:r>
      <w:r w:rsidRPr="00857CDA">
        <w:rPr>
          <w:lang w:val="ro-RO"/>
        </w:rPr>
        <w:t>cembr</w:t>
      </w:r>
      <w:r w:rsidR="00091658" w:rsidRPr="00857CDA">
        <w:rPr>
          <w:lang w:val="ro-RO"/>
        </w:rPr>
        <w:t>i</w:t>
      </w:r>
      <w:r w:rsidRPr="00857CDA">
        <w:rPr>
          <w:lang w:val="ro-RO"/>
        </w:rPr>
        <w:t>e 2016</w:t>
      </w:r>
      <w:r w:rsidR="00660131" w:rsidRPr="00857CDA">
        <w:rPr>
          <w:lang w:val="ro-RO"/>
        </w:rPr>
        <w:t>”</w:t>
      </w:r>
      <w:r w:rsidR="00902C44" w:rsidRPr="00857CDA">
        <w:rPr>
          <w:lang w:val="ro-RO"/>
        </w:rPr>
        <w:t xml:space="preserve"> cu </w:t>
      </w:r>
      <w:r w:rsidR="00091658" w:rsidRPr="00857CDA">
        <w:rPr>
          <w:lang w:val="ro-RO"/>
        </w:rPr>
        <w:t>„31 de</w:t>
      </w:r>
      <w:r w:rsidRPr="00857CDA">
        <w:rPr>
          <w:lang w:val="ro-RO"/>
        </w:rPr>
        <w:t>cembr</w:t>
      </w:r>
      <w:r w:rsidR="00091658" w:rsidRPr="00857CDA">
        <w:rPr>
          <w:lang w:val="ro-RO"/>
        </w:rPr>
        <w:t>i</w:t>
      </w:r>
      <w:r w:rsidRPr="00857CDA">
        <w:rPr>
          <w:lang w:val="ro-RO"/>
        </w:rPr>
        <w:t>e 2018</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091658" w:rsidRPr="00857CDA">
        <w:rPr>
          <w:lang w:val="ro-RO"/>
        </w:rPr>
        <w:t>„</w:t>
      </w:r>
      <w:r w:rsidRPr="00857CDA">
        <w:rPr>
          <w:lang w:val="ro-RO"/>
        </w:rPr>
        <w:t>31 mar</w:t>
      </w:r>
      <w:r w:rsidR="00091658" w:rsidRPr="00857CDA">
        <w:rPr>
          <w:lang w:val="ro-RO"/>
        </w:rPr>
        <w:t>tie</w:t>
      </w:r>
      <w:r w:rsidRPr="00857CDA">
        <w:rPr>
          <w:lang w:val="ro-RO"/>
        </w:rPr>
        <w:t xml:space="preserve"> 2018</w:t>
      </w:r>
      <w:r w:rsidR="00660131" w:rsidRPr="00857CDA">
        <w:rPr>
          <w:lang w:val="ro-RO"/>
        </w:rPr>
        <w:t>”</w:t>
      </w:r>
      <w:r w:rsidR="00902C44" w:rsidRPr="00857CDA">
        <w:rPr>
          <w:lang w:val="ro-RO"/>
        </w:rPr>
        <w:t xml:space="preserve"> cu </w:t>
      </w:r>
      <w:r w:rsidR="00091658" w:rsidRPr="00857CDA">
        <w:rPr>
          <w:lang w:val="ro-RO"/>
        </w:rPr>
        <w:t>„</w:t>
      </w:r>
      <w:r w:rsidRPr="00857CDA">
        <w:rPr>
          <w:lang w:val="ro-RO"/>
        </w:rPr>
        <w:t>31 mar</w:t>
      </w:r>
      <w:r w:rsidR="00091658" w:rsidRPr="00857CDA">
        <w:rPr>
          <w:lang w:val="ro-RO"/>
        </w:rPr>
        <w:t>tie</w:t>
      </w:r>
      <w:r w:rsidRPr="00857CDA">
        <w:rPr>
          <w:lang w:val="ro-RO"/>
        </w:rPr>
        <w:t xml:space="preserve"> 2020</w:t>
      </w:r>
      <w:r w:rsidR="00660131" w:rsidRPr="00857CDA">
        <w:rPr>
          <w:lang w:val="ro-RO"/>
        </w:rPr>
        <w:t>”</w:t>
      </w:r>
      <w:r w:rsidRPr="00857CDA">
        <w:rPr>
          <w:lang w:val="ro-RO"/>
        </w:rPr>
        <w:t xml:space="preserve">. </w:t>
      </w:r>
    </w:p>
    <w:p w:rsidR="007F62A9" w:rsidRPr="00857CDA" w:rsidRDefault="007F62A9" w:rsidP="00B76415">
      <w:pPr>
        <w:pStyle w:val="ParNoG"/>
        <w:numPr>
          <w:ilvl w:val="0"/>
          <w:numId w:val="0"/>
        </w:numPr>
        <w:tabs>
          <w:tab w:val="left" w:pos="2268"/>
        </w:tabs>
        <w:ind w:left="1134"/>
        <w:rPr>
          <w:rFonts w:eastAsiaTheme="minorEastAsia"/>
          <w:lang w:val="ro-RO"/>
        </w:rPr>
      </w:pPr>
      <w:r w:rsidRPr="00857CDA">
        <w:rPr>
          <w:lang w:val="ro-RO"/>
        </w:rPr>
        <w:lastRenderedPageBreak/>
        <w:t>1.6.5</w:t>
      </w:r>
      <w:r w:rsidRPr="00857CDA">
        <w:rPr>
          <w:lang w:val="ro-RO"/>
        </w:rPr>
        <w:tab/>
      </w:r>
      <w:r w:rsidR="00902C44" w:rsidRPr="00857CDA">
        <w:rPr>
          <w:lang w:val="ro-RO"/>
        </w:rPr>
        <w:t>Se adaugă</w:t>
      </w:r>
      <w:r w:rsidRPr="00857CDA">
        <w:rPr>
          <w:lang w:val="ro-RO"/>
        </w:rPr>
        <w:t xml:space="preserve"> </w:t>
      </w:r>
      <w:r w:rsidR="004A4982" w:rsidRPr="00857CDA">
        <w:rPr>
          <w:lang w:val="ro-RO"/>
        </w:rPr>
        <w:t>următoarele măsuri tranzitorii noi</w:t>
      </w:r>
      <w:r w:rsidR="00091658" w:rsidRPr="00857CDA">
        <w:rPr>
          <w:lang w:val="ro-RO"/>
        </w:rPr>
        <w:t>:</w:t>
      </w:r>
      <w:r w:rsidRPr="00857CDA">
        <w:rPr>
          <w:lang w:val="ro-RO"/>
        </w:rPr>
        <w:t xml:space="preserve"> </w:t>
      </w:r>
    </w:p>
    <w:p w:rsidR="007F62A9" w:rsidRPr="00857CDA" w:rsidRDefault="00091658" w:rsidP="00AE1E0D">
      <w:pPr>
        <w:pStyle w:val="SingleTxtG"/>
        <w:rPr>
          <w:rFonts w:eastAsiaTheme="minorEastAsia"/>
          <w:lang w:val="ro-RO"/>
        </w:rPr>
      </w:pPr>
      <w:r w:rsidRPr="00857CDA">
        <w:rPr>
          <w:lang w:val="ro-RO"/>
        </w:rPr>
        <w:t>„</w:t>
      </w:r>
      <w:r w:rsidR="007F62A9" w:rsidRPr="00857CDA">
        <w:rPr>
          <w:lang w:val="ro-RO"/>
        </w:rPr>
        <w:t>1.6.5.21</w:t>
      </w:r>
      <w:r w:rsidR="007F62A9" w:rsidRPr="00857CDA">
        <w:rPr>
          <w:lang w:val="ro-RO"/>
        </w:rPr>
        <w:tab/>
      </w:r>
      <w:r w:rsidR="004A4982" w:rsidRPr="00857CDA">
        <w:rPr>
          <w:lang w:val="ro-RO"/>
        </w:rPr>
        <w:t xml:space="preserve">Certificatele de agreare pentru vehiculele EX/III destinate transportului de substanțe explozive în cisterne conforme cu </w:t>
      </w:r>
      <w:r w:rsidR="00AE1E0D" w:rsidRPr="00857CDA">
        <w:rPr>
          <w:lang w:val="ro-RO"/>
        </w:rPr>
        <w:t>prescripțiile</w:t>
      </w:r>
      <w:r w:rsidR="004A4982" w:rsidRPr="00857CDA">
        <w:rPr>
          <w:lang w:val="ro-RO"/>
        </w:rPr>
        <w:t xml:space="preserve"> de la 9.1.3.3 aplicabile până la 31 decembrie 2018 și eliberate înainte de 1 iulie 2019 și </w:t>
      </w:r>
      <w:r w:rsidR="00AE1E0D" w:rsidRPr="00857CDA">
        <w:rPr>
          <w:lang w:val="ro-RO"/>
        </w:rPr>
        <w:t xml:space="preserve">în care nu </w:t>
      </w:r>
      <w:r w:rsidR="004A4982" w:rsidRPr="00857CDA">
        <w:rPr>
          <w:lang w:val="ro-RO"/>
        </w:rPr>
        <w:t>există nicio mențiune referitoare la conformitatea vehiculului cu 9.7.9, pot fi utilizate până la următoarea inspecție tehnică anuală a vehiculului.</w:t>
      </w:r>
      <w:r w:rsidR="00660131" w:rsidRPr="00857CDA">
        <w:rPr>
          <w:lang w:val="ro-RO"/>
        </w:rPr>
        <w:t>”</w:t>
      </w:r>
      <w:r w:rsidR="007F62A9" w:rsidRPr="00857CDA">
        <w:rPr>
          <w:lang w:val="ro-RO"/>
        </w:rPr>
        <w:t>.</w:t>
      </w:r>
    </w:p>
    <w:p w:rsidR="00E70B2E" w:rsidRPr="00857CDA" w:rsidRDefault="00091658" w:rsidP="00AE1E0D">
      <w:pPr>
        <w:pStyle w:val="SingleTxtG"/>
        <w:tabs>
          <w:tab w:val="left" w:pos="2268"/>
        </w:tabs>
        <w:rPr>
          <w:lang w:val="ro-RO"/>
        </w:rPr>
      </w:pPr>
      <w:r w:rsidRPr="00857CDA">
        <w:rPr>
          <w:lang w:val="ro-RO"/>
        </w:rPr>
        <w:t>„</w:t>
      </w:r>
      <w:r w:rsidR="00E70B2E" w:rsidRPr="00857CDA">
        <w:rPr>
          <w:lang w:val="ro-RO"/>
        </w:rPr>
        <w:t>1.6.5.22</w:t>
      </w:r>
      <w:r w:rsidR="00E70B2E" w:rsidRPr="00857CDA">
        <w:rPr>
          <w:lang w:val="ro-RO"/>
        </w:rPr>
        <w:tab/>
      </w:r>
      <w:r w:rsidR="00AE1E0D" w:rsidRPr="00857CDA">
        <w:rPr>
          <w:lang w:val="ro-RO"/>
        </w:rPr>
        <w:t>Vehiculele înmatriculate (sau intrate în exploatare, în cazul în care înmatricularea nu este obligatorie) înainte de 1 ianuarie 2021 care respectă prescripțiile de la 9.7.3 aplicabile până la 31 decembrie 2018, dar care nu sunt respectă prescripțiile de la 9.7.3 aplicabile de la 1 ianuarie 2019, pot fi utilizate în continuare.</w:t>
      </w:r>
      <w:r w:rsidR="00660131" w:rsidRPr="00857CDA">
        <w:rPr>
          <w:lang w:val="ro-RO"/>
        </w:rPr>
        <w:t>”</w:t>
      </w:r>
      <w:r w:rsidR="00E70B2E" w:rsidRPr="00857CDA">
        <w:rPr>
          <w:lang w:val="ro-RO"/>
        </w:rPr>
        <w:t>.</w:t>
      </w:r>
    </w:p>
    <w:p w:rsidR="00A72211" w:rsidRPr="00857CDA" w:rsidRDefault="00A72211" w:rsidP="00A72211">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1.7</w:t>
      </w:r>
    </w:p>
    <w:p w:rsidR="005B49E9" w:rsidRPr="00857CDA" w:rsidRDefault="005B49E9" w:rsidP="005B49E9">
      <w:pPr>
        <w:pStyle w:val="SingleTxtG"/>
        <w:rPr>
          <w:lang w:val="ro-RO"/>
        </w:rPr>
      </w:pPr>
      <w:r w:rsidRPr="00857CDA">
        <w:rPr>
          <w:lang w:val="ro-RO"/>
        </w:rPr>
        <w:t xml:space="preserve">1.7.1.1 </w:t>
      </w:r>
      <w:r w:rsidRPr="00857CDA">
        <w:rPr>
          <w:lang w:val="ro-RO"/>
        </w:rPr>
        <w:tab/>
      </w:r>
      <w:r w:rsidR="00902C44" w:rsidRPr="00857CDA">
        <w:rPr>
          <w:lang w:val="ro-RO"/>
        </w:rPr>
        <w:t>Se modifică</w:t>
      </w:r>
      <w:r w:rsidRPr="00857CDA">
        <w:rPr>
          <w:lang w:val="ro-RO"/>
        </w:rPr>
        <w:t xml:space="preserve"> </w:t>
      </w:r>
      <w:r w:rsidR="00091658" w:rsidRPr="00857CDA">
        <w:rPr>
          <w:lang w:val="ro-RO"/>
        </w:rPr>
        <w:t>„</w:t>
      </w:r>
      <w:r w:rsidR="003238C9" w:rsidRPr="00857CDA">
        <w:rPr>
          <w:lang w:val="ro-RO"/>
        </w:rPr>
        <w:t>riscurilor de radiaţie, de criticitate și riscurilor termice</w:t>
      </w:r>
      <w:r w:rsidR="00660131" w:rsidRPr="00857CDA">
        <w:rPr>
          <w:lang w:val="ro-RO"/>
        </w:rPr>
        <w:t>”</w:t>
      </w:r>
      <w:r w:rsidR="00902C44" w:rsidRPr="00857CDA">
        <w:rPr>
          <w:lang w:val="ro-RO"/>
        </w:rPr>
        <w:t xml:space="preserve"> cu </w:t>
      </w:r>
      <w:r w:rsidR="00091658" w:rsidRPr="00857CDA">
        <w:rPr>
          <w:lang w:val="ro-RO"/>
        </w:rPr>
        <w:t>„</w:t>
      </w:r>
      <w:r w:rsidR="003238C9" w:rsidRPr="00857CDA">
        <w:rPr>
          <w:lang w:val="ro-RO"/>
        </w:rPr>
        <w:t>pericolelor de radiaţie, pericolelor de criticitate și pericolelor termice</w:t>
      </w:r>
      <w:r w:rsidR="00660131" w:rsidRPr="00857CDA">
        <w:rPr>
          <w:lang w:val="ro-RO"/>
        </w:rPr>
        <w:t>”</w:t>
      </w:r>
      <w:r w:rsidRPr="00857CDA">
        <w:rPr>
          <w:lang w:val="ro-RO"/>
        </w:rPr>
        <w:t>.</w:t>
      </w:r>
    </w:p>
    <w:p w:rsidR="005B49E9" w:rsidRPr="00857CDA" w:rsidRDefault="005B49E9" w:rsidP="005B49E9">
      <w:pPr>
        <w:pStyle w:val="SingleTxtG"/>
        <w:rPr>
          <w:lang w:val="ro-RO"/>
        </w:rPr>
      </w:pPr>
      <w:r w:rsidRPr="00857CDA">
        <w:rPr>
          <w:lang w:val="ro-RO"/>
        </w:rPr>
        <w:t>1.7.1.2</w:t>
      </w:r>
      <w:r w:rsidRPr="00857CDA">
        <w:rPr>
          <w:lang w:val="ro-RO"/>
        </w:rPr>
        <w:tab/>
      </w:r>
      <w:r w:rsidR="00B26115" w:rsidRPr="00857CDA">
        <w:rPr>
          <w:lang w:val="ro-RO"/>
        </w:rPr>
        <w:tab/>
      </w:r>
      <w:r w:rsidR="00902C44" w:rsidRPr="00857CDA">
        <w:rPr>
          <w:lang w:val="ro-RO"/>
        </w:rPr>
        <w:t xml:space="preserve">În </w:t>
      </w:r>
      <w:r w:rsidR="003238C9" w:rsidRPr="00857CDA">
        <w:rPr>
          <w:lang w:val="ro-RO"/>
        </w:rPr>
        <w:t>ultimul</w:t>
      </w:r>
      <w:r w:rsidRPr="00857CDA">
        <w:rPr>
          <w:lang w:val="ro-RO"/>
        </w:rPr>
        <w:t xml:space="preserve"> paragra</w:t>
      </w:r>
      <w:r w:rsidR="003238C9" w:rsidRPr="00857CDA">
        <w:rPr>
          <w:lang w:val="ro-RO"/>
        </w:rPr>
        <w:t>f</w:t>
      </w:r>
      <w:r w:rsidRPr="00857CDA">
        <w:rPr>
          <w:lang w:val="ro-RO"/>
        </w:rPr>
        <w:t xml:space="preserve">, </w:t>
      </w:r>
      <w:r w:rsidR="00902C44" w:rsidRPr="00857CDA">
        <w:rPr>
          <w:lang w:val="ro-RO"/>
        </w:rPr>
        <w:t>Se modifică</w:t>
      </w:r>
      <w:r w:rsidRPr="00857CDA">
        <w:rPr>
          <w:lang w:val="ro-RO"/>
        </w:rPr>
        <w:t xml:space="preserve"> </w:t>
      </w:r>
      <w:r w:rsidR="00091658" w:rsidRPr="00857CDA">
        <w:rPr>
          <w:lang w:val="ro-RO"/>
        </w:rPr>
        <w:t>„</w:t>
      </w:r>
      <w:r w:rsidR="003238C9" w:rsidRPr="00857CDA">
        <w:rPr>
          <w:lang w:val="ro-RO"/>
        </w:rPr>
        <w:t>riscului prezentat de conţinutul radioactiv</w:t>
      </w:r>
      <w:r w:rsidR="00660131" w:rsidRPr="00857CDA">
        <w:rPr>
          <w:lang w:val="ro-RO"/>
        </w:rPr>
        <w:t>”</w:t>
      </w:r>
      <w:r w:rsidR="00902C44" w:rsidRPr="00857CDA">
        <w:rPr>
          <w:lang w:val="ro-RO"/>
        </w:rPr>
        <w:t xml:space="preserve"> cu </w:t>
      </w:r>
      <w:r w:rsidR="00091658" w:rsidRPr="00857CDA">
        <w:rPr>
          <w:lang w:val="ro-RO"/>
        </w:rPr>
        <w:t>„</w:t>
      </w:r>
      <w:r w:rsidR="003238C9" w:rsidRPr="00857CDA">
        <w:rPr>
          <w:lang w:val="ro-RO"/>
        </w:rPr>
        <w:t>pericolului prezentat de conţinutul radioactiv</w:t>
      </w:r>
      <w:r w:rsidR="00660131" w:rsidRPr="00857CDA">
        <w:rPr>
          <w:lang w:val="ro-RO"/>
        </w:rPr>
        <w:t>”</w:t>
      </w:r>
      <w:r w:rsidRPr="00857CDA">
        <w:rPr>
          <w:lang w:val="ro-RO"/>
        </w:rPr>
        <w:t>.</w:t>
      </w:r>
    </w:p>
    <w:p w:rsidR="005B49E9" w:rsidRPr="00857CDA" w:rsidRDefault="005B49E9" w:rsidP="005B49E9">
      <w:pPr>
        <w:spacing w:before="120" w:after="120" w:line="240" w:lineRule="auto"/>
        <w:ind w:left="1134" w:right="1134"/>
        <w:jc w:val="both"/>
        <w:rPr>
          <w:iCs/>
          <w:lang w:val="ro-RO"/>
        </w:rPr>
      </w:pPr>
      <w:r w:rsidRPr="00857CDA">
        <w:rPr>
          <w:lang w:val="ro-RO"/>
        </w:rPr>
        <w:t>1.7.5</w:t>
      </w:r>
      <w:r w:rsidRPr="00857CDA">
        <w:rPr>
          <w:lang w:val="ro-RO"/>
        </w:rPr>
        <w:tab/>
      </w:r>
      <w:r w:rsidR="00902C44" w:rsidRPr="00857CDA">
        <w:rPr>
          <w:lang w:val="ro-RO"/>
        </w:rPr>
        <w:t xml:space="preserve">În </w:t>
      </w:r>
      <w:r w:rsidR="00857CDA" w:rsidRPr="00857CDA">
        <w:rPr>
          <w:lang w:val="ro-RO"/>
        </w:rPr>
        <w:t>prima</w:t>
      </w:r>
      <w:r w:rsidRPr="00857CDA">
        <w:rPr>
          <w:lang w:val="ro-RO"/>
        </w:rPr>
        <w:t xml:space="preserve"> </w:t>
      </w:r>
      <w:r w:rsidR="003238C9" w:rsidRPr="00857CDA">
        <w:rPr>
          <w:lang w:val="ro-RO"/>
        </w:rPr>
        <w:t>f</w:t>
      </w:r>
      <w:r w:rsidRPr="00857CDA">
        <w:rPr>
          <w:lang w:val="ro-RO"/>
        </w:rPr>
        <w:t>ra</w:t>
      </w:r>
      <w:r w:rsidR="003238C9" w:rsidRPr="00857CDA">
        <w:rPr>
          <w:lang w:val="ro-RO"/>
        </w:rPr>
        <w:t>ză</w:t>
      </w:r>
      <w:r w:rsidRPr="00857CDA">
        <w:rPr>
          <w:lang w:val="ro-RO"/>
        </w:rPr>
        <w:t xml:space="preserve">, </w:t>
      </w:r>
      <w:r w:rsidR="00902C44" w:rsidRPr="00857CDA">
        <w:rPr>
          <w:lang w:val="ro-RO"/>
        </w:rPr>
        <w:t>Se modifică</w:t>
      </w:r>
      <w:r w:rsidRPr="00857CDA">
        <w:rPr>
          <w:lang w:val="ro-RO"/>
        </w:rPr>
        <w:t xml:space="preserve"> </w:t>
      </w:r>
      <w:r w:rsidR="00091658" w:rsidRPr="00857CDA">
        <w:rPr>
          <w:lang w:val="ro-RO"/>
        </w:rPr>
        <w:t>„</w:t>
      </w:r>
      <w:r w:rsidR="002B679C" w:rsidRPr="00857CDA">
        <w:rPr>
          <w:lang w:val="ro-RO"/>
        </w:rPr>
        <w:t>risc</w:t>
      </w:r>
      <w:r w:rsidRPr="00857CDA">
        <w:rPr>
          <w:lang w:val="ro-RO"/>
        </w:rPr>
        <w:t xml:space="preserve"> </w:t>
      </w:r>
      <w:r w:rsidR="00936848" w:rsidRPr="00857CDA">
        <w:rPr>
          <w:lang w:val="ro-RO"/>
        </w:rPr>
        <w:t>secundar</w:t>
      </w:r>
      <w:r w:rsidR="00660131" w:rsidRPr="00857CDA">
        <w:rPr>
          <w:lang w:val="ro-RO"/>
        </w:rPr>
        <w:t>”</w:t>
      </w:r>
      <w:r w:rsidR="00902C44" w:rsidRPr="00857CDA">
        <w:rPr>
          <w:lang w:val="ro-RO"/>
        </w:rPr>
        <w:t xml:space="preserve"> cu </w:t>
      </w:r>
      <w:r w:rsidR="00091658" w:rsidRPr="00857CDA">
        <w:rPr>
          <w:lang w:val="ro-RO"/>
        </w:rPr>
        <w:t>„</w:t>
      </w:r>
      <w:r w:rsidR="002B679C" w:rsidRPr="00857CDA">
        <w:rPr>
          <w:lang w:val="ro-RO"/>
        </w:rPr>
        <w:t>pericol</w:t>
      </w:r>
      <w:r w:rsidRPr="00857CDA">
        <w:rPr>
          <w:lang w:val="ro-RO"/>
        </w:rPr>
        <w:t xml:space="preserve"> </w:t>
      </w:r>
      <w:r w:rsidR="00936848" w:rsidRPr="00857CDA">
        <w:rPr>
          <w:lang w:val="ro-RO"/>
        </w:rPr>
        <w:t>secundar</w:t>
      </w:r>
      <w:r w:rsidR="00660131" w:rsidRPr="00857CDA">
        <w:rPr>
          <w:lang w:val="ro-RO"/>
        </w:rPr>
        <w:t>”</w:t>
      </w:r>
      <w:r w:rsidRPr="00857CDA">
        <w:rPr>
          <w:lang w:val="ro-RO"/>
        </w:rPr>
        <w:t>.</w:t>
      </w:r>
    </w:p>
    <w:p w:rsidR="007F62A9" w:rsidRPr="00857CDA" w:rsidRDefault="007F62A9" w:rsidP="007F62A9">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1.8</w:t>
      </w:r>
    </w:p>
    <w:p w:rsidR="007F62A9" w:rsidRPr="00857CDA" w:rsidRDefault="007F62A9" w:rsidP="00F82E78">
      <w:pPr>
        <w:pStyle w:val="SingleTxtG"/>
        <w:tabs>
          <w:tab w:val="left" w:pos="2268"/>
        </w:tabs>
        <w:rPr>
          <w:lang w:val="ro-RO"/>
        </w:rPr>
      </w:pPr>
      <w:r w:rsidRPr="00857CDA">
        <w:rPr>
          <w:lang w:val="ro-RO"/>
        </w:rPr>
        <w:t>1.8.3.1</w:t>
      </w:r>
      <w:r w:rsidRPr="00857CDA">
        <w:rPr>
          <w:lang w:val="ro-RO"/>
        </w:rPr>
        <w:tab/>
      </w:r>
      <w:r w:rsidR="00991390" w:rsidRPr="00857CDA">
        <w:rPr>
          <w:lang w:val="ro-RO"/>
        </w:rPr>
        <w:t>După</w:t>
      </w:r>
      <w:r w:rsidRPr="00857CDA">
        <w:rPr>
          <w:lang w:val="ro-RO"/>
        </w:rPr>
        <w:t xml:space="preserve"> </w:t>
      </w:r>
      <w:r w:rsidR="00091658" w:rsidRPr="00857CDA">
        <w:rPr>
          <w:lang w:val="ro-RO"/>
        </w:rPr>
        <w:t>„</w:t>
      </w:r>
      <w:r w:rsidR="00DA6F45" w:rsidRPr="00857CDA">
        <w:rPr>
          <w:lang w:val="ro-RO"/>
        </w:rPr>
        <w:t>a cărei activitate include</w:t>
      </w:r>
      <w:r w:rsidR="00660131" w:rsidRPr="00857CDA">
        <w:rPr>
          <w:lang w:val="ro-RO"/>
        </w:rPr>
        <w:t>”</w:t>
      </w:r>
      <w:r w:rsidR="00595819" w:rsidRPr="00857CDA">
        <w:rPr>
          <w:lang w:val="ro-RO"/>
        </w:rPr>
        <w:t xml:space="preserve">, </w:t>
      </w:r>
      <w:r w:rsidR="000022EF" w:rsidRPr="00857CDA">
        <w:rPr>
          <w:lang w:val="ro-RO"/>
        </w:rPr>
        <w:t>se introduce</w:t>
      </w:r>
      <w:r w:rsidR="00595819" w:rsidRPr="00857CDA">
        <w:rPr>
          <w:lang w:val="ro-RO"/>
        </w:rPr>
        <w:t xml:space="preserve"> </w:t>
      </w:r>
      <w:r w:rsidR="00091658" w:rsidRPr="00857CDA">
        <w:rPr>
          <w:lang w:val="ro-RO"/>
        </w:rPr>
        <w:t>„</w:t>
      </w:r>
      <w:r w:rsidRPr="00857CDA">
        <w:rPr>
          <w:lang w:val="ro-RO"/>
        </w:rPr>
        <w:t>exp</w:t>
      </w:r>
      <w:r w:rsidR="00DA6F45" w:rsidRPr="00857CDA">
        <w:rPr>
          <w:lang w:val="ro-RO"/>
        </w:rPr>
        <w:t>e</w:t>
      </w:r>
      <w:r w:rsidRPr="00857CDA">
        <w:rPr>
          <w:lang w:val="ro-RO"/>
        </w:rPr>
        <w:t>di</w:t>
      </w:r>
      <w:r w:rsidR="00DA6F45" w:rsidRPr="00857CDA">
        <w:rPr>
          <w:lang w:val="ro-RO"/>
        </w:rPr>
        <w:t>erea</w:t>
      </w:r>
      <w:r w:rsidRPr="00857CDA">
        <w:rPr>
          <w:lang w:val="ro-RO"/>
        </w:rPr>
        <w:t>,</w:t>
      </w:r>
      <w:r w:rsidR="00660131" w:rsidRPr="00857CDA">
        <w:rPr>
          <w:lang w:val="ro-RO"/>
        </w:rPr>
        <w:t>”</w:t>
      </w:r>
      <w:r w:rsidRPr="00857CDA">
        <w:rPr>
          <w:lang w:val="ro-RO"/>
        </w:rPr>
        <w:t>.</w:t>
      </w:r>
    </w:p>
    <w:p w:rsidR="007F62A9" w:rsidRPr="00857CDA" w:rsidRDefault="007F62A9" w:rsidP="00F82E78">
      <w:pPr>
        <w:pStyle w:val="SingleTxtG"/>
        <w:tabs>
          <w:tab w:val="left" w:pos="2268"/>
        </w:tabs>
        <w:rPr>
          <w:lang w:val="ro-RO"/>
        </w:rPr>
      </w:pPr>
      <w:r w:rsidRPr="00857CDA">
        <w:rPr>
          <w:lang w:val="ro-RO"/>
        </w:rPr>
        <w:t>1.8.3.2</w:t>
      </w:r>
      <w:r w:rsidRPr="00857CDA">
        <w:rPr>
          <w:lang w:val="ro-RO"/>
        </w:rPr>
        <w:tab/>
      </w:r>
      <w:r w:rsidR="00772306" w:rsidRPr="00857CDA">
        <w:rPr>
          <w:lang w:val="ro-RO"/>
        </w:rPr>
        <w:t>La litera</w:t>
      </w:r>
      <w:r w:rsidRPr="00857CDA">
        <w:rPr>
          <w:lang w:val="ro-RO"/>
        </w:rPr>
        <w:t xml:space="preserve"> a), </w:t>
      </w:r>
      <w:r w:rsidR="00902C44" w:rsidRPr="00857CDA">
        <w:rPr>
          <w:lang w:val="ro-RO"/>
        </w:rPr>
        <w:t>Se modifică</w:t>
      </w:r>
      <w:r w:rsidRPr="00857CDA">
        <w:rPr>
          <w:lang w:val="ro-RO"/>
        </w:rPr>
        <w:t xml:space="preserve"> </w:t>
      </w:r>
      <w:r w:rsidR="00091658" w:rsidRPr="00857CDA">
        <w:rPr>
          <w:lang w:val="ro-RO"/>
        </w:rPr>
        <w:t>„</w:t>
      </w:r>
      <w:r w:rsidR="0052050B" w:rsidRPr="00857CDA">
        <w:rPr>
          <w:lang w:val="ro-RO"/>
        </w:rPr>
        <w:t>cantităţi limitate, pentru fiecare unitate de transport, situate sub pragurile menţionate</w:t>
      </w:r>
      <w:r w:rsidR="00660131" w:rsidRPr="00857CDA">
        <w:rPr>
          <w:lang w:val="ro-RO"/>
        </w:rPr>
        <w:t>”</w:t>
      </w:r>
      <w:r w:rsidR="00902C44" w:rsidRPr="00857CDA">
        <w:rPr>
          <w:lang w:val="ro-RO"/>
        </w:rPr>
        <w:t xml:space="preserve"> cu </w:t>
      </w:r>
      <w:r w:rsidR="00091658" w:rsidRPr="00857CDA">
        <w:rPr>
          <w:lang w:val="ro-RO"/>
        </w:rPr>
        <w:t>„</w:t>
      </w:r>
      <w:r w:rsidR="0052050B" w:rsidRPr="00857CDA">
        <w:rPr>
          <w:lang w:val="ro-RO"/>
        </w:rPr>
        <w:t>cantităţi, pentru fiecare unitate de transport, care nu le depășesc pe cele menţionate</w:t>
      </w:r>
      <w:r w:rsidR="00660131" w:rsidRPr="00857CDA">
        <w:rPr>
          <w:lang w:val="ro-RO"/>
        </w:rPr>
        <w:t>”</w:t>
      </w:r>
      <w:r w:rsidRPr="00857CDA">
        <w:rPr>
          <w:lang w:val="ro-RO"/>
        </w:rPr>
        <w:t>.</w:t>
      </w:r>
    </w:p>
    <w:p w:rsidR="007F62A9" w:rsidRPr="00857CDA" w:rsidRDefault="007F62A9" w:rsidP="00F82E78">
      <w:pPr>
        <w:pStyle w:val="SingleTxtG"/>
        <w:tabs>
          <w:tab w:val="left" w:pos="2268"/>
        </w:tabs>
        <w:rPr>
          <w:lang w:val="ro-RO"/>
        </w:rPr>
      </w:pPr>
      <w:r w:rsidRPr="00857CDA">
        <w:rPr>
          <w:lang w:val="ro-RO"/>
        </w:rPr>
        <w:t>1.8.3.3</w:t>
      </w:r>
      <w:r w:rsidRPr="00857CDA">
        <w:rPr>
          <w:lang w:val="ro-RO"/>
        </w:rPr>
        <w:tab/>
      </w:r>
      <w:r w:rsidR="00902C44" w:rsidRPr="00857CDA">
        <w:rPr>
          <w:lang w:val="ro-RO"/>
        </w:rPr>
        <w:t xml:space="preserve">În </w:t>
      </w:r>
      <w:r w:rsidR="00772306" w:rsidRPr="00857CDA">
        <w:rPr>
          <w:lang w:val="ro-RO"/>
        </w:rPr>
        <w:t xml:space="preserve">cel de al doilea </w:t>
      </w:r>
      <w:r w:rsidRPr="00857CDA">
        <w:rPr>
          <w:lang w:val="ro-RO"/>
        </w:rPr>
        <w:t>paragra</w:t>
      </w:r>
      <w:r w:rsidR="00772306" w:rsidRPr="00857CDA">
        <w:rPr>
          <w:lang w:val="ro-RO"/>
        </w:rPr>
        <w:t>f</w:t>
      </w:r>
      <w:r w:rsidRPr="00857CDA">
        <w:rPr>
          <w:lang w:val="ro-RO"/>
        </w:rPr>
        <w:t xml:space="preserve">, </w:t>
      </w:r>
      <w:r w:rsidR="00772306" w:rsidRPr="00857CDA">
        <w:rPr>
          <w:lang w:val="ro-RO"/>
        </w:rPr>
        <w:t>la al nouălea alineat</w:t>
      </w:r>
      <w:r w:rsidRPr="00857CDA">
        <w:rPr>
          <w:lang w:val="ro-RO"/>
        </w:rPr>
        <w:t xml:space="preserve">, </w:t>
      </w:r>
      <w:r w:rsidR="00991390" w:rsidRPr="00857CDA">
        <w:rPr>
          <w:lang w:val="ro-RO"/>
        </w:rPr>
        <w:t>după</w:t>
      </w:r>
      <w:r w:rsidRPr="00857CDA">
        <w:rPr>
          <w:lang w:val="ro-RO"/>
        </w:rPr>
        <w:t xml:space="preserve"> </w:t>
      </w:r>
      <w:r w:rsidR="00091658" w:rsidRPr="00857CDA">
        <w:rPr>
          <w:lang w:val="ro-RO"/>
        </w:rPr>
        <w:t>„</w:t>
      </w:r>
      <w:r w:rsidR="0052050B" w:rsidRPr="00857CDA">
        <w:rPr>
          <w:lang w:val="ro-RO"/>
        </w:rPr>
        <w:t>personalul alocat</w:t>
      </w:r>
      <w:r w:rsidR="00660131" w:rsidRPr="00857CDA">
        <w:rPr>
          <w:lang w:val="ro-RO"/>
        </w:rPr>
        <w:t>”</w:t>
      </w:r>
      <w:r w:rsidR="00AC211C" w:rsidRPr="00857CDA">
        <w:rPr>
          <w:lang w:val="ro-RO"/>
        </w:rPr>
        <w:t xml:space="preserve">, </w:t>
      </w:r>
      <w:r w:rsidR="000022EF" w:rsidRPr="00857CDA">
        <w:rPr>
          <w:lang w:val="ro-RO"/>
        </w:rPr>
        <w:t>se introduce</w:t>
      </w:r>
      <w:r w:rsidRPr="00857CDA">
        <w:rPr>
          <w:lang w:val="ro-RO"/>
        </w:rPr>
        <w:t xml:space="preserve"> </w:t>
      </w:r>
      <w:r w:rsidR="00091658" w:rsidRPr="00857CDA">
        <w:rPr>
          <w:lang w:val="ro-RO"/>
        </w:rPr>
        <w:t>„</w:t>
      </w:r>
      <w:r w:rsidR="0052050B" w:rsidRPr="00857CDA">
        <w:rPr>
          <w:lang w:val="ro-RO"/>
        </w:rPr>
        <w:t>efectuării expedierilor</w:t>
      </w:r>
      <w:r w:rsidRPr="00857CDA">
        <w:rPr>
          <w:lang w:val="ro-RO"/>
        </w:rPr>
        <w:t>,</w:t>
      </w:r>
      <w:r w:rsidR="00660131" w:rsidRPr="00857CDA">
        <w:rPr>
          <w:lang w:val="ro-RO"/>
        </w:rPr>
        <w:t>”</w:t>
      </w:r>
      <w:r w:rsidRPr="00857CDA">
        <w:rPr>
          <w:lang w:val="ro-RO"/>
        </w:rPr>
        <w:t>.</w:t>
      </w:r>
    </w:p>
    <w:p w:rsidR="007F62A9" w:rsidRPr="00857CDA" w:rsidRDefault="007F62A9" w:rsidP="00F82E78">
      <w:pPr>
        <w:pStyle w:val="SingleTxtG"/>
        <w:tabs>
          <w:tab w:val="left" w:pos="2268"/>
        </w:tabs>
        <w:rPr>
          <w:lang w:val="ro-RO"/>
        </w:rPr>
      </w:pPr>
      <w:r w:rsidRPr="00857CDA">
        <w:rPr>
          <w:lang w:val="ro-RO"/>
        </w:rPr>
        <w:t>1.8.3.18</w:t>
      </w:r>
      <w:r w:rsidRPr="00857CDA">
        <w:rPr>
          <w:lang w:val="ro-RO"/>
        </w:rPr>
        <w:tab/>
      </w:r>
      <w:r w:rsidR="00902C44" w:rsidRPr="00857CDA">
        <w:rPr>
          <w:lang w:val="ro-RO"/>
        </w:rPr>
        <w:t xml:space="preserve">În </w:t>
      </w:r>
      <w:r w:rsidR="00772306" w:rsidRPr="00857CDA">
        <w:rPr>
          <w:lang w:val="ro-RO"/>
        </w:rPr>
        <w:t>cea de a opta rubrică</w:t>
      </w:r>
      <w:r w:rsidRPr="00857CDA">
        <w:rPr>
          <w:lang w:val="ro-RO"/>
        </w:rPr>
        <w:t xml:space="preserve"> </w:t>
      </w:r>
      <w:r w:rsidR="00772306" w:rsidRPr="00857CDA">
        <w:rPr>
          <w:lang w:val="ro-RO"/>
        </w:rPr>
        <w:t>a</w:t>
      </w:r>
      <w:r w:rsidRPr="00857CDA">
        <w:rPr>
          <w:lang w:val="ro-RO"/>
        </w:rPr>
        <w:t xml:space="preserve"> mod</w:t>
      </w:r>
      <w:r w:rsidR="00772306" w:rsidRPr="00857CDA">
        <w:rPr>
          <w:lang w:val="ro-RO"/>
        </w:rPr>
        <w:t>e</w:t>
      </w:r>
      <w:r w:rsidRPr="00857CDA">
        <w:rPr>
          <w:lang w:val="ro-RO"/>
        </w:rPr>
        <w:t>l</w:t>
      </w:r>
      <w:r w:rsidR="00772306" w:rsidRPr="00857CDA">
        <w:rPr>
          <w:lang w:val="ro-RO"/>
        </w:rPr>
        <w:t>ului</w:t>
      </w:r>
      <w:r w:rsidRPr="00857CDA">
        <w:rPr>
          <w:lang w:val="ro-RO"/>
        </w:rPr>
        <w:t xml:space="preserve"> certificat</w:t>
      </w:r>
      <w:r w:rsidR="00772306" w:rsidRPr="00857CDA">
        <w:rPr>
          <w:lang w:val="ro-RO"/>
        </w:rPr>
        <w:t>ului</w:t>
      </w:r>
      <w:r w:rsidRPr="00857CDA">
        <w:rPr>
          <w:lang w:val="ro-RO"/>
        </w:rPr>
        <w:t xml:space="preserve"> (</w:t>
      </w:r>
      <w:r w:rsidR="00091658" w:rsidRPr="00857CDA">
        <w:rPr>
          <w:lang w:val="ro-RO"/>
        </w:rPr>
        <w:t>„</w:t>
      </w:r>
      <w:r w:rsidRPr="00857CDA">
        <w:rPr>
          <w:lang w:val="ro-RO"/>
        </w:rPr>
        <w:t>Valab</w:t>
      </w:r>
      <w:r w:rsidR="00772306" w:rsidRPr="00857CDA">
        <w:rPr>
          <w:lang w:val="ro-RO"/>
        </w:rPr>
        <w:t>i</w:t>
      </w:r>
      <w:r w:rsidRPr="00857CDA">
        <w:rPr>
          <w:lang w:val="ro-RO"/>
        </w:rPr>
        <w:t>l</w:t>
      </w:r>
      <w:r w:rsidR="00772306" w:rsidRPr="00857CDA">
        <w:rPr>
          <w:lang w:val="ro-RO"/>
        </w:rPr>
        <w:t xml:space="preserve"> până la</w:t>
      </w:r>
      <w:r w:rsidRPr="00857CDA">
        <w:rPr>
          <w:lang w:val="ro-RO"/>
        </w:rPr>
        <w:t xml:space="preserve"> …</w:t>
      </w:r>
      <w:r w:rsidR="00660131" w:rsidRPr="00857CDA">
        <w:rPr>
          <w:lang w:val="ro-RO"/>
        </w:rPr>
        <w:t>”</w:t>
      </w:r>
      <w:r w:rsidRPr="00857CDA">
        <w:rPr>
          <w:lang w:val="ro-RO"/>
        </w:rPr>
        <w:t xml:space="preserve">), </w:t>
      </w:r>
      <w:r w:rsidR="00991390" w:rsidRPr="00857CDA">
        <w:rPr>
          <w:lang w:val="ro-RO"/>
        </w:rPr>
        <w:t>după</w:t>
      </w:r>
      <w:r w:rsidRPr="00857CDA">
        <w:rPr>
          <w:lang w:val="ro-RO"/>
        </w:rPr>
        <w:t xml:space="preserve"> </w:t>
      </w:r>
      <w:r w:rsidR="00091658" w:rsidRPr="00857CDA">
        <w:rPr>
          <w:lang w:val="ro-RO"/>
        </w:rPr>
        <w:t>„</w:t>
      </w:r>
      <w:r w:rsidR="0052050B" w:rsidRPr="00857CDA">
        <w:rPr>
          <w:lang w:val="ro-RO"/>
        </w:rPr>
        <w:t>operațiuni de</w:t>
      </w:r>
      <w:r w:rsidR="00660131" w:rsidRPr="00857CDA">
        <w:rPr>
          <w:lang w:val="ro-RO"/>
        </w:rPr>
        <w:t>”</w:t>
      </w:r>
      <w:r w:rsidR="00AC211C" w:rsidRPr="00857CDA">
        <w:rPr>
          <w:lang w:val="ro-RO"/>
        </w:rPr>
        <w:t xml:space="preserve">, </w:t>
      </w:r>
      <w:r w:rsidR="000022EF" w:rsidRPr="00857CDA">
        <w:rPr>
          <w:lang w:val="ro-RO"/>
        </w:rPr>
        <w:t>se introduce</w:t>
      </w:r>
      <w:r w:rsidRPr="00857CDA">
        <w:rPr>
          <w:lang w:val="ro-RO"/>
        </w:rPr>
        <w:t xml:space="preserve"> </w:t>
      </w:r>
      <w:r w:rsidR="00091658" w:rsidRPr="00857CDA">
        <w:rPr>
          <w:lang w:val="ro-RO"/>
        </w:rPr>
        <w:t>„</w:t>
      </w:r>
      <w:r w:rsidRPr="00857CDA">
        <w:rPr>
          <w:lang w:val="ro-RO"/>
        </w:rPr>
        <w:t>exp</w:t>
      </w:r>
      <w:r w:rsidR="0052050B" w:rsidRPr="00857CDA">
        <w:rPr>
          <w:lang w:val="ro-RO"/>
        </w:rPr>
        <w:t>e</w:t>
      </w:r>
      <w:r w:rsidRPr="00857CDA">
        <w:rPr>
          <w:lang w:val="ro-RO"/>
        </w:rPr>
        <w:t>di</w:t>
      </w:r>
      <w:r w:rsidR="0052050B" w:rsidRPr="00857CDA">
        <w:rPr>
          <w:lang w:val="ro-RO"/>
        </w:rPr>
        <w:t>ere</w:t>
      </w:r>
      <w:r w:rsidRPr="00857CDA">
        <w:rPr>
          <w:lang w:val="ro-RO"/>
        </w:rPr>
        <w:t>,</w:t>
      </w:r>
      <w:r w:rsidR="005274E2" w:rsidRPr="00857CDA">
        <w:rPr>
          <w:lang w:val="ro-RO"/>
        </w:rPr>
        <w:t xml:space="preserve"> </w:t>
      </w:r>
      <w:r w:rsidR="00660131" w:rsidRPr="00857CDA">
        <w:rPr>
          <w:lang w:val="ro-RO"/>
        </w:rPr>
        <w:t>”</w:t>
      </w:r>
      <w:r w:rsidRPr="00857CDA">
        <w:rPr>
          <w:lang w:val="ro-RO"/>
        </w:rPr>
        <w:t>.</w:t>
      </w:r>
    </w:p>
    <w:p w:rsidR="00E70B2E" w:rsidRPr="00857CDA" w:rsidRDefault="00E70B2E" w:rsidP="00F82E78">
      <w:pPr>
        <w:pStyle w:val="SingleTxtG"/>
        <w:tabs>
          <w:tab w:val="left" w:pos="2268"/>
        </w:tabs>
        <w:rPr>
          <w:lang w:val="ro-RO"/>
        </w:rPr>
      </w:pPr>
      <w:r w:rsidRPr="00857CDA">
        <w:rPr>
          <w:lang w:val="ro-RO"/>
        </w:rPr>
        <w:t>1.8.3</w:t>
      </w:r>
      <w:r w:rsidRPr="00857CDA">
        <w:rPr>
          <w:lang w:val="ro-RO"/>
        </w:rPr>
        <w:tab/>
      </w:r>
      <w:r w:rsidR="00772306" w:rsidRPr="00857CDA">
        <w:rPr>
          <w:lang w:val="ro-RO"/>
        </w:rPr>
        <w:t>Se introduce</w:t>
      </w:r>
      <w:r w:rsidRPr="00857CDA">
        <w:rPr>
          <w:lang w:val="ro-RO"/>
        </w:rPr>
        <w:t xml:space="preserve"> </w:t>
      </w:r>
      <w:r w:rsidR="00772306" w:rsidRPr="00857CDA">
        <w:rPr>
          <w:lang w:val="ro-RO"/>
        </w:rPr>
        <w:t>noua sub-secțiune</w:t>
      </w:r>
      <w:r w:rsidRPr="00857CDA">
        <w:rPr>
          <w:lang w:val="ro-RO"/>
        </w:rPr>
        <w:t xml:space="preserve"> 1.8.3.19</w:t>
      </w:r>
      <w:r w:rsidR="00772306" w:rsidRPr="00857CDA">
        <w:rPr>
          <w:lang w:val="ro-RO"/>
        </w:rPr>
        <w:t>, după cum urmează</w:t>
      </w:r>
      <w:r w:rsidRPr="00857CDA">
        <w:rPr>
          <w:lang w:val="ro-RO"/>
        </w:rPr>
        <w:t>:</w:t>
      </w:r>
    </w:p>
    <w:p w:rsidR="00E70B2E" w:rsidRPr="00857CDA" w:rsidRDefault="00091658" w:rsidP="00F82E78">
      <w:pPr>
        <w:pStyle w:val="SingleTxtG"/>
        <w:tabs>
          <w:tab w:val="left" w:pos="2268"/>
        </w:tabs>
        <w:rPr>
          <w:i/>
          <w:lang w:val="ro-RO"/>
        </w:rPr>
      </w:pPr>
      <w:r w:rsidRPr="00857CDA">
        <w:rPr>
          <w:lang w:val="ro-RO"/>
        </w:rPr>
        <w:t>„</w:t>
      </w:r>
      <w:r w:rsidR="00E70B2E" w:rsidRPr="00857CDA">
        <w:rPr>
          <w:lang w:val="ro-RO"/>
        </w:rPr>
        <w:t>1.8.3.19</w:t>
      </w:r>
      <w:r w:rsidR="00E70B2E" w:rsidRPr="00857CDA">
        <w:rPr>
          <w:lang w:val="ro-RO"/>
        </w:rPr>
        <w:tab/>
      </w:r>
      <w:r w:rsidR="00E70B2E" w:rsidRPr="00857CDA">
        <w:rPr>
          <w:i/>
          <w:lang w:val="ro-RO"/>
        </w:rPr>
        <w:t>Ext</w:t>
      </w:r>
      <w:r w:rsidR="005274E2" w:rsidRPr="00857CDA">
        <w:rPr>
          <w:i/>
          <w:lang w:val="ro-RO"/>
        </w:rPr>
        <w:t>i</w:t>
      </w:r>
      <w:r w:rsidR="00E70B2E" w:rsidRPr="00857CDA">
        <w:rPr>
          <w:i/>
          <w:lang w:val="ro-RO"/>
        </w:rPr>
        <w:t>n</w:t>
      </w:r>
      <w:r w:rsidR="005274E2" w:rsidRPr="00857CDA">
        <w:rPr>
          <w:i/>
          <w:lang w:val="ro-RO"/>
        </w:rPr>
        <w:t>derea</w:t>
      </w:r>
      <w:r w:rsidR="00E70B2E" w:rsidRPr="00857CDA">
        <w:rPr>
          <w:i/>
          <w:lang w:val="ro-RO"/>
        </w:rPr>
        <w:t xml:space="preserve"> certificat</w:t>
      </w:r>
      <w:r w:rsidR="005274E2" w:rsidRPr="00857CDA">
        <w:rPr>
          <w:i/>
          <w:lang w:val="ro-RO"/>
        </w:rPr>
        <w:t>ului</w:t>
      </w:r>
    </w:p>
    <w:p w:rsidR="00E70B2E" w:rsidRPr="00857CDA" w:rsidRDefault="005274E2" w:rsidP="005274E2">
      <w:pPr>
        <w:pStyle w:val="SingleTxtG"/>
        <w:tabs>
          <w:tab w:val="left" w:pos="2552"/>
        </w:tabs>
        <w:rPr>
          <w:lang w:val="ro-RO"/>
        </w:rPr>
      </w:pPr>
      <w:r w:rsidRPr="00857CDA">
        <w:rPr>
          <w:lang w:val="ro-RO"/>
        </w:rPr>
        <w:t>În cazul în care un consilier extinde domeniul de aplicare al certificatului, în perioada de valabilitate a acestuia, îndeplinind prescripțiile de la 1.8.3.16.2, durata de valabilitate a noului certificat rămâne cea a certificatului anterior</w:t>
      </w:r>
      <w:r w:rsidR="00E70B2E" w:rsidRPr="00857CDA">
        <w:rPr>
          <w:lang w:val="ro-RO"/>
        </w:rPr>
        <w:t>.</w:t>
      </w:r>
      <w:r w:rsidR="00660131" w:rsidRPr="00857CDA">
        <w:rPr>
          <w:lang w:val="ro-RO"/>
        </w:rPr>
        <w:t>”</w:t>
      </w:r>
      <w:r w:rsidR="00E70B2E" w:rsidRPr="00857CDA">
        <w:rPr>
          <w:lang w:val="ro-RO"/>
        </w:rPr>
        <w:t>.</w:t>
      </w:r>
    </w:p>
    <w:p w:rsidR="00E70B2E" w:rsidRPr="00857CDA" w:rsidRDefault="00E70B2E" w:rsidP="00E70B2E">
      <w:pPr>
        <w:pStyle w:val="H1G"/>
        <w:rPr>
          <w:lang w:val="ro-RO"/>
        </w:rPr>
      </w:pPr>
      <w:r w:rsidRPr="00857CDA">
        <w:rPr>
          <w:lang w:val="ro-RO"/>
        </w:rPr>
        <w:tab/>
      </w:r>
      <w:r w:rsidRPr="00857CDA">
        <w:rPr>
          <w:lang w:val="ro-RO"/>
        </w:rPr>
        <w:tab/>
      </w:r>
      <w:r w:rsidR="00902C44" w:rsidRPr="00857CDA">
        <w:rPr>
          <w:lang w:val="ro-RO"/>
        </w:rPr>
        <w:t>Capitolul</w:t>
      </w:r>
      <w:r w:rsidR="007113F3" w:rsidRPr="00857CDA">
        <w:rPr>
          <w:lang w:val="ro-RO"/>
        </w:rPr>
        <w:t xml:space="preserve"> </w:t>
      </w:r>
      <w:r w:rsidRPr="00857CDA">
        <w:rPr>
          <w:lang w:val="ro-RO"/>
        </w:rPr>
        <w:t>1.9</w:t>
      </w:r>
    </w:p>
    <w:p w:rsidR="00E70B2E" w:rsidRPr="00857CDA" w:rsidRDefault="00E70B2E" w:rsidP="00E70B2E">
      <w:pPr>
        <w:pStyle w:val="SingleTxtG"/>
        <w:rPr>
          <w:lang w:val="ro-RO"/>
        </w:rPr>
      </w:pPr>
      <w:r w:rsidRPr="00857CDA">
        <w:rPr>
          <w:lang w:val="ro-RO"/>
        </w:rPr>
        <w:t>1.9.5.2.2</w:t>
      </w:r>
      <w:r w:rsidRPr="00857CDA">
        <w:rPr>
          <w:lang w:val="ro-RO"/>
        </w:rPr>
        <w:tab/>
      </w:r>
      <w:r w:rsidR="00991390" w:rsidRPr="00857CDA">
        <w:rPr>
          <w:lang w:val="ro-RO"/>
        </w:rPr>
        <w:t>Pentru</w:t>
      </w:r>
      <w:r w:rsidRPr="00857CDA">
        <w:rPr>
          <w:lang w:val="ro-RO"/>
        </w:rPr>
        <w:t xml:space="preserve"> cat</w:t>
      </w:r>
      <w:r w:rsidR="007C4A3C" w:rsidRPr="00857CDA">
        <w:rPr>
          <w:lang w:val="ro-RO"/>
        </w:rPr>
        <w:t>e</w:t>
      </w:r>
      <w:r w:rsidRPr="00857CDA">
        <w:rPr>
          <w:lang w:val="ro-RO"/>
        </w:rPr>
        <w:t>gori</w:t>
      </w:r>
      <w:r w:rsidR="007C4A3C" w:rsidRPr="00857CDA">
        <w:rPr>
          <w:lang w:val="ro-RO"/>
        </w:rPr>
        <w:t>a</w:t>
      </w:r>
      <w:r w:rsidRPr="00857CDA">
        <w:rPr>
          <w:lang w:val="ro-RO"/>
        </w:rPr>
        <w:t xml:space="preserve"> </w:t>
      </w:r>
      <w:r w:rsidR="005274E2" w:rsidRPr="00857CDA">
        <w:rPr>
          <w:lang w:val="ro-RO"/>
        </w:rPr>
        <w:t xml:space="preserve">B </w:t>
      </w:r>
      <w:r w:rsidRPr="00857CDA">
        <w:rPr>
          <w:lang w:val="ro-RO"/>
        </w:rPr>
        <w:t>de tunel</w:t>
      </w:r>
      <w:r w:rsidR="005274E2" w:rsidRPr="00857CDA">
        <w:rPr>
          <w:lang w:val="ro-RO"/>
        </w:rPr>
        <w:t>uri</w:t>
      </w:r>
      <w:r w:rsidRPr="00857CDA">
        <w:rPr>
          <w:lang w:val="ro-RO"/>
        </w:rPr>
        <w:t xml:space="preserve">, </w:t>
      </w:r>
      <w:r w:rsidR="00545650" w:rsidRPr="00857CDA">
        <w:rPr>
          <w:lang w:val="ro-RO"/>
        </w:rPr>
        <w:t>în</w:t>
      </w:r>
      <w:r w:rsidRPr="00857CDA">
        <w:rPr>
          <w:lang w:val="ro-RO"/>
        </w:rPr>
        <w:t xml:space="preserve"> tab</w:t>
      </w:r>
      <w:r w:rsidR="007C4A3C" w:rsidRPr="00857CDA">
        <w:rPr>
          <w:lang w:val="ro-RO"/>
        </w:rPr>
        <w:t>e</w:t>
      </w:r>
      <w:r w:rsidRPr="00857CDA">
        <w:rPr>
          <w:lang w:val="ro-RO"/>
        </w:rPr>
        <w:t xml:space="preserve">l, </w:t>
      </w:r>
      <w:r w:rsidR="000022EF" w:rsidRPr="00857CDA">
        <w:rPr>
          <w:lang w:val="ro-RO"/>
        </w:rPr>
        <w:t>se introduce</w:t>
      </w:r>
      <w:r w:rsidRPr="00857CDA">
        <w:rPr>
          <w:lang w:val="ro-RO"/>
        </w:rPr>
        <w:t xml:space="preserve"> </w:t>
      </w:r>
      <w:r w:rsidR="007C4A3C" w:rsidRPr="00857CDA">
        <w:rPr>
          <w:lang w:val="ro-RO"/>
        </w:rPr>
        <w:t>o</w:t>
      </w:r>
      <w:r w:rsidRPr="00857CDA">
        <w:rPr>
          <w:lang w:val="ro-RO"/>
        </w:rPr>
        <w:t xml:space="preserve"> nou</w:t>
      </w:r>
      <w:r w:rsidR="007C4A3C" w:rsidRPr="00857CDA">
        <w:rPr>
          <w:lang w:val="ro-RO"/>
        </w:rPr>
        <w:t>ă</w:t>
      </w:r>
      <w:r w:rsidRPr="00857CDA">
        <w:rPr>
          <w:lang w:val="ro-RO"/>
        </w:rPr>
        <w:t xml:space="preserve"> rubri</w:t>
      </w:r>
      <w:r w:rsidR="007C4A3C" w:rsidRPr="00857CDA">
        <w:rPr>
          <w:lang w:val="ro-RO"/>
        </w:rPr>
        <w:t>că</w:t>
      </w:r>
      <w:r w:rsidRPr="00857CDA">
        <w:rPr>
          <w:lang w:val="ro-RO"/>
        </w:rPr>
        <w:t xml:space="preserve"> </w:t>
      </w:r>
      <w:r w:rsidR="00991390" w:rsidRPr="00857CDA">
        <w:rPr>
          <w:lang w:val="ro-RO"/>
        </w:rPr>
        <w:t>după</w:t>
      </w:r>
      <w:r w:rsidRPr="00857CDA">
        <w:rPr>
          <w:lang w:val="ro-RO"/>
        </w:rPr>
        <w:t xml:space="preserve"> </w:t>
      </w:r>
      <w:r w:rsidR="00091658" w:rsidRPr="00857CDA">
        <w:rPr>
          <w:lang w:val="ro-RO"/>
        </w:rPr>
        <w:t>„</w:t>
      </w:r>
      <w:r w:rsidR="002B679C" w:rsidRPr="00857CDA">
        <w:rPr>
          <w:lang w:val="ro-RO"/>
        </w:rPr>
        <w:t>Clasa</w:t>
      </w:r>
      <w:r w:rsidRPr="00857CDA">
        <w:rPr>
          <w:lang w:val="ro-RO"/>
        </w:rPr>
        <w:t xml:space="preserve"> 1: Grup</w:t>
      </w:r>
      <w:r w:rsidR="005274E2" w:rsidRPr="00857CDA">
        <w:rPr>
          <w:lang w:val="ro-RO"/>
        </w:rPr>
        <w:t xml:space="preserve">ele </w:t>
      </w:r>
      <w:r w:rsidRPr="00857CDA">
        <w:rPr>
          <w:lang w:val="ro-RO"/>
        </w:rPr>
        <w:t>de Compatibilit</w:t>
      </w:r>
      <w:r w:rsidR="007C4A3C" w:rsidRPr="00857CDA">
        <w:rPr>
          <w:lang w:val="ro-RO"/>
        </w:rPr>
        <w:t>ate</w:t>
      </w:r>
      <w:r w:rsidRPr="00857CDA">
        <w:rPr>
          <w:lang w:val="ro-RO"/>
        </w:rPr>
        <w:t xml:space="preserve"> A</w:t>
      </w:r>
      <w:r w:rsidR="004C27AD" w:rsidRPr="00857CDA">
        <w:rPr>
          <w:lang w:val="ro-RO"/>
        </w:rPr>
        <w:t xml:space="preserve"> și </w:t>
      </w:r>
      <w:r w:rsidRPr="00857CDA">
        <w:rPr>
          <w:lang w:val="ro-RO"/>
        </w:rPr>
        <w:t>L;</w:t>
      </w:r>
      <w:r w:rsidR="00660131" w:rsidRPr="00857CDA">
        <w:rPr>
          <w:lang w:val="ro-RO"/>
        </w:rPr>
        <w:t>”</w:t>
      </w:r>
      <w:r w:rsidRPr="00857CDA">
        <w:rPr>
          <w:lang w:val="ro-RO"/>
        </w:rPr>
        <w:t xml:space="preserve"> </w:t>
      </w:r>
      <w:r w:rsidR="002B679C" w:rsidRPr="00857CDA">
        <w:rPr>
          <w:lang w:val="ro-RO"/>
        </w:rPr>
        <w:t>, după cum urmează</w:t>
      </w:r>
      <w:r w:rsidR="00091658" w:rsidRPr="00857CDA">
        <w:rPr>
          <w:lang w:val="ro-RO"/>
        </w:rPr>
        <w:t>:</w:t>
      </w:r>
      <w:r w:rsidRPr="00857CDA">
        <w:rPr>
          <w:lang w:val="ro-RO"/>
        </w:rPr>
        <w:t xml:space="preserve"> </w:t>
      </w:r>
      <w:r w:rsidR="00091658" w:rsidRPr="00857CDA">
        <w:rPr>
          <w:lang w:val="ro-RO"/>
        </w:rPr>
        <w:t>„</w:t>
      </w:r>
      <w:r w:rsidR="002B679C" w:rsidRPr="00857CDA">
        <w:rPr>
          <w:lang w:val="ro-RO"/>
        </w:rPr>
        <w:t>Clasa</w:t>
      </w:r>
      <w:r w:rsidRPr="00857CDA">
        <w:rPr>
          <w:lang w:val="ro-RO"/>
        </w:rPr>
        <w:t xml:space="preserve"> 2: </w:t>
      </w:r>
      <w:r w:rsidR="00091658" w:rsidRPr="00857CDA">
        <w:rPr>
          <w:lang w:val="ro-RO"/>
        </w:rPr>
        <w:t>Nr.</w:t>
      </w:r>
      <w:r w:rsidRPr="00857CDA">
        <w:rPr>
          <w:lang w:val="ro-RO"/>
        </w:rPr>
        <w:t xml:space="preserve"> ONU 3529;</w:t>
      </w:r>
      <w:r w:rsidR="00660131" w:rsidRPr="00857CDA">
        <w:rPr>
          <w:lang w:val="ro-RO"/>
        </w:rPr>
        <w:t>”</w:t>
      </w:r>
      <w:r w:rsidRPr="00857CDA">
        <w:rPr>
          <w:lang w:val="ro-RO"/>
        </w:rPr>
        <w:t>.</w:t>
      </w:r>
    </w:p>
    <w:p w:rsidR="00E70B2E" w:rsidRPr="00857CDA" w:rsidRDefault="00E70B2E" w:rsidP="00E70B2E">
      <w:pPr>
        <w:pStyle w:val="SingleTxtG"/>
        <w:rPr>
          <w:lang w:val="ro-RO"/>
        </w:rPr>
      </w:pPr>
      <w:r w:rsidRPr="00857CDA">
        <w:rPr>
          <w:lang w:val="ro-RO"/>
        </w:rPr>
        <w:t>1.9.5.2.2</w:t>
      </w:r>
      <w:r w:rsidRPr="00857CDA">
        <w:rPr>
          <w:lang w:val="ro-RO"/>
        </w:rPr>
        <w:tab/>
      </w:r>
      <w:r w:rsidR="00991390" w:rsidRPr="00857CDA">
        <w:rPr>
          <w:lang w:val="ro-RO"/>
        </w:rPr>
        <w:t>Pentru</w:t>
      </w:r>
      <w:r w:rsidRPr="00857CDA">
        <w:rPr>
          <w:lang w:val="ro-RO"/>
        </w:rPr>
        <w:t xml:space="preserve"> cat</w:t>
      </w:r>
      <w:r w:rsidR="007C4A3C" w:rsidRPr="00857CDA">
        <w:rPr>
          <w:lang w:val="ro-RO"/>
        </w:rPr>
        <w:t>e</w:t>
      </w:r>
      <w:r w:rsidRPr="00857CDA">
        <w:rPr>
          <w:lang w:val="ro-RO"/>
        </w:rPr>
        <w:t>gori</w:t>
      </w:r>
      <w:r w:rsidR="007C4A3C" w:rsidRPr="00857CDA">
        <w:rPr>
          <w:lang w:val="ro-RO"/>
        </w:rPr>
        <w:t>a</w:t>
      </w:r>
      <w:r w:rsidRPr="00857CDA">
        <w:rPr>
          <w:lang w:val="ro-RO"/>
        </w:rPr>
        <w:t xml:space="preserve"> de tunel D, </w:t>
      </w:r>
      <w:r w:rsidR="00545650" w:rsidRPr="00857CDA">
        <w:rPr>
          <w:lang w:val="ro-RO"/>
        </w:rPr>
        <w:t>în</w:t>
      </w:r>
      <w:r w:rsidRPr="00857CDA">
        <w:rPr>
          <w:lang w:val="ro-RO"/>
        </w:rPr>
        <w:t xml:space="preserve"> tab</w:t>
      </w:r>
      <w:r w:rsidR="007C4A3C" w:rsidRPr="00857CDA">
        <w:rPr>
          <w:lang w:val="ro-RO"/>
        </w:rPr>
        <w:t>e</w:t>
      </w:r>
      <w:r w:rsidRPr="00857CDA">
        <w:rPr>
          <w:lang w:val="ro-RO"/>
        </w:rPr>
        <w:t xml:space="preserve">l, </w:t>
      </w:r>
      <w:r w:rsidR="000022EF" w:rsidRPr="00857CDA">
        <w:rPr>
          <w:lang w:val="ro-RO"/>
        </w:rPr>
        <w:t>se introduce</w:t>
      </w:r>
      <w:r w:rsidR="007C4A3C" w:rsidRPr="00857CDA">
        <w:rPr>
          <w:lang w:val="ro-RO"/>
        </w:rPr>
        <w:t xml:space="preserve"> o</w:t>
      </w:r>
      <w:r w:rsidRPr="00857CDA">
        <w:rPr>
          <w:lang w:val="ro-RO"/>
        </w:rPr>
        <w:t xml:space="preserve"> nou</w:t>
      </w:r>
      <w:r w:rsidR="007C4A3C" w:rsidRPr="00857CDA">
        <w:rPr>
          <w:lang w:val="ro-RO"/>
        </w:rPr>
        <w:t>ă</w:t>
      </w:r>
      <w:r w:rsidRPr="00857CDA">
        <w:rPr>
          <w:lang w:val="ro-RO"/>
        </w:rPr>
        <w:t xml:space="preserve"> rubri</w:t>
      </w:r>
      <w:r w:rsidR="007C4A3C" w:rsidRPr="00857CDA">
        <w:rPr>
          <w:lang w:val="ro-RO"/>
        </w:rPr>
        <w:t>că</w:t>
      </w:r>
      <w:r w:rsidRPr="00857CDA">
        <w:rPr>
          <w:lang w:val="ro-RO"/>
        </w:rPr>
        <w:t xml:space="preserve"> </w:t>
      </w:r>
      <w:r w:rsidR="00991390" w:rsidRPr="00857CDA">
        <w:rPr>
          <w:lang w:val="ro-RO"/>
        </w:rPr>
        <w:t>după</w:t>
      </w:r>
      <w:r w:rsidRPr="00857CDA">
        <w:rPr>
          <w:lang w:val="ro-RO"/>
        </w:rPr>
        <w:t xml:space="preserve"> </w:t>
      </w:r>
      <w:r w:rsidR="00091658" w:rsidRPr="00857CDA">
        <w:rPr>
          <w:lang w:val="ro-RO"/>
        </w:rPr>
        <w:t>„</w:t>
      </w:r>
      <w:r w:rsidR="002B679C" w:rsidRPr="00857CDA">
        <w:rPr>
          <w:lang w:val="ro-RO"/>
        </w:rPr>
        <w:t>Clasa</w:t>
      </w:r>
      <w:r w:rsidRPr="00857CDA">
        <w:rPr>
          <w:lang w:val="ro-RO"/>
        </w:rPr>
        <w:t xml:space="preserve"> 2: Cod</w:t>
      </w:r>
      <w:r w:rsidR="00545650" w:rsidRPr="00857CDA">
        <w:rPr>
          <w:lang w:val="ro-RO"/>
        </w:rPr>
        <w:t>urile</w:t>
      </w:r>
      <w:r w:rsidRPr="00857CDA">
        <w:rPr>
          <w:lang w:val="ro-RO"/>
        </w:rPr>
        <w:t xml:space="preserve"> de clasifica</w:t>
      </w:r>
      <w:r w:rsidR="007C4A3C" w:rsidRPr="00857CDA">
        <w:rPr>
          <w:lang w:val="ro-RO"/>
        </w:rPr>
        <w:t>re</w:t>
      </w:r>
      <w:r w:rsidRPr="00857CDA">
        <w:rPr>
          <w:lang w:val="ro-RO"/>
        </w:rPr>
        <w:t xml:space="preserve"> F, FC, T, TF, TC, TO, TFC</w:t>
      </w:r>
      <w:r w:rsidR="004C27AD" w:rsidRPr="00857CDA">
        <w:rPr>
          <w:lang w:val="ro-RO"/>
        </w:rPr>
        <w:t xml:space="preserve"> și </w:t>
      </w:r>
      <w:r w:rsidRPr="00857CDA">
        <w:rPr>
          <w:lang w:val="ro-RO"/>
        </w:rPr>
        <w:t>TOC;</w:t>
      </w:r>
      <w:r w:rsidR="00660131" w:rsidRPr="00857CDA">
        <w:rPr>
          <w:lang w:val="ro-RO"/>
        </w:rPr>
        <w:t>”</w:t>
      </w:r>
      <w:r w:rsidRPr="00857CDA">
        <w:rPr>
          <w:lang w:val="ro-RO"/>
        </w:rPr>
        <w:t xml:space="preserve"> </w:t>
      </w:r>
      <w:r w:rsidR="002B679C" w:rsidRPr="00857CDA">
        <w:rPr>
          <w:lang w:val="ro-RO"/>
        </w:rPr>
        <w:t>, după cum urmează</w:t>
      </w:r>
      <w:r w:rsidR="00091658" w:rsidRPr="00857CDA">
        <w:rPr>
          <w:lang w:val="ro-RO"/>
        </w:rPr>
        <w:t>:</w:t>
      </w:r>
      <w:r w:rsidRPr="00857CDA">
        <w:rPr>
          <w:lang w:val="ro-RO"/>
        </w:rPr>
        <w:t xml:space="preserve"> </w:t>
      </w:r>
      <w:r w:rsidR="00091658" w:rsidRPr="00857CDA">
        <w:rPr>
          <w:lang w:val="ro-RO"/>
        </w:rPr>
        <w:t>„</w:t>
      </w:r>
      <w:r w:rsidR="002B679C" w:rsidRPr="00857CDA">
        <w:rPr>
          <w:lang w:val="ro-RO"/>
        </w:rPr>
        <w:t>Clasa</w:t>
      </w:r>
      <w:r w:rsidRPr="00857CDA">
        <w:rPr>
          <w:lang w:val="ro-RO"/>
        </w:rPr>
        <w:t xml:space="preserve"> 3: </w:t>
      </w:r>
      <w:r w:rsidR="00091658" w:rsidRPr="00857CDA">
        <w:rPr>
          <w:lang w:val="ro-RO"/>
        </w:rPr>
        <w:t>Nr.</w:t>
      </w:r>
      <w:r w:rsidRPr="00857CDA">
        <w:rPr>
          <w:lang w:val="ro-RO"/>
        </w:rPr>
        <w:t xml:space="preserve"> ONU 3528;</w:t>
      </w:r>
      <w:r w:rsidR="00660131" w:rsidRPr="00857CDA">
        <w:rPr>
          <w:lang w:val="ro-RO"/>
        </w:rPr>
        <w:t>”</w:t>
      </w:r>
      <w:r w:rsidRPr="00857CDA">
        <w:rPr>
          <w:lang w:val="ro-RO"/>
        </w:rPr>
        <w:t>.</w:t>
      </w:r>
    </w:p>
    <w:p w:rsidR="00A72211" w:rsidRPr="00857CDA" w:rsidRDefault="00A72211" w:rsidP="00A72211">
      <w:pPr>
        <w:pStyle w:val="H1G"/>
        <w:rPr>
          <w:lang w:val="ro-RO"/>
        </w:rPr>
      </w:pPr>
      <w:r w:rsidRPr="00857CDA">
        <w:rPr>
          <w:lang w:val="ro-RO"/>
        </w:rPr>
        <w:lastRenderedPageBreak/>
        <w:tab/>
      </w:r>
      <w:r w:rsidRPr="00857CDA">
        <w:rPr>
          <w:lang w:val="ro-RO"/>
        </w:rPr>
        <w:tab/>
      </w:r>
      <w:r w:rsidR="00902C44" w:rsidRPr="00857CDA">
        <w:rPr>
          <w:lang w:val="ro-RO"/>
        </w:rPr>
        <w:t>Capitolul</w:t>
      </w:r>
      <w:r w:rsidRPr="00857CDA">
        <w:rPr>
          <w:lang w:val="ro-RO"/>
        </w:rPr>
        <w:t xml:space="preserve"> 1.10</w:t>
      </w:r>
    </w:p>
    <w:p w:rsidR="00196C06" w:rsidRPr="00857CDA" w:rsidRDefault="00A72211" w:rsidP="00B76415">
      <w:pPr>
        <w:tabs>
          <w:tab w:val="left" w:pos="2268"/>
        </w:tabs>
        <w:spacing w:before="120" w:after="120" w:line="240" w:lineRule="auto"/>
        <w:ind w:left="1134" w:right="1134"/>
        <w:jc w:val="both"/>
        <w:rPr>
          <w:lang w:val="ro-RO"/>
        </w:rPr>
      </w:pPr>
      <w:r w:rsidRPr="00857CDA">
        <w:rPr>
          <w:lang w:val="ro-RO"/>
        </w:rPr>
        <w:t>1.10.3</w:t>
      </w:r>
      <w:r w:rsidR="00196C06" w:rsidRPr="00857CDA">
        <w:rPr>
          <w:lang w:val="ro-RO"/>
        </w:rPr>
        <w:tab/>
      </w:r>
      <w:r w:rsidR="00902C44" w:rsidRPr="00857CDA">
        <w:rPr>
          <w:lang w:val="ro-RO"/>
        </w:rPr>
        <w:t>Se adaugă</w:t>
      </w:r>
      <w:r w:rsidR="00196C06" w:rsidRPr="00857CDA">
        <w:rPr>
          <w:lang w:val="ro-RO"/>
        </w:rPr>
        <w:t xml:space="preserve"> </w:t>
      </w:r>
      <w:r w:rsidR="005A430E" w:rsidRPr="00857CDA">
        <w:rPr>
          <w:lang w:val="ro-RO"/>
        </w:rPr>
        <w:t>o</w:t>
      </w:r>
      <w:r w:rsidR="00196C06" w:rsidRPr="00857CDA">
        <w:rPr>
          <w:lang w:val="ro-RO"/>
        </w:rPr>
        <w:t xml:space="preserve"> Not</w:t>
      </w:r>
      <w:r w:rsidR="005A430E" w:rsidRPr="00857CDA">
        <w:rPr>
          <w:lang w:val="ro-RO"/>
        </w:rPr>
        <w:t>ă nouă după titlu, după cum urmează</w:t>
      </w:r>
      <w:r w:rsidR="00196C06" w:rsidRPr="00857CDA">
        <w:rPr>
          <w:lang w:val="ro-RO"/>
        </w:rPr>
        <w:t>:</w:t>
      </w:r>
    </w:p>
    <w:p w:rsidR="00196C06" w:rsidRPr="00857CDA" w:rsidRDefault="00091658" w:rsidP="004E4F69">
      <w:pPr>
        <w:pStyle w:val="SingleTxtG"/>
        <w:rPr>
          <w:i/>
          <w:iCs/>
          <w:lang w:val="ro-RO"/>
        </w:rPr>
      </w:pPr>
      <w:r w:rsidRPr="00857CDA">
        <w:rPr>
          <w:lang w:val="ro-RO"/>
        </w:rPr>
        <w:t>„</w:t>
      </w:r>
      <w:r w:rsidR="00196C06" w:rsidRPr="00857CDA">
        <w:rPr>
          <w:b/>
          <w:i/>
          <w:iCs/>
          <w:lang w:val="ro-RO"/>
        </w:rPr>
        <w:t>NOT</w:t>
      </w:r>
      <w:r w:rsidR="005A430E" w:rsidRPr="00857CDA">
        <w:rPr>
          <w:b/>
          <w:i/>
          <w:iCs/>
          <w:lang w:val="ro-RO"/>
        </w:rPr>
        <w:t>Ă</w:t>
      </w:r>
      <w:r w:rsidR="00196C06" w:rsidRPr="00857CDA">
        <w:rPr>
          <w:b/>
          <w:i/>
          <w:iCs/>
          <w:lang w:val="ro-RO"/>
        </w:rPr>
        <w:t>:</w:t>
      </w:r>
      <w:r w:rsidR="00196C06" w:rsidRPr="00857CDA">
        <w:rPr>
          <w:i/>
          <w:iCs/>
          <w:lang w:val="ro-RO"/>
        </w:rPr>
        <w:t xml:space="preserve"> </w:t>
      </w:r>
      <w:r w:rsidR="001218B6" w:rsidRPr="00857CDA">
        <w:rPr>
          <w:i/>
          <w:iCs/>
          <w:lang w:val="ro-RO"/>
        </w:rPr>
        <w:tab/>
      </w:r>
      <w:r w:rsidR="00E41E13" w:rsidRPr="00857CDA">
        <w:rPr>
          <w:i/>
          <w:iCs/>
          <w:lang w:val="ro-RO"/>
        </w:rPr>
        <w:t xml:space="preserve">În plus față de dispozițiile privind securitatea din ADR, autoritățile competente pot implementa și alte dispoziții de securitate din alte motive decât cele de securitate </w:t>
      </w:r>
      <w:r w:rsidR="00C718EE" w:rsidRPr="00857CDA">
        <w:rPr>
          <w:i/>
          <w:iCs/>
          <w:lang w:val="ro-RO"/>
        </w:rPr>
        <w:t>pe</w:t>
      </w:r>
      <w:r w:rsidR="00E41E13" w:rsidRPr="00857CDA">
        <w:rPr>
          <w:i/>
          <w:iCs/>
          <w:lang w:val="ro-RO"/>
        </w:rPr>
        <w:t xml:space="preserve"> timpul transportului (a se vedea, de asemenea, articolul 4 paragraful (1) din acord). Pentru a nu împiedica transportul internațional </w:t>
      </w:r>
      <w:r w:rsidR="00C718EE" w:rsidRPr="00857CDA">
        <w:rPr>
          <w:i/>
          <w:iCs/>
          <w:lang w:val="ro-RO"/>
        </w:rPr>
        <w:t>și multimodal cu</w:t>
      </w:r>
      <w:r w:rsidR="00E41E13" w:rsidRPr="00857CDA">
        <w:rPr>
          <w:i/>
          <w:iCs/>
          <w:lang w:val="ro-RO"/>
        </w:rPr>
        <w:t xml:space="preserve"> diferitele mărci de securitate ale explozivilor, se recomandă ca formatul acestor mărci să fie conform cu un standard armonizat la nivel internațional (de exemplu Directiva 2008/43/CE a</w:t>
      </w:r>
      <w:r w:rsidR="004E4F69" w:rsidRPr="00857CDA">
        <w:rPr>
          <w:i/>
          <w:iCs/>
          <w:lang w:val="ro-RO"/>
        </w:rPr>
        <w:t xml:space="preserve"> Comisiei Uniunii Europene</w:t>
      </w:r>
      <w:r w:rsidR="00196C06" w:rsidRPr="00857CDA">
        <w:rPr>
          <w:i/>
          <w:iCs/>
          <w:lang w:val="ro-RO"/>
        </w:rPr>
        <w:t>).</w:t>
      </w:r>
      <w:r w:rsidR="00660131" w:rsidRPr="00857CDA">
        <w:rPr>
          <w:lang w:val="ro-RO"/>
        </w:rPr>
        <w:t>”</w:t>
      </w:r>
      <w:r w:rsidR="004C1C06" w:rsidRPr="00857CDA">
        <w:rPr>
          <w:iCs/>
          <w:lang w:val="ro-RO"/>
        </w:rPr>
        <w:t>.</w:t>
      </w:r>
    </w:p>
    <w:p w:rsidR="003778F9" w:rsidRPr="00857CDA" w:rsidRDefault="003778F9" w:rsidP="00970E20">
      <w:pPr>
        <w:pStyle w:val="SingleTxtG"/>
        <w:rPr>
          <w:lang w:val="ro-RO"/>
        </w:rPr>
      </w:pPr>
      <w:r w:rsidRPr="00857CDA">
        <w:rPr>
          <w:lang w:val="ro-RO"/>
        </w:rPr>
        <w:t>1.10.3.1.2</w:t>
      </w:r>
      <w:r w:rsidRPr="00857CDA">
        <w:rPr>
          <w:lang w:val="ro-RO"/>
        </w:rPr>
        <w:tab/>
      </w:r>
      <w:r w:rsidR="00902C44" w:rsidRPr="00857CDA">
        <w:rPr>
          <w:lang w:val="ro-RO"/>
        </w:rPr>
        <w:t xml:space="preserve">În </w:t>
      </w:r>
      <w:r w:rsidRPr="00857CDA">
        <w:rPr>
          <w:lang w:val="ro-RO"/>
        </w:rPr>
        <w:t>tabe</w:t>
      </w:r>
      <w:r w:rsidR="004E4F69" w:rsidRPr="00857CDA">
        <w:rPr>
          <w:lang w:val="ro-RO"/>
        </w:rPr>
        <w:t>l la</w:t>
      </w:r>
      <w:r w:rsidR="00740E65" w:rsidRPr="00857CDA">
        <w:rPr>
          <w:lang w:val="ro-RO"/>
        </w:rPr>
        <w:t xml:space="preserve"> 1.10.3.1.2</w:t>
      </w:r>
      <w:r w:rsidRPr="00857CDA">
        <w:rPr>
          <w:lang w:val="ro-RO"/>
        </w:rPr>
        <w:t xml:space="preserve">, </w:t>
      </w:r>
      <w:r w:rsidR="004E4F69" w:rsidRPr="00857CDA">
        <w:rPr>
          <w:lang w:val="ro-RO"/>
        </w:rPr>
        <w:t>î</w:t>
      </w:r>
      <w:r w:rsidR="00902C44" w:rsidRPr="00857CDA">
        <w:rPr>
          <w:lang w:val="ro-RO"/>
        </w:rPr>
        <w:t xml:space="preserve">n </w:t>
      </w:r>
      <w:r w:rsidR="00121893" w:rsidRPr="00857CDA">
        <w:rPr>
          <w:lang w:val="ro-RO"/>
        </w:rPr>
        <w:t>coloana</w:t>
      </w:r>
      <w:r w:rsidRPr="00857CDA">
        <w:rPr>
          <w:lang w:val="ro-RO"/>
        </w:rPr>
        <w:t xml:space="preserve"> </w:t>
      </w:r>
      <w:r w:rsidR="00091658" w:rsidRPr="00857CDA">
        <w:rPr>
          <w:lang w:val="ro-RO"/>
        </w:rPr>
        <w:t>„</w:t>
      </w:r>
      <w:r w:rsidR="004E4F69" w:rsidRPr="00857CDA">
        <w:rPr>
          <w:lang w:val="ro-RO"/>
        </w:rPr>
        <w:t>Substanțe sau obiecte</w:t>
      </w:r>
      <w:r w:rsidR="00660131" w:rsidRPr="00857CDA">
        <w:rPr>
          <w:lang w:val="ro-RO"/>
        </w:rPr>
        <w:t>”</w:t>
      </w:r>
      <w:r w:rsidRPr="00857CDA">
        <w:rPr>
          <w:lang w:val="ro-RO"/>
        </w:rPr>
        <w:t xml:space="preserve">, </w:t>
      </w:r>
      <w:r w:rsidR="002B679C" w:rsidRPr="00857CDA">
        <w:rPr>
          <w:lang w:val="ro-RO"/>
        </w:rPr>
        <w:t>se modifică</w:t>
      </w:r>
      <w:r w:rsidRPr="00857CDA">
        <w:rPr>
          <w:lang w:val="ro-RO"/>
        </w:rPr>
        <w:t xml:space="preserve"> text</w:t>
      </w:r>
      <w:r w:rsidR="004E4F69" w:rsidRPr="00857CDA">
        <w:rPr>
          <w:lang w:val="ro-RO"/>
        </w:rPr>
        <w:t>ul</w:t>
      </w:r>
      <w:r w:rsidRPr="00857CDA">
        <w:rPr>
          <w:lang w:val="ro-RO"/>
        </w:rPr>
        <w:t xml:space="preserve"> de </w:t>
      </w:r>
      <w:r w:rsidR="004E4F69" w:rsidRPr="00857CDA">
        <w:rPr>
          <w:lang w:val="ro-RO"/>
        </w:rPr>
        <w:t xml:space="preserve">pe primul rând </w:t>
      </w:r>
      <w:r w:rsidR="00970E20" w:rsidRPr="00857CDA">
        <w:rPr>
          <w:lang w:val="ro-RO"/>
        </w:rPr>
        <w:t>de</w:t>
      </w:r>
      <w:r w:rsidRPr="00857CDA">
        <w:rPr>
          <w:lang w:val="ro-RO"/>
        </w:rPr>
        <w:t xml:space="preserve"> la </w:t>
      </w:r>
      <w:r w:rsidR="002B679C" w:rsidRPr="00857CDA">
        <w:rPr>
          <w:lang w:val="ro-RO"/>
        </w:rPr>
        <w:t>clasa</w:t>
      </w:r>
      <w:r w:rsidRPr="00857CDA">
        <w:rPr>
          <w:lang w:val="ro-RO"/>
        </w:rPr>
        <w:t xml:space="preserve"> 2</w:t>
      </w:r>
      <w:r w:rsidR="002B679C" w:rsidRPr="00857CDA">
        <w:rPr>
          <w:lang w:val="ro-RO"/>
        </w:rPr>
        <w:t>, după cum urmează</w:t>
      </w:r>
      <w:r w:rsidR="00091658" w:rsidRPr="00857CDA">
        <w:rPr>
          <w:lang w:val="ro-RO"/>
        </w:rPr>
        <w:t>:</w:t>
      </w:r>
      <w:r w:rsidRPr="00857CDA">
        <w:rPr>
          <w:lang w:val="ro-RO"/>
        </w:rPr>
        <w:t xml:space="preserve"> </w:t>
      </w:r>
      <w:r w:rsidR="00091658" w:rsidRPr="00857CDA">
        <w:rPr>
          <w:lang w:val="ro-RO"/>
        </w:rPr>
        <w:t>„</w:t>
      </w:r>
      <w:r w:rsidR="00970E20" w:rsidRPr="00857CDA">
        <w:rPr>
          <w:lang w:val="ro-RO"/>
        </w:rPr>
        <w:t>Gaze inflamabile, netoxice (coduri de clasificare care cuprind numai literele F sau FC</w:t>
      </w:r>
      <w:r w:rsidRPr="00857CDA">
        <w:rPr>
          <w:lang w:val="ro-RO"/>
        </w:rPr>
        <w:t>)</w:t>
      </w:r>
      <w:r w:rsidR="00660131" w:rsidRPr="00857CDA">
        <w:rPr>
          <w:lang w:val="ro-RO"/>
        </w:rPr>
        <w:t>”</w:t>
      </w:r>
      <w:r w:rsidRPr="00857CDA">
        <w:rPr>
          <w:lang w:val="ro-RO"/>
        </w:rPr>
        <w:t>.</w:t>
      </w:r>
    </w:p>
    <w:p w:rsidR="00B26115" w:rsidRPr="00857CDA" w:rsidRDefault="00B26115" w:rsidP="00B26115">
      <w:pPr>
        <w:spacing w:before="120" w:after="120" w:line="240" w:lineRule="auto"/>
        <w:ind w:left="1134" w:right="1134"/>
        <w:jc w:val="both"/>
        <w:rPr>
          <w:lang w:val="ro-RO"/>
        </w:rPr>
      </w:pPr>
      <w:r w:rsidRPr="00857CDA">
        <w:rPr>
          <w:iCs/>
          <w:lang w:val="ro-RO"/>
        </w:rPr>
        <w:t>1.10.3.1.5</w:t>
      </w:r>
      <w:r w:rsidRPr="00857CDA">
        <w:rPr>
          <w:iCs/>
          <w:lang w:val="ro-RO"/>
        </w:rPr>
        <w:tab/>
      </w:r>
      <w:r w:rsidR="00902C44" w:rsidRPr="00857CDA">
        <w:rPr>
          <w:lang w:val="ro-RO"/>
        </w:rPr>
        <w:t>Se modifică</w:t>
      </w:r>
      <w:r w:rsidR="00091658" w:rsidRPr="00857CDA">
        <w:rPr>
          <w:lang w:val="ro-RO"/>
        </w:rPr>
        <w:t>„</w:t>
      </w:r>
      <w:r w:rsidR="00660131" w:rsidRPr="00857CDA">
        <w:rPr>
          <w:lang w:val="ro-RO"/>
        </w:rPr>
        <w:t>“</w:t>
      </w:r>
      <w:r w:rsidR="002B679C" w:rsidRPr="00857CDA">
        <w:rPr>
          <w:lang w:val="ro-RO"/>
        </w:rPr>
        <w:t>riscuri</w:t>
      </w:r>
      <w:r w:rsidRPr="00857CDA">
        <w:rPr>
          <w:lang w:val="ro-RO"/>
        </w:rPr>
        <w:t xml:space="preserve"> </w:t>
      </w:r>
      <w:r w:rsidR="00936848" w:rsidRPr="00857CDA">
        <w:rPr>
          <w:lang w:val="ro-RO"/>
        </w:rPr>
        <w:t>secundar</w:t>
      </w:r>
      <w:r w:rsidR="00F27B4E" w:rsidRPr="00857CDA">
        <w:rPr>
          <w:lang w:val="ro-RO"/>
        </w:rPr>
        <w:t>e</w:t>
      </w:r>
      <w:r w:rsidR="00660131" w:rsidRPr="00857CDA">
        <w:rPr>
          <w:lang w:val="ro-RO"/>
        </w:rPr>
        <w:t>”</w:t>
      </w:r>
      <w:r w:rsidR="00902C44" w:rsidRPr="00857CDA">
        <w:rPr>
          <w:lang w:val="ro-RO"/>
        </w:rPr>
        <w:t xml:space="preserve"> cu </w:t>
      </w:r>
      <w:r w:rsidR="00091658" w:rsidRPr="00857CDA">
        <w:rPr>
          <w:lang w:val="ro-RO"/>
        </w:rPr>
        <w:t>„</w:t>
      </w:r>
      <w:r w:rsidR="002B679C" w:rsidRPr="00857CDA">
        <w:rPr>
          <w:lang w:val="ro-RO"/>
        </w:rPr>
        <w:t>pericole</w:t>
      </w:r>
      <w:r w:rsidRPr="00857CDA">
        <w:rPr>
          <w:lang w:val="ro-RO"/>
        </w:rPr>
        <w:t xml:space="preserve"> </w:t>
      </w:r>
      <w:r w:rsidR="00936848" w:rsidRPr="00857CDA">
        <w:rPr>
          <w:lang w:val="ro-RO"/>
        </w:rPr>
        <w:t>secundar</w:t>
      </w:r>
      <w:r w:rsidR="00F27B4E" w:rsidRPr="00857CDA">
        <w:rPr>
          <w:lang w:val="ro-RO"/>
        </w:rPr>
        <w:t>e</w:t>
      </w:r>
      <w:r w:rsidR="00660131" w:rsidRPr="00857CDA">
        <w:rPr>
          <w:lang w:val="ro-RO"/>
        </w:rPr>
        <w:t>”</w:t>
      </w:r>
      <w:r w:rsidRPr="00857CDA">
        <w:rPr>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w:t>
      </w:r>
      <w:r w:rsidR="00931472" w:rsidRPr="00857CDA">
        <w:rPr>
          <w:lang w:val="ro-RO"/>
        </w:rPr>
        <w:t>2.1</w:t>
      </w:r>
    </w:p>
    <w:p w:rsidR="00931472" w:rsidRPr="00857CDA" w:rsidRDefault="0071379D" w:rsidP="0071379D">
      <w:pPr>
        <w:tabs>
          <w:tab w:val="left" w:pos="2268"/>
        </w:tabs>
        <w:spacing w:before="120" w:after="120" w:line="240" w:lineRule="auto"/>
        <w:ind w:left="1134" w:right="1134"/>
        <w:jc w:val="both"/>
        <w:rPr>
          <w:lang w:val="ro-RO"/>
        </w:rPr>
      </w:pPr>
      <w:r w:rsidRPr="00857CDA">
        <w:rPr>
          <w:lang w:val="ro-RO"/>
        </w:rPr>
        <w:t>2.1.2.1</w:t>
      </w:r>
      <w:r w:rsidR="00931472" w:rsidRPr="00857CDA">
        <w:rPr>
          <w:lang w:val="ro-RO"/>
        </w:rPr>
        <w:tab/>
      </w:r>
      <w:r w:rsidR="00902C44" w:rsidRPr="00857CDA">
        <w:rPr>
          <w:lang w:val="ro-RO"/>
        </w:rPr>
        <w:t xml:space="preserve">În </w:t>
      </w:r>
      <w:r w:rsidR="00970E20" w:rsidRPr="00857CDA">
        <w:rPr>
          <w:lang w:val="ro-RO"/>
        </w:rPr>
        <w:t>ultima frază</w:t>
      </w:r>
      <w:r w:rsidR="00931472" w:rsidRPr="00857CDA">
        <w:rPr>
          <w:lang w:val="ro-RO"/>
        </w:rPr>
        <w:t xml:space="preserve">, </w:t>
      </w:r>
      <w:r w:rsidR="00902C44" w:rsidRPr="00857CDA">
        <w:rPr>
          <w:lang w:val="ro-RO"/>
        </w:rPr>
        <w:t>Se modifică</w:t>
      </w:r>
      <w:r w:rsidR="00931472" w:rsidRPr="00857CDA">
        <w:rPr>
          <w:lang w:val="ro-RO"/>
        </w:rPr>
        <w:t xml:space="preserve"> </w:t>
      </w:r>
      <w:r w:rsidR="00091658" w:rsidRPr="00857CDA">
        <w:rPr>
          <w:lang w:val="ro-RO"/>
        </w:rPr>
        <w:t>„</w:t>
      </w:r>
      <w:r w:rsidR="002B679C" w:rsidRPr="00857CDA">
        <w:rPr>
          <w:lang w:val="ro-RO"/>
        </w:rPr>
        <w:t>riscuri</w:t>
      </w:r>
      <w:r w:rsidR="00660131" w:rsidRPr="00857CDA">
        <w:rPr>
          <w:lang w:val="ro-RO"/>
        </w:rPr>
        <w:t>”</w:t>
      </w:r>
      <w:r w:rsidR="00902C44" w:rsidRPr="00857CDA">
        <w:rPr>
          <w:lang w:val="ro-RO"/>
        </w:rPr>
        <w:t xml:space="preserve"> cu </w:t>
      </w:r>
      <w:r w:rsidR="00091658" w:rsidRPr="00857CDA">
        <w:rPr>
          <w:lang w:val="ro-RO"/>
        </w:rPr>
        <w:t>„</w:t>
      </w:r>
      <w:r w:rsidR="002B679C" w:rsidRPr="00857CDA">
        <w:rPr>
          <w:lang w:val="ro-RO"/>
        </w:rPr>
        <w:t>pericole</w:t>
      </w:r>
      <w:r w:rsidR="00660131" w:rsidRPr="00857CDA">
        <w:rPr>
          <w:lang w:val="ro-RO"/>
        </w:rPr>
        <w:t>”</w:t>
      </w:r>
      <w:r w:rsidR="00931472" w:rsidRPr="00857CDA">
        <w:rPr>
          <w:lang w:val="ro-RO"/>
        </w:rPr>
        <w:t xml:space="preserve"> (de</w:t>
      </w:r>
      <w:r w:rsidR="00091658" w:rsidRPr="00857CDA">
        <w:rPr>
          <w:lang w:val="ro-RO"/>
        </w:rPr>
        <w:t xml:space="preserve"> două ori</w:t>
      </w:r>
      <w:r w:rsidR="00931472" w:rsidRPr="00857CDA">
        <w:rPr>
          <w:lang w:val="ro-RO"/>
        </w:rPr>
        <w:t>).</w:t>
      </w:r>
    </w:p>
    <w:p w:rsidR="00931472" w:rsidRPr="00857CDA" w:rsidRDefault="0071379D" w:rsidP="0071379D">
      <w:pPr>
        <w:tabs>
          <w:tab w:val="left" w:pos="2268"/>
        </w:tabs>
        <w:spacing w:before="120" w:after="120" w:line="240" w:lineRule="auto"/>
        <w:ind w:left="1134" w:right="1134"/>
        <w:jc w:val="both"/>
        <w:rPr>
          <w:lang w:val="ro-RO"/>
        </w:rPr>
      </w:pPr>
      <w:r w:rsidRPr="00857CDA">
        <w:rPr>
          <w:lang w:val="ro-RO"/>
        </w:rPr>
        <w:t>2.1.2.5</w:t>
      </w:r>
      <w:r w:rsidR="00931472" w:rsidRPr="00857CDA">
        <w:rPr>
          <w:lang w:val="ro-RO"/>
        </w:rPr>
        <w:tab/>
      </w:r>
      <w:r w:rsidR="00902C44" w:rsidRPr="00857CDA">
        <w:rPr>
          <w:lang w:val="ro-RO"/>
        </w:rPr>
        <w:t xml:space="preserve">În </w:t>
      </w:r>
      <w:r w:rsidR="00970E20" w:rsidRPr="00857CDA">
        <w:rPr>
          <w:lang w:val="ro-RO"/>
        </w:rPr>
        <w:t>a doua</w:t>
      </w:r>
      <w:r w:rsidR="004C27AD" w:rsidRPr="00857CDA">
        <w:rPr>
          <w:lang w:val="ro-RO"/>
        </w:rPr>
        <w:t xml:space="preserve"> și </w:t>
      </w:r>
      <w:r w:rsidR="00970E20" w:rsidRPr="00857CDA">
        <w:rPr>
          <w:lang w:val="ro-RO"/>
        </w:rPr>
        <w:t>î</w:t>
      </w:r>
      <w:r w:rsidR="00902C44" w:rsidRPr="00857CDA">
        <w:rPr>
          <w:lang w:val="ro-RO"/>
        </w:rPr>
        <w:t xml:space="preserve">n </w:t>
      </w:r>
      <w:r w:rsidR="00970E20" w:rsidRPr="00857CDA">
        <w:rPr>
          <w:lang w:val="ro-RO"/>
        </w:rPr>
        <w:t>a treia frază</w:t>
      </w:r>
      <w:r w:rsidR="00931472" w:rsidRPr="00857CDA">
        <w:rPr>
          <w:lang w:val="ro-RO"/>
        </w:rPr>
        <w:t xml:space="preserve">, </w:t>
      </w:r>
      <w:r w:rsidR="00902C44" w:rsidRPr="00857CDA">
        <w:rPr>
          <w:lang w:val="ro-RO"/>
        </w:rPr>
        <w:t>Se modifică</w:t>
      </w:r>
      <w:r w:rsidR="00931472" w:rsidRPr="00857CDA">
        <w:rPr>
          <w:lang w:val="ro-RO"/>
        </w:rPr>
        <w:t xml:space="preserve"> </w:t>
      </w:r>
      <w:r w:rsidR="00091658" w:rsidRPr="00857CDA">
        <w:rPr>
          <w:lang w:val="ro-RO"/>
        </w:rPr>
        <w:t>„</w:t>
      </w:r>
      <w:r w:rsidR="002B679C" w:rsidRPr="00857CDA">
        <w:rPr>
          <w:lang w:val="ro-RO"/>
        </w:rPr>
        <w:t>risc</w:t>
      </w:r>
      <w:r w:rsidR="00970E20" w:rsidRPr="00857CDA">
        <w:rPr>
          <w:lang w:val="ro-RO"/>
        </w:rPr>
        <w:t>ul</w:t>
      </w:r>
      <w:r w:rsidR="00931472" w:rsidRPr="00857CDA">
        <w:rPr>
          <w:lang w:val="ro-RO"/>
        </w:rPr>
        <w:t xml:space="preserve"> </w:t>
      </w:r>
      <w:r w:rsidR="00936848" w:rsidRPr="00857CDA">
        <w:rPr>
          <w:lang w:val="ro-RO"/>
        </w:rPr>
        <w:t>secundar</w:t>
      </w:r>
      <w:r w:rsidR="00660131" w:rsidRPr="00857CDA">
        <w:rPr>
          <w:lang w:val="ro-RO"/>
        </w:rPr>
        <w:t>”</w:t>
      </w:r>
      <w:r w:rsidR="00902C44" w:rsidRPr="00857CDA">
        <w:rPr>
          <w:lang w:val="ro-RO"/>
        </w:rPr>
        <w:t xml:space="preserve"> cu </w:t>
      </w:r>
      <w:r w:rsidR="00091658" w:rsidRPr="00857CDA">
        <w:rPr>
          <w:lang w:val="ro-RO"/>
        </w:rPr>
        <w:t>„</w:t>
      </w:r>
      <w:r w:rsidR="002B679C" w:rsidRPr="00857CDA">
        <w:rPr>
          <w:lang w:val="ro-RO"/>
        </w:rPr>
        <w:t>pericol</w:t>
      </w:r>
      <w:r w:rsidR="00970E20" w:rsidRPr="00857CDA">
        <w:rPr>
          <w:lang w:val="ro-RO"/>
        </w:rPr>
        <w:t>ul</w:t>
      </w:r>
      <w:r w:rsidR="00931472" w:rsidRPr="00857CDA">
        <w:rPr>
          <w:lang w:val="ro-RO"/>
        </w:rPr>
        <w:t xml:space="preserve"> </w:t>
      </w:r>
      <w:r w:rsidR="00936848" w:rsidRPr="00857CDA">
        <w:rPr>
          <w:lang w:val="ro-RO"/>
        </w:rPr>
        <w:t>secundar</w:t>
      </w:r>
      <w:r w:rsidR="00660131" w:rsidRPr="00857CDA">
        <w:rPr>
          <w:lang w:val="ro-RO"/>
        </w:rPr>
        <w:t>”</w:t>
      </w:r>
      <w:r w:rsidR="00931472" w:rsidRPr="00857CDA">
        <w:rPr>
          <w:lang w:val="ro-RO"/>
        </w:rPr>
        <w:t>.</w:t>
      </w:r>
    </w:p>
    <w:p w:rsidR="009A73D5" w:rsidRPr="00857CDA" w:rsidRDefault="0071379D" w:rsidP="0071379D">
      <w:pPr>
        <w:tabs>
          <w:tab w:val="left" w:pos="2268"/>
        </w:tabs>
        <w:spacing w:before="120" w:after="120" w:line="240" w:lineRule="auto"/>
        <w:ind w:left="1134" w:right="1134"/>
        <w:jc w:val="both"/>
        <w:rPr>
          <w:lang w:val="ro-RO"/>
        </w:rPr>
      </w:pPr>
      <w:r w:rsidRPr="00857CDA">
        <w:rPr>
          <w:lang w:val="ro-RO"/>
        </w:rPr>
        <w:t>2.1.2.8</w:t>
      </w:r>
      <w:r w:rsidR="009A73D5" w:rsidRPr="00857CDA">
        <w:rPr>
          <w:lang w:val="ro-RO"/>
        </w:rPr>
        <w:tab/>
      </w:r>
      <w:r w:rsidR="00970E20" w:rsidRPr="00857CDA">
        <w:rPr>
          <w:lang w:val="ro-RO"/>
        </w:rPr>
        <w:t>În primul alineat</w:t>
      </w:r>
      <w:r w:rsidR="009A73D5" w:rsidRPr="00857CDA">
        <w:rPr>
          <w:lang w:val="ro-RO"/>
        </w:rPr>
        <w:t xml:space="preserve">, </w:t>
      </w:r>
      <w:r w:rsidR="00902C44" w:rsidRPr="00857CDA">
        <w:rPr>
          <w:lang w:val="ro-RO"/>
        </w:rPr>
        <w:t>Se modifică</w:t>
      </w:r>
      <w:r w:rsidR="009A73D5" w:rsidRPr="00857CDA">
        <w:rPr>
          <w:lang w:val="ro-RO"/>
        </w:rPr>
        <w:t xml:space="preserve"> </w:t>
      </w:r>
      <w:r w:rsidR="00091658" w:rsidRPr="00857CDA">
        <w:rPr>
          <w:lang w:val="ro-RO"/>
        </w:rPr>
        <w:t>„</w:t>
      </w:r>
      <w:r w:rsidR="002B679C" w:rsidRPr="00857CDA">
        <w:rPr>
          <w:lang w:val="ro-RO"/>
        </w:rPr>
        <w:t>riscuri</w:t>
      </w:r>
      <w:r w:rsidR="00970E20" w:rsidRPr="00857CDA">
        <w:rPr>
          <w:lang w:val="ro-RO"/>
        </w:rPr>
        <w:t>le</w:t>
      </w:r>
      <w:r w:rsidR="009A73D5" w:rsidRPr="00857CDA">
        <w:rPr>
          <w:lang w:val="ro-RO"/>
        </w:rPr>
        <w:t xml:space="preserve"> </w:t>
      </w:r>
      <w:r w:rsidR="0073413D" w:rsidRPr="00857CDA">
        <w:rPr>
          <w:lang w:val="ro-RO"/>
        </w:rPr>
        <w:t>identificate</w:t>
      </w:r>
      <w:r w:rsidR="00660131" w:rsidRPr="00857CDA">
        <w:rPr>
          <w:lang w:val="ro-RO"/>
        </w:rPr>
        <w:t>”</w:t>
      </w:r>
      <w:r w:rsidR="00902C44" w:rsidRPr="00857CDA">
        <w:rPr>
          <w:lang w:val="ro-RO"/>
        </w:rPr>
        <w:t xml:space="preserve"> cu </w:t>
      </w:r>
      <w:r w:rsidR="00091658" w:rsidRPr="00857CDA">
        <w:rPr>
          <w:lang w:val="ro-RO"/>
        </w:rPr>
        <w:t>„</w:t>
      </w:r>
      <w:r w:rsidR="002B679C" w:rsidRPr="00857CDA">
        <w:rPr>
          <w:lang w:val="ro-RO"/>
        </w:rPr>
        <w:t>pericole</w:t>
      </w:r>
      <w:r w:rsidR="00970E20" w:rsidRPr="00857CDA">
        <w:rPr>
          <w:lang w:val="ro-RO"/>
        </w:rPr>
        <w:t>le</w:t>
      </w:r>
      <w:r w:rsidR="009A73D5" w:rsidRPr="00857CDA">
        <w:rPr>
          <w:lang w:val="ro-RO"/>
        </w:rPr>
        <w:t xml:space="preserve"> </w:t>
      </w:r>
      <w:r w:rsidR="0073413D" w:rsidRPr="00857CDA">
        <w:rPr>
          <w:lang w:val="ro-RO"/>
        </w:rPr>
        <w:t>identificate</w:t>
      </w:r>
      <w:r w:rsidR="00660131" w:rsidRPr="00857CDA">
        <w:rPr>
          <w:lang w:val="ro-RO"/>
        </w:rPr>
        <w:t>”</w:t>
      </w:r>
      <w:r w:rsidR="009A73D5" w:rsidRPr="00857CDA">
        <w:rPr>
          <w:lang w:val="ro-RO"/>
        </w:rPr>
        <w:t>.</w:t>
      </w:r>
    </w:p>
    <w:p w:rsidR="009C1F96" w:rsidRPr="00857CDA" w:rsidRDefault="0071379D" w:rsidP="0071379D">
      <w:pPr>
        <w:tabs>
          <w:tab w:val="left" w:pos="2268"/>
        </w:tabs>
        <w:spacing w:before="120" w:after="120" w:line="240" w:lineRule="auto"/>
        <w:ind w:left="1134" w:right="1134"/>
        <w:jc w:val="both"/>
        <w:rPr>
          <w:lang w:val="ro-RO"/>
        </w:rPr>
      </w:pPr>
      <w:r w:rsidRPr="00857CDA">
        <w:rPr>
          <w:lang w:val="ro-RO"/>
        </w:rPr>
        <w:t>2.1.2.8</w:t>
      </w:r>
      <w:r w:rsidR="009C1F96" w:rsidRPr="00857CDA">
        <w:rPr>
          <w:lang w:val="ro-RO"/>
        </w:rPr>
        <w:tab/>
      </w:r>
      <w:r w:rsidR="00970E20" w:rsidRPr="00857CDA">
        <w:rPr>
          <w:lang w:val="ro-RO"/>
        </w:rPr>
        <w:t>În</w:t>
      </w:r>
      <w:r w:rsidR="009C1F96" w:rsidRPr="00857CDA">
        <w:rPr>
          <w:lang w:val="ro-RO"/>
        </w:rPr>
        <w:t xml:space="preserve"> </w:t>
      </w:r>
      <w:r w:rsidR="00970E20" w:rsidRPr="00857CDA">
        <w:rPr>
          <w:lang w:val="ro-RO"/>
        </w:rPr>
        <w:t>al doilea alineat</w:t>
      </w:r>
      <w:r w:rsidR="009C1F96" w:rsidRPr="00857CDA">
        <w:rPr>
          <w:lang w:val="ro-RO"/>
        </w:rPr>
        <w:t xml:space="preserve">, </w:t>
      </w:r>
      <w:r w:rsidR="00902C44" w:rsidRPr="00857CDA">
        <w:rPr>
          <w:lang w:val="ro-RO"/>
        </w:rPr>
        <w:t>Se modifică</w:t>
      </w:r>
      <w:r w:rsidR="009C1F96" w:rsidRPr="00857CDA">
        <w:rPr>
          <w:lang w:val="ro-RO"/>
        </w:rPr>
        <w:t xml:space="preserve"> </w:t>
      </w:r>
      <w:r w:rsidR="00091658" w:rsidRPr="00857CDA">
        <w:rPr>
          <w:lang w:val="ro-RO"/>
        </w:rPr>
        <w:t>„</w:t>
      </w:r>
      <w:r w:rsidR="0073413D" w:rsidRPr="00857CDA">
        <w:rPr>
          <w:lang w:val="ro-RO"/>
        </w:rPr>
        <w:t>riscul(rile)</w:t>
      </w:r>
      <w:r w:rsidR="00660131" w:rsidRPr="00857CDA">
        <w:rPr>
          <w:lang w:val="ro-RO"/>
        </w:rPr>
        <w:t>”</w:t>
      </w:r>
      <w:r w:rsidR="00902C44" w:rsidRPr="00857CDA">
        <w:rPr>
          <w:lang w:val="ro-RO"/>
        </w:rPr>
        <w:t xml:space="preserve"> cu </w:t>
      </w:r>
      <w:r w:rsidR="00091658" w:rsidRPr="00857CDA">
        <w:rPr>
          <w:lang w:val="ro-RO"/>
        </w:rPr>
        <w:t>„</w:t>
      </w:r>
      <w:r w:rsidR="0073413D" w:rsidRPr="00857CDA">
        <w:rPr>
          <w:lang w:val="ro-RO"/>
        </w:rPr>
        <w:t>pericol(ele)</w:t>
      </w:r>
      <w:r w:rsidR="00660131" w:rsidRPr="00857CDA">
        <w:rPr>
          <w:lang w:val="ro-RO"/>
        </w:rPr>
        <w:t>”</w:t>
      </w:r>
      <w:r w:rsidR="009C1F96" w:rsidRPr="00857CDA">
        <w:rPr>
          <w:lang w:val="ro-RO"/>
        </w:rPr>
        <w:t xml:space="preserve"> </w:t>
      </w:r>
      <w:r w:rsidR="004428FA" w:rsidRPr="00857CDA">
        <w:rPr>
          <w:lang w:val="ro-RO"/>
        </w:rPr>
        <w:t xml:space="preserve">și </w:t>
      </w:r>
      <w:r w:rsidR="0073413D" w:rsidRPr="00857CDA">
        <w:rPr>
          <w:lang w:val="ro-RO"/>
        </w:rPr>
        <w:t>„risc” cu „pericole”</w:t>
      </w:r>
      <w:r w:rsidR="009C1F96" w:rsidRPr="00857CDA">
        <w:rPr>
          <w:lang w:val="ro-RO"/>
        </w:rPr>
        <w:t>.</w:t>
      </w:r>
    </w:p>
    <w:p w:rsidR="00DE7E13" w:rsidRPr="00857CDA" w:rsidRDefault="00DE7E13" w:rsidP="0071379D">
      <w:pPr>
        <w:tabs>
          <w:tab w:val="left" w:pos="2268"/>
        </w:tabs>
        <w:spacing w:before="120" w:after="120" w:line="240" w:lineRule="auto"/>
        <w:ind w:left="1134" w:right="1134"/>
        <w:jc w:val="both"/>
        <w:rPr>
          <w:lang w:val="ro-RO"/>
        </w:rPr>
      </w:pPr>
      <w:r w:rsidRPr="00857CDA">
        <w:rPr>
          <w:lang w:val="ro-RO"/>
        </w:rPr>
        <w:t>2.1.3</w:t>
      </w:r>
      <w:r w:rsidR="0071379D" w:rsidRPr="00857CDA">
        <w:rPr>
          <w:lang w:val="ro-RO"/>
        </w:rPr>
        <w:t>.3</w:t>
      </w:r>
      <w:r w:rsidRPr="00857CDA">
        <w:rPr>
          <w:lang w:val="ro-RO"/>
        </w:rPr>
        <w:tab/>
      </w:r>
      <w:r w:rsidR="00902C44" w:rsidRPr="00857CDA">
        <w:rPr>
          <w:lang w:val="ro-RO"/>
        </w:rPr>
        <w:t xml:space="preserve">În </w:t>
      </w:r>
      <w:r w:rsidRPr="00857CDA">
        <w:rPr>
          <w:lang w:val="ro-RO"/>
        </w:rPr>
        <w:t xml:space="preserve">le </w:t>
      </w:r>
      <w:r w:rsidR="00970E20" w:rsidRPr="00857CDA">
        <w:rPr>
          <w:lang w:val="ro-RO"/>
        </w:rPr>
        <w:t>ultimul</w:t>
      </w:r>
      <w:r w:rsidRPr="00857CDA">
        <w:rPr>
          <w:lang w:val="ro-RO"/>
        </w:rPr>
        <w:t xml:space="preserve"> </w:t>
      </w:r>
      <w:r w:rsidR="00970E20" w:rsidRPr="00857CDA">
        <w:rPr>
          <w:lang w:val="ro-RO"/>
        </w:rPr>
        <w:t>paragraf</w:t>
      </w:r>
      <w:r w:rsidRPr="00857CDA">
        <w:rPr>
          <w:lang w:val="ro-RO"/>
        </w:rPr>
        <w:t xml:space="preserve">, </w:t>
      </w:r>
      <w:r w:rsidR="00902C44" w:rsidRPr="00857CDA">
        <w:rPr>
          <w:lang w:val="ro-RO"/>
        </w:rPr>
        <w:t>Se modifică</w:t>
      </w:r>
      <w:r w:rsidRPr="00857CDA">
        <w:rPr>
          <w:lang w:val="ro-RO"/>
        </w:rPr>
        <w:t xml:space="preserve"> </w:t>
      </w:r>
      <w:r w:rsidR="00091658" w:rsidRPr="00857CDA">
        <w:rPr>
          <w:lang w:val="ro-RO"/>
        </w:rPr>
        <w:t>„</w:t>
      </w:r>
      <w:r w:rsidR="0073413D" w:rsidRPr="00857CDA">
        <w:rPr>
          <w:lang w:val="ro-RO"/>
        </w:rPr>
        <w:t>riscul secundar eventual prezentat</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pericole</w:t>
      </w:r>
      <w:r w:rsidR="0073413D" w:rsidRPr="00857CDA">
        <w:rPr>
          <w:lang w:val="ro-RO"/>
        </w:rPr>
        <w:t>le</w:t>
      </w:r>
      <w:r w:rsidRPr="00857CDA">
        <w:rPr>
          <w:lang w:val="ro-RO"/>
        </w:rPr>
        <w:t xml:space="preserve"> </w:t>
      </w:r>
      <w:r w:rsidR="00936848" w:rsidRPr="00857CDA">
        <w:rPr>
          <w:lang w:val="ro-RO"/>
        </w:rPr>
        <w:t>secundar</w:t>
      </w:r>
      <w:r w:rsidR="00F27B4E" w:rsidRPr="00857CDA">
        <w:rPr>
          <w:lang w:val="ro-RO"/>
        </w:rPr>
        <w:t>e</w:t>
      </w:r>
      <w:r w:rsidR="0073413D" w:rsidRPr="00857CDA">
        <w:rPr>
          <w:lang w:val="ro-RO"/>
        </w:rPr>
        <w:t xml:space="preserve"> eventuale prezentate</w:t>
      </w:r>
      <w:r w:rsidR="00660131" w:rsidRPr="00857CDA">
        <w:rPr>
          <w:lang w:val="ro-RO"/>
        </w:rPr>
        <w:t>”</w:t>
      </w:r>
      <w:r w:rsidRPr="00857CDA">
        <w:rPr>
          <w:lang w:val="ro-RO"/>
        </w:rPr>
        <w:t>.</w:t>
      </w:r>
    </w:p>
    <w:p w:rsidR="00E05CC8" w:rsidRPr="00857CDA" w:rsidRDefault="00E05CC8" w:rsidP="0071379D">
      <w:pPr>
        <w:tabs>
          <w:tab w:val="left" w:pos="2268"/>
        </w:tabs>
        <w:spacing w:before="120" w:after="120" w:line="240" w:lineRule="auto"/>
        <w:ind w:left="1134" w:right="1134"/>
        <w:jc w:val="both"/>
        <w:rPr>
          <w:lang w:val="ro-RO"/>
        </w:rPr>
      </w:pPr>
      <w:r w:rsidRPr="00857CDA">
        <w:rPr>
          <w:lang w:val="ro-RO"/>
        </w:rPr>
        <w:t>2.1.3.5.4</w:t>
      </w:r>
      <w:r w:rsidRPr="00857CDA">
        <w:rPr>
          <w:lang w:val="ro-RO"/>
        </w:rPr>
        <w:tab/>
        <w:t>Se modifică „riscurilor” cu „pericolelor”.</w:t>
      </w:r>
    </w:p>
    <w:p w:rsidR="005D3965" w:rsidRPr="00857CDA" w:rsidRDefault="005D3965" w:rsidP="005D3965">
      <w:pPr>
        <w:pStyle w:val="SingleTxtG"/>
        <w:rPr>
          <w:lang w:val="ro-RO"/>
        </w:rPr>
      </w:pPr>
      <w:r w:rsidRPr="00857CDA">
        <w:rPr>
          <w:lang w:val="ro-RO"/>
        </w:rPr>
        <w:t>2.1.3.5.5</w:t>
      </w:r>
      <w:r w:rsidRPr="00857CDA">
        <w:rPr>
          <w:lang w:val="ro-RO"/>
        </w:rPr>
        <w:tab/>
      </w:r>
      <w:r w:rsidR="00902C44" w:rsidRPr="00857CDA">
        <w:rPr>
          <w:lang w:val="ro-RO"/>
        </w:rPr>
        <w:t xml:space="preserve">În </w:t>
      </w:r>
      <w:r w:rsidRPr="00857CDA">
        <w:rPr>
          <w:lang w:val="ro-RO"/>
        </w:rPr>
        <w:t>not</w:t>
      </w:r>
      <w:r w:rsidR="00D85951" w:rsidRPr="00857CDA">
        <w:rPr>
          <w:lang w:val="ro-RO"/>
        </w:rPr>
        <w:t>a</w:t>
      </w:r>
      <w:r w:rsidRPr="00857CDA">
        <w:rPr>
          <w:lang w:val="ro-RO"/>
        </w:rPr>
        <w:t xml:space="preserve"> de </w:t>
      </w:r>
      <w:r w:rsidR="00D85951" w:rsidRPr="00857CDA">
        <w:rPr>
          <w:lang w:val="ro-RO"/>
        </w:rPr>
        <w:t>subsol</w:t>
      </w:r>
      <w:r w:rsidRPr="00857CDA">
        <w:rPr>
          <w:lang w:val="ro-RO"/>
        </w:rPr>
        <w:t xml:space="preserve"> 2, </w:t>
      </w:r>
      <w:r w:rsidR="00991390" w:rsidRPr="00857CDA">
        <w:rPr>
          <w:lang w:val="ro-RO"/>
        </w:rPr>
        <w:t>după</w:t>
      </w:r>
      <w:r w:rsidRPr="00857CDA">
        <w:rPr>
          <w:lang w:val="ro-RO"/>
        </w:rPr>
        <w:t xml:space="preserve"> </w:t>
      </w:r>
      <w:r w:rsidR="00F27B4E" w:rsidRPr="00857CDA">
        <w:rPr>
          <w:lang w:val="ro-RO"/>
        </w:rPr>
        <w:t>„</w:t>
      </w:r>
      <w:r w:rsidR="00D85951" w:rsidRPr="00857CDA">
        <w:rPr>
          <w:iCs/>
          <w:lang w:val="ro-RO"/>
        </w:rPr>
        <w:t>(Jurnalul Oficial al Comunităţilor Europene Nr. L 226 din 6 septembrie 2000, pagina 3)</w:t>
      </w:r>
      <w:r w:rsidR="00660131" w:rsidRPr="00857CDA">
        <w:rPr>
          <w:iCs/>
          <w:lang w:val="ro-RO"/>
        </w:rPr>
        <w:t>”</w:t>
      </w:r>
      <w:r w:rsidR="004C27AD" w:rsidRPr="00857CDA">
        <w:rPr>
          <w:lang w:val="ro-RO"/>
        </w:rPr>
        <w:t xml:space="preserve"> și </w:t>
      </w:r>
      <w:r w:rsidR="00991390" w:rsidRPr="00857CDA">
        <w:rPr>
          <w:lang w:val="ro-RO"/>
        </w:rPr>
        <w:t>după</w:t>
      </w:r>
      <w:r w:rsidRPr="00857CDA">
        <w:rPr>
          <w:lang w:val="ro-RO"/>
        </w:rPr>
        <w:t xml:space="preserve"> </w:t>
      </w:r>
      <w:r w:rsidR="00F27B4E" w:rsidRPr="00857CDA">
        <w:rPr>
          <w:lang w:val="ro-RO"/>
        </w:rPr>
        <w:t>„</w:t>
      </w:r>
      <w:r w:rsidR="00D85951" w:rsidRPr="00857CDA">
        <w:rPr>
          <w:iCs/>
          <w:lang w:val="ro-RO"/>
        </w:rPr>
        <w:t>(Jurnal oficial al Comunităţilor Europene Nr. L 312 din 22 noiembrie 2008, p. 3 la 30)</w:t>
      </w:r>
      <w:r w:rsidR="00660131" w:rsidRPr="00857CDA">
        <w:rPr>
          <w:lang w:val="ro-RO"/>
        </w:rPr>
        <w:t>”</w:t>
      </w:r>
      <w:r w:rsidRPr="00857CDA">
        <w:rPr>
          <w:lang w:val="ro-RO"/>
        </w:rPr>
        <w:t xml:space="preserve">, </w:t>
      </w:r>
      <w:r w:rsidR="000022EF" w:rsidRPr="00857CDA">
        <w:rPr>
          <w:lang w:val="ro-RO"/>
        </w:rPr>
        <w:t>se introduce</w:t>
      </w:r>
      <w:r w:rsidRPr="00857CDA">
        <w:rPr>
          <w:lang w:val="ro-RO"/>
        </w:rPr>
        <w:t xml:space="preserve"> </w:t>
      </w:r>
      <w:r w:rsidR="00F27B4E" w:rsidRPr="00857CDA">
        <w:rPr>
          <w:lang w:val="ro-RO"/>
        </w:rPr>
        <w:t>„</w:t>
      </w:r>
      <w:r w:rsidR="00D85951" w:rsidRPr="00857CDA">
        <w:rPr>
          <w:lang w:val="ro-RO"/>
        </w:rPr>
        <w:t xml:space="preserve"> </w:t>
      </w:r>
      <w:r w:rsidRPr="00857CDA">
        <w:rPr>
          <w:lang w:val="ro-RO"/>
        </w:rPr>
        <w:t>,</w:t>
      </w:r>
      <w:r w:rsidR="00D85951" w:rsidRPr="00857CDA">
        <w:rPr>
          <w:lang w:val="ro-RO"/>
        </w:rPr>
        <w:t>cu modificările și completările ulterioare</w:t>
      </w:r>
      <w:r w:rsidR="00660131" w:rsidRPr="00857CDA">
        <w:rPr>
          <w:lang w:val="ro-RO"/>
        </w:rPr>
        <w:t>”</w:t>
      </w:r>
      <w:r w:rsidRPr="00857CDA">
        <w:rPr>
          <w:lang w:val="ro-RO"/>
        </w:rPr>
        <w:t>.</w:t>
      </w:r>
      <w:r w:rsidR="00F27B4E" w:rsidRPr="00857CDA">
        <w:rPr>
          <w:lang w:val="ro-RO"/>
        </w:rPr>
        <w:t xml:space="preserve"> </w:t>
      </w:r>
    </w:p>
    <w:p w:rsidR="00B46AB9" w:rsidRPr="00857CDA" w:rsidRDefault="00B46AB9" w:rsidP="005D3965">
      <w:pPr>
        <w:spacing w:before="120" w:after="120" w:line="240" w:lineRule="auto"/>
        <w:ind w:left="1134" w:right="1134"/>
        <w:jc w:val="both"/>
        <w:rPr>
          <w:iCs/>
          <w:lang w:val="ro-RO"/>
        </w:rPr>
      </w:pPr>
      <w:r w:rsidRPr="00857CDA">
        <w:rPr>
          <w:lang w:val="ro-RO"/>
        </w:rPr>
        <w:t>2.1.3.7</w:t>
      </w:r>
      <w:r w:rsidRPr="00857CDA">
        <w:rPr>
          <w:lang w:val="ro-RO"/>
        </w:rPr>
        <w:tab/>
      </w:r>
      <w:r w:rsidRPr="00857CDA">
        <w:rPr>
          <w:lang w:val="ro-RO"/>
        </w:rPr>
        <w:tab/>
      </w:r>
      <w:r w:rsidR="00902C44" w:rsidRPr="00857CDA">
        <w:rPr>
          <w:lang w:val="ro-RO"/>
        </w:rPr>
        <w:t xml:space="preserve">În </w:t>
      </w:r>
      <w:r w:rsidR="00D85951" w:rsidRPr="00857CDA">
        <w:rPr>
          <w:lang w:val="ro-RO"/>
        </w:rPr>
        <w:t xml:space="preserve">prima </w:t>
      </w:r>
      <w:r w:rsidR="00970E20" w:rsidRPr="00857CDA">
        <w:rPr>
          <w:lang w:val="ro-RO"/>
        </w:rPr>
        <w:t>frază</w:t>
      </w:r>
      <w:r w:rsidRPr="00857CDA">
        <w:rPr>
          <w:lang w:val="ro-RO"/>
        </w:rPr>
        <w:t xml:space="preserve">, </w:t>
      </w:r>
      <w:r w:rsidR="00902C44" w:rsidRPr="00857CDA">
        <w:rPr>
          <w:lang w:val="ro-RO"/>
        </w:rPr>
        <w:t>Se modifică</w:t>
      </w:r>
      <w:r w:rsidRPr="00857CDA">
        <w:rPr>
          <w:lang w:val="ro-RO"/>
        </w:rPr>
        <w:t xml:space="preserve"> </w:t>
      </w:r>
      <w:r w:rsidR="00F27B4E" w:rsidRPr="00857CDA">
        <w:rPr>
          <w:lang w:val="ro-RO"/>
        </w:rPr>
        <w:t>„</w:t>
      </w:r>
      <w:r w:rsidR="002B679C" w:rsidRPr="00857CDA">
        <w:rPr>
          <w:lang w:val="ro-RO"/>
        </w:rPr>
        <w:t>risc</w:t>
      </w:r>
      <w:r w:rsidRPr="00857CDA">
        <w:rPr>
          <w:lang w:val="ro-RO"/>
        </w:rPr>
        <w:t xml:space="preserve"> </w:t>
      </w:r>
      <w:r w:rsidR="00936848" w:rsidRPr="00857CDA">
        <w:rPr>
          <w:lang w:val="ro-RO"/>
        </w:rPr>
        <w:t>secundar</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Pr="00857CDA">
        <w:rPr>
          <w:lang w:val="ro-RO"/>
        </w:rPr>
        <w:t xml:space="preserve"> </w:t>
      </w:r>
      <w:r w:rsidR="00936848" w:rsidRPr="00857CDA">
        <w:rPr>
          <w:lang w:val="ro-RO"/>
        </w:rPr>
        <w:t>secundar</w:t>
      </w:r>
      <w:r w:rsidR="00660131" w:rsidRPr="00857CDA">
        <w:rPr>
          <w:lang w:val="ro-RO"/>
        </w:rPr>
        <w:t>”</w:t>
      </w:r>
      <w:r w:rsidRPr="00857CDA">
        <w:rPr>
          <w:lang w:val="ro-RO"/>
        </w:rPr>
        <w:t>.</w:t>
      </w:r>
    </w:p>
    <w:p w:rsidR="002E6E05" w:rsidRPr="00857CDA" w:rsidRDefault="002E6E05" w:rsidP="00835B4E">
      <w:pPr>
        <w:pStyle w:val="SingleTxtG"/>
        <w:rPr>
          <w:lang w:val="ro-RO"/>
        </w:rPr>
      </w:pPr>
      <w:r w:rsidRPr="00857CDA">
        <w:rPr>
          <w:lang w:val="ro-RO"/>
        </w:rPr>
        <w:t>2.1.3.7</w:t>
      </w:r>
      <w:r w:rsidRPr="00857CDA">
        <w:rPr>
          <w:lang w:val="ro-RO"/>
        </w:rPr>
        <w:tab/>
      </w:r>
      <w:r w:rsidRPr="00857CDA">
        <w:rPr>
          <w:lang w:val="ro-RO"/>
        </w:rPr>
        <w:tab/>
      </w:r>
      <w:r w:rsidR="00D85951" w:rsidRPr="00857CDA">
        <w:rPr>
          <w:lang w:val="ro-RO"/>
        </w:rPr>
        <w:t>La sfârșit</w:t>
      </w:r>
      <w:r w:rsidRPr="00857CDA">
        <w:rPr>
          <w:lang w:val="ro-RO"/>
        </w:rPr>
        <w:t xml:space="preserve">, </w:t>
      </w:r>
      <w:r w:rsidR="00902C44" w:rsidRPr="00857CDA">
        <w:rPr>
          <w:lang w:val="ro-RO"/>
        </w:rPr>
        <w:t>se adaugă</w:t>
      </w:r>
      <w:r w:rsidR="00091658" w:rsidRPr="00857CDA">
        <w:rPr>
          <w:lang w:val="ro-RO"/>
        </w:rPr>
        <w:t>:</w:t>
      </w:r>
      <w:r w:rsidRPr="00857CDA">
        <w:rPr>
          <w:lang w:val="ro-RO"/>
        </w:rPr>
        <w:t xml:space="preserve"> </w:t>
      </w:r>
      <w:r w:rsidR="00F27B4E" w:rsidRPr="00857CDA">
        <w:rPr>
          <w:lang w:val="ro-RO"/>
        </w:rPr>
        <w:t>„</w:t>
      </w:r>
      <w:r w:rsidR="00835B4E" w:rsidRPr="00857CDA">
        <w:rPr>
          <w:lang w:val="ro-RO"/>
        </w:rPr>
        <w:t>Printre îngrășămintele solide pe bază de azotat (nitrat) de amoniu, a se vedea, de asemenea, alineatele13 și 14 de la 2.2.51.2.2 și Manualul de Încercări și Criterii, Partea III, Secțiunea 39</w:t>
      </w:r>
      <w:r w:rsidRPr="00857CDA">
        <w:rPr>
          <w:lang w:val="ro-RO"/>
        </w:rPr>
        <w:t>.</w:t>
      </w:r>
      <w:r w:rsidR="00660131" w:rsidRPr="00857CDA">
        <w:rPr>
          <w:lang w:val="ro-RO"/>
        </w:rPr>
        <w:t>”</w:t>
      </w:r>
      <w:r w:rsidRPr="00857CDA">
        <w:rPr>
          <w:lang w:val="ro-RO"/>
        </w:rPr>
        <w:t>.</w:t>
      </w:r>
    </w:p>
    <w:p w:rsidR="00E3532A" w:rsidRPr="00857CDA" w:rsidRDefault="00931472" w:rsidP="00867522">
      <w:pPr>
        <w:pStyle w:val="SingleTxtG"/>
        <w:tabs>
          <w:tab w:val="left" w:pos="2268"/>
        </w:tabs>
        <w:rPr>
          <w:lang w:val="ro-RO"/>
        </w:rPr>
      </w:pPr>
      <w:r w:rsidRPr="00857CDA">
        <w:rPr>
          <w:lang w:val="ro-RO"/>
        </w:rPr>
        <w:t>2.1.4</w:t>
      </w:r>
      <w:r w:rsidR="00E3532A" w:rsidRPr="00857CDA">
        <w:rPr>
          <w:lang w:val="ro-RO"/>
        </w:rPr>
        <w:tab/>
      </w:r>
      <w:r w:rsidR="00902C44" w:rsidRPr="00857CDA">
        <w:rPr>
          <w:lang w:val="ro-RO"/>
        </w:rPr>
        <w:t>Se adaugă</w:t>
      </w:r>
      <w:r w:rsidR="00E3532A" w:rsidRPr="00857CDA">
        <w:rPr>
          <w:lang w:val="ro-RO"/>
        </w:rPr>
        <w:t xml:space="preserve"> nou</w:t>
      </w:r>
      <w:r w:rsidR="00835B4E" w:rsidRPr="00857CDA">
        <w:rPr>
          <w:lang w:val="ro-RO"/>
        </w:rPr>
        <w:t>a</w:t>
      </w:r>
      <w:r w:rsidR="00E3532A" w:rsidRPr="00857CDA">
        <w:rPr>
          <w:lang w:val="ro-RO"/>
        </w:rPr>
        <w:t xml:space="preserve"> su</w:t>
      </w:r>
      <w:r w:rsidR="00835B4E" w:rsidRPr="00857CDA">
        <w:rPr>
          <w:lang w:val="ro-RO"/>
        </w:rPr>
        <w:t>b</w:t>
      </w:r>
      <w:r w:rsidR="00E3532A" w:rsidRPr="00857CDA">
        <w:rPr>
          <w:lang w:val="ro-RO"/>
        </w:rPr>
        <w:t>-sec</w:t>
      </w:r>
      <w:r w:rsidR="00835B4E" w:rsidRPr="00857CDA">
        <w:rPr>
          <w:lang w:val="ro-RO"/>
        </w:rPr>
        <w:t>țiune</w:t>
      </w:r>
      <w:r w:rsidR="00E3532A" w:rsidRPr="00857CDA">
        <w:rPr>
          <w:lang w:val="ro-RO"/>
        </w:rPr>
        <w:t xml:space="preserve"> </w:t>
      </w:r>
      <w:r w:rsidRPr="00857CDA">
        <w:rPr>
          <w:lang w:val="ro-RO"/>
        </w:rPr>
        <w:t>2.1.4.3</w:t>
      </w:r>
      <w:r w:rsidR="00835B4E" w:rsidRPr="00857CDA">
        <w:rPr>
          <w:lang w:val="ro-RO"/>
        </w:rPr>
        <w:t>, după cum urmează</w:t>
      </w:r>
      <w:r w:rsidR="00E3532A" w:rsidRPr="00857CDA">
        <w:rPr>
          <w:lang w:val="ro-RO"/>
        </w:rPr>
        <w:t>:</w:t>
      </w:r>
    </w:p>
    <w:p w:rsidR="005B3A38" w:rsidRPr="00857CDA" w:rsidRDefault="00F27B4E" w:rsidP="00E3532A">
      <w:pPr>
        <w:pStyle w:val="SingleTxtG"/>
        <w:rPr>
          <w:b/>
          <w:i/>
          <w:lang w:val="ro-RO"/>
        </w:rPr>
      </w:pPr>
      <w:r w:rsidRPr="00857CDA">
        <w:rPr>
          <w:lang w:val="ro-RO"/>
        </w:rPr>
        <w:t>„</w:t>
      </w:r>
      <w:r w:rsidR="00931472" w:rsidRPr="00857CDA">
        <w:rPr>
          <w:b/>
          <w:lang w:val="ro-RO"/>
        </w:rPr>
        <w:t>2.1.4.3</w:t>
      </w:r>
      <w:r w:rsidR="00E3532A" w:rsidRPr="00857CDA">
        <w:rPr>
          <w:b/>
          <w:lang w:val="ro-RO"/>
        </w:rPr>
        <w:tab/>
      </w:r>
      <w:r w:rsidR="005B3A38" w:rsidRPr="00857CDA">
        <w:rPr>
          <w:b/>
          <w:i/>
          <w:lang w:val="ro-RO"/>
        </w:rPr>
        <w:t xml:space="preserve">Eșantioane de </w:t>
      </w:r>
      <w:r w:rsidR="007C4169" w:rsidRPr="00857CDA">
        <w:rPr>
          <w:b/>
          <w:i/>
          <w:lang w:val="ro-RO"/>
        </w:rPr>
        <w:t>substanțe</w:t>
      </w:r>
      <w:r w:rsidR="005B3A38" w:rsidRPr="00857CDA">
        <w:rPr>
          <w:b/>
          <w:i/>
          <w:lang w:val="ro-RO"/>
        </w:rPr>
        <w:t xml:space="preserve"> energetice </w:t>
      </w:r>
      <w:r w:rsidR="005A27D9" w:rsidRPr="00857CDA">
        <w:rPr>
          <w:b/>
          <w:i/>
          <w:lang w:val="ro-RO"/>
        </w:rPr>
        <w:t>destinate încercării</w:t>
      </w:r>
      <w:r w:rsidR="005B3A38" w:rsidRPr="00857CDA">
        <w:rPr>
          <w:b/>
          <w:i/>
          <w:lang w:val="ro-RO"/>
        </w:rPr>
        <w:t xml:space="preserve"> </w:t>
      </w:r>
    </w:p>
    <w:p w:rsidR="001E4E29" w:rsidRPr="00857CDA" w:rsidRDefault="00931472" w:rsidP="00AB547F">
      <w:pPr>
        <w:pStyle w:val="SingleTxtG"/>
        <w:rPr>
          <w:lang w:val="ro-RO"/>
        </w:rPr>
      </w:pPr>
      <w:r w:rsidRPr="00857CDA">
        <w:rPr>
          <w:lang w:val="ro-RO"/>
        </w:rPr>
        <w:t>2.1.4.3.1</w:t>
      </w:r>
      <w:r w:rsidR="00E3532A" w:rsidRPr="00857CDA">
        <w:rPr>
          <w:lang w:val="ro-RO"/>
        </w:rPr>
        <w:tab/>
      </w:r>
      <w:r w:rsidR="001E4E29" w:rsidRPr="00857CDA">
        <w:rPr>
          <w:lang w:val="ro-RO"/>
        </w:rPr>
        <w:t xml:space="preserve">Eșantioanele de substanțe organice ale căror grupe funcționale sunt enumerate în tabelele A6.1 sau A6.3 din apendicele 6 (Proceduri de </w:t>
      </w:r>
      <w:r w:rsidR="007C4169" w:rsidRPr="00857CDA">
        <w:rPr>
          <w:lang w:val="ro-RO"/>
        </w:rPr>
        <w:t>preselecție</w:t>
      </w:r>
      <w:r w:rsidR="001E4E29" w:rsidRPr="00857CDA">
        <w:rPr>
          <w:lang w:val="ro-RO"/>
        </w:rPr>
        <w:t xml:space="preserve">) din Manualul </w:t>
      </w:r>
      <w:r w:rsidR="007C4169" w:rsidRPr="00857CDA">
        <w:rPr>
          <w:lang w:val="ro-RO"/>
        </w:rPr>
        <w:t>de Încercări</w:t>
      </w:r>
      <w:r w:rsidR="001E4E29" w:rsidRPr="00857CDA">
        <w:rPr>
          <w:lang w:val="ro-RO"/>
        </w:rPr>
        <w:t xml:space="preserve"> și </w:t>
      </w:r>
      <w:r w:rsidR="007C4169" w:rsidRPr="00857CDA">
        <w:rPr>
          <w:lang w:val="ro-RO"/>
        </w:rPr>
        <w:t>C</w:t>
      </w:r>
      <w:r w:rsidR="001E4E29" w:rsidRPr="00857CDA">
        <w:rPr>
          <w:lang w:val="ro-RO"/>
        </w:rPr>
        <w:t xml:space="preserve">riterii pot fi </w:t>
      </w:r>
      <w:r w:rsidR="007C4169" w:rsidRPr="00857CDA">
        <w:rPr>
          <w:lang w:val="ro-RO"/>
        </w:rPr>
        <w:t>trans</w:t>
      </w:r>
      <w:r w:rsidR="001E4E29" w:rsidRPr="00857CDA">
        <w:rPr>
          <w:lang w:val="ro-RO"/>
        </w:rPr>
        <w:t>p</w:t>
      </w:r>
      <w:r w:rsidR="007C4169" w:rsidRPr="00857CDA">
        <w:rPr>
          <w:lang w:val="ro-RO"/>
        </w:rPr>
        <w:t>o</w:t>
      </w:r>
      <w:r w:rsidR="001E4E29" w:rsidRPr="00857CDA">
        <w:rPr>
          <w:lang w:val="ro-RO"/>
        </w:rPr>
        <w:t xml:space="preserve">rtate </w:t>
      </w:r>
      <w:r w:rsidR="007C4169" w:rsidRPr="00857CDA">
        <w:rPr>
          <w:lang w:val="ro-RO"/>
        </w:rPr>
        <w:t>la</w:t>
      </w:r>
      <w:r w:rsidR="001E4E29" w:rsidRPr="00857CDA">
        <w:rPr>
          <w:lang w:val="ro-RO"/>
        </w:rPr>
        <w:t xml:space="preserve"> </w:t>
      </w:r>
      <w:r w:rsidR="007C4169" w:rsidRPr="00857CDA">
        <w:rPr>
          <w:lang w:val="ro-RO"/>
        </w:rPr>
        <w:t>Nr</w:t>
      </w:r>
      <w:r w:rsidR="001E4E29" w:rsidRPr="00857CDA">
        <w:rPr>
          <w:lang w:val="ro-RO"/>
        </w:rPr>
        <w:t xml:space="preserve">. </w:t>
      </w:r>
      <w:r w:rsidR="007C4169" w:rsidRPr="00857CDA">
        <w:rPr>
          <w:lang w:val="ro-RO"/>
        </w:rPr>
        <w:t xml:space="preserve">ONU </w:t>
      </w:r>
      <w:r w:rsidR="001E4E29" w:rsidRPr="00857CDA">
        <w:rPr>
          <w:lang w:val="ro-RO"/>
        </w:rPr>
        <w:t>3224 (solid autoreactiv</w:t>
      </w:r>
      <w:r w:rsidR="007C4169" w:rsidRPr="00857CDA">
        <w:rPr>
          <w:lang w:val="ro-RO"/>
        </w:rPr>
        <w:t xml:space="preserve"> tip C</w:t>
      </w:r>
      <w:r w:rsidR="001E4E29" w:rsidRPr="00857CDA">
        <w:rPr>
          <w:lang w:val="ro-RO"/>
        </w:rPr>
        <w:t xml:space="preserve">) sau </w:t>
      </w:r>
      <w:r w:rsidR="007C4169" w:rsidRPr="00857CDA">
        <w:rPr>
          <w:lang w:val="ro-RO"/>
        </w:rPr>
        <w:t>la Nr. ONU</w:t>
      </w:r>
      <w:r w:rsidR="001E4E29" w:rsidRPr="00857CDA">
        <w:rPr>
          <w:lang w:val="ro-RO"/>
        </w:rPr>
        <w:t xml:space="preserve"> 3223 (lichid autoreactiv tip C) din Clasa 4.1, după caz, cu condiția ca:</w:t>
      </w:r>
    </w:p>
    <w:p w:rsidR="00E3532A" w:rsidRPr="00857CDA" w:rsidRDefault="00E3532A" w:rsidP="00E3532A">
      <w:pPr>
        <w:pStyle w:val="SingleTxtG"/>
        <w:rPr>
          <w:lang w:val="ro-RO"/>
        </w:rPr>
      </w:pPr>
      <w:r w:rsidRPr="00857CDA">
        <w:rPr>
          <w:lang w:val="ro-RO"/>
        </w:rPr>
        <w:t>a)</w:t>
      </w:r>
      <w:r w:rsidRPr="00857CDA">
        <w:rPr>
          <w:lang w:val="ro-RO"/>
        </w:rPr>
        <w:tab/>
      </w:r>
      <w:r w:rsidR="007C4169" w:rsidRPr="00857CDA">
        <w:rPr>
          <w:lang w:val="ro-RO"/>
        </w:rPr>
        <w:t>Eșantioanele să nu conțină</w:t>
      </w:r>
      <w:r w:rsidR="00091658" w:rsidRPr="00857CDA">
        <w:rPr>
          <w:lang w:val="ro-RO"/>
        </w:rPr>
        <w:t>:</w:t>
      </w:r>
    </w:p>
    <w:p w:rsidR="00E3532A" w:rsidRPr="00857CDA" w:rsidRDefault="00E3532A" w:rsidP="00E3532A">
      <w:pPr>
        <w:pStyle w:val="SingleTxtG"/>
        <w:ind w:firstLine="567"/>
        <w:rPr>
          <w:lang w:val="ro-RO"/>
        </w:rPr>
      </w:pPr>
      <w:r w:rsidRPr="00857CDA">
        <w:rPr>
          <w:lang w:val="ro-RO"/>
        </w:rPr>
        <w:t>-</w:t>
      </w:r>
      <w:r w:rsidRPr="00857CDA">
        <w:rPr>
          <w:lang w:val="ro-RO"/>
        </w:rPr>
        <w:tab/>
      </w:r>
      <w:r w:rsidR="007C4169" w:rsidRPr="00857CDA">
        <w:rPr>
          <w:lang w:val="ro-RO"/>
        </w:rPr>
        <w:t>niciun exploziv cunoscut</w:t>
      </w:r>
      <w:r w:rsidRPr="00857CDA">
        <w:rPr>
          <w:lang w:val="ro-RO"/>
        </w:rPr>
        <w:t>;</w:t>
      </w:r>
    </w:p>
    <w:p w:rsidR="00E3532A" w:rsidRPr="00857CDA" w:rsidRDefault="00E3532A" w:rsidP="00E3532A">
      <w:pPr>
        <w:pStyle w:val="SingleTxtG"/>
        <w:ind w:firstLine="567"/>
        <w:rPr>
          <w:lang w:val="ro-RO"/>
        </w:rPr>
      </w:pPr>
      <w:r w:rsidRPr="00857CDA">
        <w:rPr>
          <w:lang w:val="ro-RO"/>
        </w:rPr>
        <w:t xml:space="preserve">- </w:t>
      </w:r>
      <w:r w:rsidRPr="00857CDA">
        <w:rPr>
          <w:lang w:val="ro-RO"/>
        </w:rPr>
        <w:tab/>
      </w:r>
      <w:r w:rsidR="007C4169" w:rsidRPr="00857CDA">
        <w:rPr>
          <w:lang w:val="ro-RO"/>
        </w:rPr>
        <w:t>nicio substanță care să prezinte efecte explozive în timpul încercărilor</w:t>
      </w:r>
      <w:r w:rsidRPr="00857CDA">
        <w:rPr>
          <w:lang w:val="ro-RO"/>
        </w:rPr>
        <w:t>;</w:t>
      </w:r>
    </w:p>
    <w:p w:rsidR="00E3532A" w:rsidRPr="00857CDA" w:rsidRDefault="00AA3A7B" w:rsidP="003E18FA">
      <w:pPr>
        <w:pStyle w:val="SingleTxtG"/>
        <w:ind w:left="2268" w:hanging="567"/>
        <w:rPr>
          <w:lang w:val="ro-RO"/>
        </w:rPr>
      </w:pPr>
      <w:r w:rsidRPr="00857CDA">
        <w:rPr>
          <w:lang w:val="ro-RO"/>
        </w:rPr>
        <w:lastRenderedPageBreak/>
        <w:t>-</w:t>
      </w:r>
      <w:r w:rsidRPr="00857CDA">
        <w:rPr>
          <w:lang w:val="ro-RO"/>
        </w:rPr>
        <w:tab/>
      </w:r>
      <w:r w:rsidR="007C4169" w:rsidRPr="00857CDA">
        <w:rPr>
          <w:lang w:val="ro-RO"/>
        </w:rPr>
        <w:t>niciun compus conceput pentru a produce practic un efect exploziv sau pirotehnic</w:t>
      </w:r>
      <w:r w:rsidRPr="00857CDA">
        <w:rPr>
          <w:lang w:val="ro-RO"/>
        </w:rPr>
        <w:t xml:space="preserve">; </w:t>
      </w:r>
      <w:r w:rsidR="003E18FA" w:rsidRPr="00857CDA">
        <w:rPr>
          <w:lang w:val="ro-RO"/>
        </w:rPr>
        <w:t>sa</w:t>
      </w:r>
      <w:r w:rsidRPr="00857CDA">
        <w:rPr>
          <w:lang w:val="ro-RO"/>
        </w:rPr>
        <w:t>u</w:t>
      </w:r>
    </w:p>
    <w:p w:rsidR="00E3532A" w:rsidRPr="00857CDA" w:rsidRDefault="00E3532A" w:rsidP="00E3532A">
      <w:pPr>
        <w:pStyle w:val="SingleTxtG"/>
        <w:ind w:firstLine="567"/>
        <w:rPr>
          <w:lang w:val="ro-RO"/>
        </w:rPr>
      </w:pPr>
      <w:r w:rsidRPr="00857CDA">
        <w:rPr>
          <w:lang w:val="ro-RO"/>
        </w:rPr>
        <w:t>-</w:t>
      </w:r>
      <w:r w:rsidRPr="00857CDA">
        <w:rPr>
          <w:lang w:val="ro-RO"/>
        </w:rPr>
        <w:tab/>
      </w:r>
      <w:r w:rsidR="003E18FA" w:rsidRPr="00857CDA">
        <w:rPr>
          <w:lang w:val="ro-RO"/>
        </w:rPr>
        <w:t>niciun component de precursori sintetici de explozivi intenționați</w:t>
      </w:r>
      <w:r w:rsidRPr="00857CDA">
        <w:rPr>
          <w:lang w:val="ro-RO"/>
        </w:rPr>
        <w:t>;</w:t>
      </w:r>
    </w:p>
    <w:p w:rsidR="00E3532A" w:rsidRPr="00857CDA" w:rsidRDefault="00E3532A" w:rsidP="00554377">
      <w:pPr>
        <w:pStyle w:val="SingleTxtG"/>
        <w:rPr>
          <w:lang w:val="ro-RO"/>
        </w:rPr>
      </w:pPr>
      <w:r w:rsidRPr="00857CDA">
        <w:rPr>
          <w:lang w:val="ro-RO"/>
        </w:rPr>
        <w:t>b)</w:t>
      </w:r>
      <w:r w:rsidRPr="00857CDA">
        <w:rPr>
          <w:lang w:val="ro-RO"/>
        </w:rPr>
        <w:tab/>
      </w:r>
      <w:r w:rsidR="00991390" w:rsidRPr="00857CDA">
        <w:rPr>
          <w:lang w:val="ro-RO"/>
        </w:rPr>
        <w:t>Pentru</w:t>
      </w:r>
      <w:r w:rsidRPr="00857CDA">
        <w:rPr>
          <w:lang w:val="ro-RO"/>
        </w:rPr>
        <w:t xml:space="preserve"> </w:t>
      </w:r>
      <w:r w:rsidR="003E18FA" w:rsidRPr="00857CDA">
        <w:rPr>
          <w:lang w:val="ro-RO"/>
        </w:rPr>
        <w:t>amestecurile, complexele sau sărurile</w:t>
      </w:r>
      <w:r w:rsidR="00554377" w:rsidRPr="00857CDA">
        <w:rPr>
          <w:lang w:val="ro-RO"/>
        </w:rPr>
        <w:t xml:space="preserve"> substanțelor comburante (</w:t>
      </w:r>
      <w:r w:rsidR="003E18FA" w:rsidRPr="00857CDA">
        <w:rPr>
          <w:lang w:val="ro-RO"/>
        </w:rPr>
        <w:t>oxidante</w:t>
      </w:r>
      <w:r w:rsidR="00554377" w:rsidRPr="00857CDA">
        <w:rPr>
          <w:lang w:val="ro-RO"/>
        </w:rPr>
        <w:t>)</w:t>
      </w:r>
      <w:r w:rsidR="003E18FA" w:rsidRPr="00857CDA">
        <w:rPr>
          <w:lang w:val="ro-RO"/>
        </w:rPr>
        <w:t xml:space="preserve"> anorganice de clasa 5.1 </w:t>
      </w:r>
      <w:r w:rsidR="00554377" w:rsidRPr="00857CDA">
        <w:rPr>
          <w:lang w:val="ro-RO"/>
        </w:rPr>
        <w:t>cu substanțe</w:t>
      </w:r>
      <w:r w:rsidR="003E18FA" w:rsidRPr="00857CDA">
        <w:rPr>
          <w:lang w:val="ro-RO"/>
        </w:rPr>
        <w:t xml:space="preserve"> organice, concentrația </w:t>
      </w:r>
      <w:r w:rsidR="00554377" w:rsidRPr="00857CDA">
        <w:rPr>
          <w:lang w:val="ro-RO"/>
        </w:rPr>
        <w:t>substanței</w:t>
      </w:r>
      <w:r w:rsidR="003E18FA" w:rsidRPr="00857CDA">
        <w:rPr>
          <w:lang w:val="ro-RO"/>
        </w:rPr>
        <w:t xml:space="preserve"> </w:t>
      </w:r>
      <w:r w:rsidR="00554377" w:rsidRPr="00857CDA">
        <w:rPr>
          <w:lang w:val="ro-RO"/>
        </w:rPr>
        <w:t>comburante (</w:t>
      </w:r>
      <w:r w:rsidR="003E18FA" w:rsidRPr="00857CDA">
        <w:rPr>
          <w:lang w:val="ro-RO"/>
        </w:rPr>
        <w:t>oxidant</w:t>
      </w:r>
      <w:r w:rsidR="00554377" w:rsidRPr="00857CDA">
        <w:rPr>
          <w:lang w:val="ro-RO"/>
        </w:rPr>
        <w:t>e)</w:t>
      </w:r>
      <w:r w:rsidR="003E18FA" w:rsidRPr="00857CDA">
        <w:rPr>
          <w:lang w:val="ro-RO"/>
        </w:rPr>
        <w:t xml:space="preserve"> anorganic</w:t>
      </w:r>
      <w:r w:rsidR="00554377" w:rsidRPr="00857CDA">
        <w:rPr>
          <w:lang w:val="ro-RO"/>
        </w:rPr>
        <w:t>e să fie</w:t>
      </w:r>
      <w:r w:rsidR="00091658" w:rsidRPr="00857CDA">
        <w:rPr>
          <w:lang w:val="ro-RO"/>
        </w:rPr>
        <w:t>:</w:t>
      </w:r>
    </w:p>
    <w:p w:rsidR="00E3532A" w:rsidRPr="00857CDA" w:rsidRDefault="00E3532A" w:rsidP="00706B12">
      <w:pPr>
        <w:pStyle w:val="SingleTxtG"/>
        <w:ind w:left="2268" w:hanging="567"/>
        <w:rPr>
          <w:lang w:val="ro-RO"/>
        </w:rPr>
      </w:pPr>
      <w:r w:rsidRPr="00857CDA">
        <w:rPr>
          <w:lang w:val="ro-RO"/>
        </w:rPr>
        <w:t>-</w:t>
      </w:r>
      <w:r w:rsidRPr="00857CDA">
        <w:rPr>
          <w:lang w:val="ro-RO"/>
        </w:rPr>
        <w:tab/>
      </w:r>
      <w:r w:rsidR="00554377" w:rsidRPr="00857CDA">
        <w:rPr>
          <w:lang w:val="ro-RO"/>
        </w:rPr>
        <w:t>mai mică de 15% din masă, în cazul în care aceasta este atribuită la grupa de ambalare I (foarte periculoasă) sau II (mediu periculoasă)</w:t>
      </w:r>
      <w:r w:rsidRPr="00857CDA">
        <w:rPr>
          <w:lang w:val="ro-RO"/>
        </w:rPr>
        <w:t xml:space="preserve">; </w:t>
      </w:r>
      <w:r w:rsidR="00554377" w:rsidRPr="00857CDA">
        <w:rPr>
          <w:lang w:val="ro-RO"/>
        </w:rPr>
        <w:t>sa</w:t>
      </w:r>
      <w:r w:rsidRPr="00857CDA">
        <w:rPr>
          <w:lang w:val="ro-RO"/>
        </w:rPr>
        <w:t>u</w:t>
      </w:r>
    </w:p>
    <w:p w:rsidR="00E3532A" w:rsidRPr="00857CDA" w:rsidRDefault="00E3532A" w:rsidP="00706B12">
      <w:pPr>
        <w:pStyle w:val="SingleTxtG"/>
        <w:ind w:left="2268" w:hanging="567"/>
        <w:rPr>
          <w:lang w:val="ro-RO"/>
        </w:rPr>
      </w:pPr>
      <w:r w:rsidRPr="00857CDA">
        <w:rPr>
          <w:lang w:val="ro-RO"/>
        </w:rPr>
        <w:t>-</w:t>
      </w:r>
      <w:r w:rsidRPr="00857CDA">
        <w:rPr>
          <w:lang w:val="ro-RO"/>
        </w:rPr>
        <w:tab/>
      </w:r>
      <w:r w:rsidR="00554377" w:rsidRPr="00857CDA">
        <w:rPr>
          <w:lang w:val="ro-RO"/>
        </w:rPr>
        <w:t xml:space="preserve">mai mică de </w:t>
      </w:r>
      <w:r w:rsidRPr="00857CDA">
        <w:rPr>
          <w:lang w:val="ro-RO"/>
        </w:rPr>
        <w:t xml:space="preserve">30 % </w:t>
      </w:r>
      <w:r w:rsidR="00554377" w:rsidRPr="00857CDA">
        <w:rPr>
          <w:lang w:val="ro-RO"/>
        </w:rPr>
        <w:t xml:space="preserve">din masă dacă este atribuită la grupa de ambalare </w:t>
      </w:r>
      <w:r w:rsidRPr="00857CDA">
        <w:rPr>
          <w:lang w:val="ro-RO"/>
        </w:rPr>
        <w:t>III (</w:t>
      </w:r>
      <w:r w:rsidR="00554377" w:rsidRPr="00857CDA">
        <w:rPr>
          <w:lang w:val="ro-RO"/>
        </w:rPr>
        <w:t xml:space="preserve">puțin </w:t>
      </w:r>
      <w:r w:rsidR="002B679C" w:rsidRPr="00857CDA">
        <w:rPr>
          <w:lang w:val="ro-RO"/>
        </w:rPr>
        <w:t>peric</w:t>
      </w:r>
      <w:r w:rsidRPr="00857CDA">
        <w:rPr>
          <w:lang w:val="ro-RO"/>
        </w:rPr>
        <w:t>u</w:t>
      </w:r>
      <w:r w:rsidR="00554377" w:rsidRPr="00857CDA">
        <w:rPr>
          <w:lang w:val="ro-RO"/>
        </w:rPr>
        <w:t>loa</w:t>
      </w:r>
      <w:r w:rsidRPr="00857CDA">
        <w:rPr>
          <w:lang w:val="ro-RO"/>
        </w:rPr>
        <w:t>s</w:t>
      </w:r>
      <w:r w:rsidR="00554377" w:rsidRPr="00857CDA">
        <w:rPr>
          <w:lang w:val="ro-RO"/>
        </w:rPr>
        <w:t>ă</w:t>
      </w:r>
      <w:r w:rsidRPr="00857CDA">
        <w:rPr>
          <w:lang w:val="ro-RO"/>
        </w:rPr>
        <w:t>);</w:t>
      </w:r>
    </w:p>
    <w:p w:rsidR="00E3532A" w:rsidRPr="00857CDA" w:rsidRDefault="00E3532A" w:rsidP="00E3532A">
      <w:pPr>
        <w:pStyle w:val="SingleTxtG"/>
        <w:rPr>
          <w:lang w:val="ro-RO"/>
        </w:rPr>
      </w:pPr>
      <w:r w:rsidRPr="00857CDA">
        <w:rPr>
          <w:lang w:val="ro-RO"/>
        </w:rPr>
        <w:t>c)</w:t>
      </w:r>
      <w:r w:rsidRPr="00857CDA">
        <w:rPr>
          <w:lang w:val="ro-RO"/>
        </w:rPr>
        <w:tab/>
      </w:r>
      <w:r w:rsidR="00554377" w:rsidRPr="00857CDA">
        <w:rPr>
          <w:lang w:val="ro-RO"/>
        </w:rPr>
        <w:t xml:space="preserve">Datele disponibile </w:t>
      </w:r>
      <w:r w:rsidR="004D24C0" w:rsidRPr="00857CDA">
        <w:rPr>
          <w:lang w:val="ro-RO"/>
        </w:rPr>
        <w:t xml:space="preserve">să </w:t>
      </w:r>
      <w:r w:rsidR="00554377" w:rsidRPr="00857CDA">
        <w:rPr>
          <w:lang w:val="ro-RO"/>
        </w:rPr>
        <w:t>nu permit</w:t>
      </w:r>
      <w:r w:rsidR="004D24C0" w:rsidRPr="00857CDA">
        <w:rPr>
          <w:lang w:val="ro-RO"/>
        </w:rPr>
        <w:t>ă</w:t>
      </w:r>
      <w:r w:rsidR="00554377" w:rsidRPr="00857CDA">
        <w:rPr>
          <w:lang w:val="ro-RO"/>
        </w:rPr>
        <w:t xml:space="preserve"> o clasificare mai precisă</w:t>
      </w:r>
      <w:r w:rsidR="00867522" w:rsidRPr="00857CDA">
        <w:rPr>
          <w:lang w:val="ro-RO"/>
        </w:rPr>
        <w:t>;</w:t>
      </w:r>
    </w:p>
    <w:p w:rsidR="00E3532A" w:rsidRPr="00857CDA" w:rsidRDefault="00E3532A" w:rsidP="00E3532A">
      <w:pPr>
        <w:pStyle w:val="SingleTxtG"/>
        <w:rPr>
          <w:lang w:val="ro-RO"/>
        </w:rPr>
      </w:pPr>
      <w:r w:rsidRPr="00857CDA">
        <w:rPr>
          <w:lang w:val="ro-RO"/>
        </w:rPr>
        <w:t>d)</w:t>
      </w:r>
      <w:r w:rsidRPr="00857CDA">
        <w:rPr>
          <w:lang w:val="ro-RO"/>
        </w:rPr>
        <w:tab/>
      </w:r>
      <w:r w:rsidR="004D24C0" w:rsidRPr="00857CDA">
        <w:rPr>
          <w:lang w:val="ro-RO"/>
        </w:rPr>
        <w:t>Eșantionul să nu fie ambalat cu alte mărfuri</w:t>
      </w:r>
      <w:r w:rsidRPr="00857CDA">
        <w:rPr>
          <w:lang w:val="ro-RO"/>
        </w:rPr>
        <w:t xml:space="preserve">; </w:t>
      </w:r>
      <w:r w:rsidR="00554377" w:rsidRPr="00857CDA">
        <w:rPr>
          <w:lang w:val="ro-RO"/>
        </w:rPr>
        <w:t>și</w:t>
      </w:r>
    </w:p>
    <w:p w:rsidR="00E3532A" w:rsidRPr="00857CDA" w:rsidRDefault="00E3532A" w:rsidP="00E3532A">
      <w:pPr>
        <w:pStyle w:val="SingleTxtG"/>
        <w:rPr>
          <w:lang w:val="ro-RO"/>
        </w:rPr>
      </w:pPr>
      <w:r w:rsidRPr="00857CDA">
        <w:rPr>
          <w:lang w:val="ro-RO"/>
        </w:rPr>
        <w:t>e)</w:t>
      </w:r>
      <w:r w:rsidRPr="00857CDA">
        <w:rPr>
          <w:lang w:val="ro-RO"/>
        </w:rPr>
        <w:tab/>
      </w:r>
      <w:r w:rsidR="004D24C0" w:rsidRPr="00857CDA">
        <w:rPr>
          <w:lang w:val="ro-RO"/>
        </w:rPr>
        <w:t>Eșantionul să fie ambalat în conformitate cu instrucțiunea de ambalare P520 și dispozițiile speciale de ambalare PP94 sau PP95 de la 4.1.4.1, după caz.</w:t>
      </w:r>
      <w:r w:rsidR="00660131" w:rsidRPr="00857CDA">
        <w:rPr>
          <w:lang w:val="ro-RO"/>
        </w:rPr>
        <w:t>”</w:t>
      </w:r>
      <w:r w:rsidRPr="00857CDA">
        <w:rPr>
          <w:lang w:val="ro-RO"/>
        </w:rPr>
        <w:t>.</w:t>
      </w:r>
    </w:p>
    <w:p w:rsidR="002342EA" w:rsidRPr="00857CDA" w:rsidRDefault="00B26115" w:rsidP="004D24C0">
      <w:pPr>
        <w:pStyle w:val="SingleTxtG"/>
        <w:tabs>
          <w:tab w:val="left" w:pos="2268"/>
        </w:tabs>
        <w:rPr>
          <w:lang w:val="ro-RO"/>
        </w:rPr>
      </w:pPr>
      <w:r w:rsidRPr="00857CDA">
        <w:rPr>
          <w:lang w:val="ro-RO"/>
        </w:rPr>
        <w:t>2.1.5</w:t>
      </w:r>
      <w:r w:rsidRPr="00857CDA">
        <w:rPr>
          <w:lang w:val="ro-RO"/>
        </w:rPr>
        <w:tab/>
      </w:r>
      <w:r w:rsidR="00902C44" w:rsidRPr="00857CDA">
        <w:rPr>
          <w:lang w:val="ro-RO"/>
        </w:rPr>
        <w:t>Se adaugă</w:t>
      </w:r>
      <w:r w:rsidR="002342EA" w:rsidRPr="00857CDA">
        <w:rPr>
          <w:lang w:val="ro-RO"/>
        </w:rPr>
        <w:t xml:space="preserve"> </w:t>
      </w:r>
      <w:r w:rsidR="004D24C0" w:rsidRPr="00857CDA">
        <w:rPr>
          <w:lang w:val="ro-RO"/>
        </w:rPr>
        <w:t>nou</w:t>
      </w:r>
      <w:r w:rsidR="009C748F" w:rsidRPr="00857CDA">
        <w:rPr>
          <w:lang w:val="ro-RO"/>
        </w:rPr>
        <w:t>ă</w:t>
      </w:r>
      <w:r w:rsidR="004D24C0" w:rsidRPr="00857CDA">
        <w:rPr>
          <w:lang w:val="ro-RO"/>
        </w:rPr>
        <w:t xml:space="preserve"> secțiune 2.1.5, după cum urmează și se renumerotează secțiunea 2.1.5 existentă ca secțiunea 2.1.6</w:t>
      </w:r>
      <w:r w:rsidR="00091658" w:rsidRPr="00857CDA">
        <w:rPr>
          <w:lang w:val="ro-RO"/>
        </w:rPr>
        <w:t>:</w:t>
      </w:r>
    </w:p>
    <w:p w:rsidR="002342EA" w:rsidRPr="00857CDA" w:rsidRDefault="00F27B4E" w:rsidP="00867522">
      <w:pPr>
        <w:pStyle w:val="SingleTxtG"/>
        <w:tabs>
          <w:tab w:val="left" w:pos="2268"/>
        </w:tabs>
        <w:rPr>
          <w:i/>
          <w:lang w:val="ro-RO"/>
        </w:rPr>
      </w:pPr>
      <w:r w:rsidRPr="00857CDA">
        <w:rPr>
          <w:lang w:val="ro-RO"/>
        </w:rPr>
        <w:t>„</w:t>
      </w:r>
      <w:r w:rsidR="00DD7499" w:rsidRPr="00857CDA">
        <w:rPr>
          <w:b/>
          <w:lang w:val="ro-RO"/>
        </w:rPr>
        <w:t>2.1.5</w:t>
      </w:r>
      <w:r w:rsidR="002342EA" w:rsidRPr="00857CDA">
        <w:rPr>
          <w:b/>
          <w:lang w:val="ro-RO"/>
        </w:rPr>
        <w:tab/>
      </w:r>
      <w:r w:rsidR="00706B12" w:rsidRPr="00857CDA">
        <w:rPr>
          <w:b/>
          <w:lang w:val="ro-RO"/>
        </w:rPr>
        <w:tab/>
      </w:r>
      <w:r w:rsidR="002B679C" w:rsidRPr="00857CDA">
        <w:rPr>
          <w:b/>
          <w:lang w:val="ro-RO"/>
        </w:rPr>
        <w:t>Clas</w:t>
      </w:r>
      <w:r w:rsidR="004D24C0" w:rsidRPr="00857CDA">
        <w:rPr>
          <w:b/>
          <w:lang w:val="ro-RO"/>
        </w:rPr>
        <w:t>ificarea obiectelor ca obiecte care conțin mărfuri periculoase</w:t>
      </w:r>
      <w:r w:rsidR="00DD7499" w:rsidRPr="00857CDA">
        <w:rPr>
          <w:b/>
          <w:lang w:val="ro-RO"/>
        </w:rPr>
        <w:t>,</w:t>
      </w:r>
      <w:r w:rsidR="002342EA" w:rsidRPr="00857CDA">
        <w:rPr>
          <w:b/>
          <w:lang w:val="ro-RO"/>
        </w:rPr>
        <w:t xml:space="preserve"> N.S.A.</w:t>
      </w:r>
    </w:p>
    <w:p w:rsidR="002342EA" w:rsidRPr="00857CDA" w:rsidRDefault="002342EA" w:rsidP="009C748F">
      <w:pPr>
        <w:pStyle w:val="SingleTxtG"/>
        <w:rPr>
          <w:i/>
          <w:lang w:val="ro-RO"/>
        </w:rPr>
      </w:pPr>
      <w:r w:rsidRPr="00857CDA">
        <w:rPr>
          <w:b/>
          <w:i/>
          <w:lang w:val="ro-RO"/>
        </w:rPr>
        <w:t>NOT</w:t>
      </w:r>
      <w:r w:rsidR="00E10F08" w:rsidRPr="00857CDA">
        <w:rPr>
          <w:b/>
          <w:i/>
          <w:lang w:val="ro-RO"/>
        </w:rPr>
        <w:t>Ă</w:t>
      </w:r>
      <w:r w:rsidRPr="00857CDA">
        <w:rPr>
          <w:b/>
          <w:i/>
          <w:lang w:val="ro-RO"/>
        </w:rPr>
        <w:t>:</w:t>
      </w:r>
      <w:r w:rsidRPr="00857CDA">
        <w:rPr>
          <w:lang w:val="ro-RO"/>
        </w:rPr>
        <w:tab/>
      </w:r>
      <w:r w:rsidR="009C748F" w:rsidRPr="00857CDA">
        <w:rPr>
          <w:i/>
          <w:lang w:val="ro-RO"/>
        </w:rPr>
        <w:t>Pentru articolele care nu au o denumire oficială de transport, altele decât cele de la Nr. ONU 3537 și 3548, care conțin numai produse de uz casnic în cantități care nu le depășesc pe  cele specificate în coloana (7a) din tabelul A din capitolul 3.2, a se vedea Nr. ONU 3363 și dispozițiile speciale 301 și 672 din capitolul 3.3</w:t>
      </w:r>
      <w:r w:rsidRPr="00857CDA">
        <w:rPr>
          <w:i/>
          <w:lang w:val="ro-RO"/>
        </w:rPr>
        <w:t>.</w:t>
      </w:r>
    </w:p>
    <w:p w:rsidR="00175224" w:rsidRPr="00857CDA" w:rsidRDefault="00132A26" w:rsidP="00867522">
      <w:pPr>
        <w:pStyle w:val="SingleTxtG"/>
        <w:tabs>
          <w:tab w:val="left" w:pos="2268"/>
        </w:tabs>
        <w:rPr>
          <w:lang w:val="ro-RO"/>
        </w:rPr>
      </w:pPr>
      <w:r w:rsidRPr="00857CDA">
        <w:rPr>
          <w:lang w:val="ro-RO"/>
        </w:rPr>
        <w:t>2.1.5.1</w:t>
      </w:r>
      <w:r w:rsidR="002342EA" w:rsidRPr="00857CDA">
        <w:rPr>
          <w:lang w:val="ro-RO"/>
        </w:rPr>
        <w:tab/>
      </w:r>
      <w:r w:rsidR="00175224" w:rsidRPr="00857CDA">
        <w:rPr>
          <w:lang w:val="ro-RO"/>
        </w:rPr>
        <w:t xml:space="preserve">Obiectele care conțin mărfuri periculoase pot fi clasificate </w:t>
      </w:r>
      <w:r w:rsidR="00655DA9" w:rsidRPr="00857CDA">
        <w:rPr>
          <w:lang w:val="ro-RO"/>
        </w:rPr>
        <w:t>după cum este prevăzut în alt</w:t>
      </w:r>
      <w:r w:rsidR="007D3142" w:rsidRPr="00857CDA">
        <w:rPr>
          <w:lang w:val="ro-RO"/>
        </w:rPr>
        <w:t xml:space="preserve"> loc</w:t>
      </w:r>
      <w:r w:rsidR="00655DA9" w:rsidRPr="00857CDA">
        <w:rPr>
          <w:lang w:val="ro-RO"/>
        </w:rPr>
        <w:t xml:space="preserve"> </w:t>
      </w:r>
      <w:r w:rsidR="007D3142" w:rsidRPr="00857CDA">
        <w:rPr>
          <w:lang w:val="ro-RO"/>
        </w:rPr>
        <w:t>din</w:t>
      </w:r>
      <w:r w:rsidR="00175224" w:rsidRPr="00857CDA">
        <w:rPr>
          <w:lang w:val="ro-RO"/>
        </w:rPr>
        <w:t xml:space="preserve"> ADR </w:t>
      </w:r>
      <w:r w:rsidR="00655DA9" w:rsidRPr="00857CDA">
        <w:rPr>
          <w:lang w:val="ro-RO"/>
        </w:rPr>
        <w:t>la</w:t>
      </w:r>
      <w:r w:rsidR="00175224" w:rsidRPr="00857CDA">
        <w:rPr>
          <w:lang w:val="ro-RO"/>
        </w:rPr>
        <w:t xml:space="preserve"> denumirea </w:t>
      </w:r>
      <w:r w:rsidR="00655DA9" w:rsidRPr="00857CDA">
        <w:rPr>
          <w:lang w:val="ro-RO"/>
        </w:rPr>
        <w:t xml:space="preserve">oficială </w:t>
      </w:r>
      <w:r w:rsidR="00175224" w:rsidRPr="00857CDA">
        <w:rPr>
          <w:lang w:val="ro-RO"/>
        </w:rPr>
        <w:t xml:space="preserve">de transport </w:t>
      </w:r>
      <w:r w:rsidR="00655DA9" w:rsidRPr="00857CDA">
        <w:rPr>
          <w:lang w:val="ro-RO"/>
        </w:rPr>
        <w:t>corespunzătoare</w:t>
      </w:r>
      <w:r w:rsidR="00175224" w:rsidRPr="00857CDA">
        <w:rPr>
          <w:lang w:val="ro-RO"/>
        </w:rPr>
        <w:t xml:space="preserve"> </w:t>
      </w:r>
      <w:r w:rsidR="00655DA9" w:rsidRPr="00857CDA">
        <w:rPr>
          <w:lang w:val="ro-RO"/>
        </w:rPr>
        <w:t xml:space="preserve">mărfurilor </w:t>
      </w:r>
      <w:r w:rsidR="00175224" w:rsidRPr="00857CDA">
        <w:rPr>
          <w:lang w:val="ro-RO"/>
        </w:rPr>
        <w:t>produsele pe care le conțin sau clasificate în conformitate cu prezenta secțiune.</w:t>
      </w:r>
    </w:p>
    <w:p w:rsidR="007D3142" w:rsidRPr="00857CDA" w:rsidRDefault="002342EA" w:rsidP="007D3142">
      <w:pPr>
        <w:pStyle w:val="SingleTxtG"/>
        <w:tabs>
          <w:tab w:val="left" w:pos="2268"/>
        </w:tabs>
        <w:rPr>
          <w:lang w:val="ro-RO"/>
        </w:rPr>
      </w:pPr>
      <w:r w:rsidRPr="00857CDA">
        <w:rPr>
          <w:lang w:val="ro-RO"/>
        </w:rPr>
        <w:tab/>
      </w:r>
      <w:r w:rsidR="007D3142" w:rsidRPr="00857CDA">
        <w:rPr>
          <w:lang w:val="ro-RO"/>
        </w:rPr>
        <w:t xml:space="preserve">În sensul prezentei secțiuni, </w:t>
      </w:r>
      <w:r w:rsidR="00132CD2" w:rsidRPr="00857CDA">
        <w:rPr>
          <w:lang w:val="ro-RO"/>
        </w:rPr>
        <w:t xml:space="preserve">prin </w:t>
      </w:r>
      <w:r w:rsidR="007D3142" w:rsidRPr="00857CDA">
        <w:rPr>
          <w:lang w:val="ro-RO"/>
        </w:rPr>
        <w:t xml:space="preserve">termenul </w:t>
      </w:r>
      <w:r w:rsidR="00132CD2" w:rsidRPr="00857CDA">
        <w:rPr>
          <w:lang w:val="ro-RO"/>
        </w:rPr>
        <w:t>„</w:t>
      </w:r>
      <w:r w:rsidR="007D3142" w:rsidRPr="00857CDA">
        <w:rPr>
          <w:lang w:val="ro-RO"/>
        </w:rPr>
        <w:t>obiect</w:t>
      </w:r>
      <w:r w:rsidR="00132CD2" w:rsidRPr="00857CDA">
        <w:rPr>
          <w:lang w:val="ro-RO"/>
        </w:rPr>
        <w:t>”</w:t>
      </w:r>
      <w:r w:rsidR="007D3142" w:rsidRPr="00857CDA">
        <w:rPr>
          <w:lang w:val="ro-RO"/>
        </w:rPr>
        <w:t xml:space="preserve"> </w:t>
      </w:r>
      <w:r w:rsidR="00132CD2" w:rsidRPr="00857CDA">
        <w:rPr>
          <w:lang w:val="ro-RO"/>
        </w:rPr>
        <w:t>se înțeleg</w:t>
      </w:r>
      <w:r w:rsidR="007D3142" w:rsidRPr="00857CDA">
        <w:rPr>
          <w:lang w:val="ro-RO"/>
        </w:rPr>
        <w:t xml:space="preserve"> </w:t>
      </w:r>
      <w:r w:rsidR="00132CD2" w:rsidRPr="00857CDA">
        <w:rPr>
          <w:lang w:val="ro-RO"/>
        </w:rPr>
        <w:t>utilaje</w:t>
      </w:r>
      <w:r w:rsidR="007D3142" w:rsidRPr="00857CDA">
        <w:rPr>
          <w:lang w:val="ro-RO"/>
        </w:rPr>
        <w:t>, aparate sau alte dispozitive care conțin un</w:t>
      </w:r>
      <w:r w:rsidR="00132CD2" w:rsidRPr="00857CDA">
        <w:rPr>
          <w:lang w:val="ro-RO"/>
        </w:rPr>
        <w:t>a</w:t>
      </w:r>
      <w:r w:rsidR="007D3142" w:rsidRPr="00857CDA">
        <w:rPr>
          <w:lang w:val="ro-RO"/>
        </w:rPr>
        <w:t xml:space="preserve"> sau mai multe </w:t>
      </w:r>
      <w:r w:rsidR="00132CD2" w:rsidRPr="00857CDA">
        <w:rPr>
          <w:lang w:val="ro-RO"/>
        </w:rPr>
        <w:t>mărfuri periculoase</w:t>
      </w:r>
      <w:r w:rsidR="007D3142" w:rsidRPr="00857CDA">
        <w:rPr>
          <w:lang w:val="ro-RO"/>
        </w:rPr>
        <w:t xml:space="preserve"> (sau reziduuri </w:t>
      </w:r>
      <w:r w:rsidR="0064152C" w:rsidRPr="00857CDA">
        <w:rPr>
          <w:lang w:val="ro-RO"/>
        </w:rPr>
        <w:t>ale acestor</w:t>
      </w:r>
      <w:r w:rsidR="007D3142" w:rsidRPr="00857CDA">
        <w:rPr>
          <w:lang w:val="ro-RO"/>
        </w:rPr>
        <w:t xml:space="preserve"> </w:t>
      </w:r>
      <w:r w:rsidR="00132CD2" w:rsidRPr="00857CDA">
        <w:rPr>
          <w:lang w:val="ro-RO"/>
        </w:rPr>
        <w:t>mărfuri</w:t>
      </w:r>
      <w:r w:rsidR="007D3142" w:rsidRPr="00857CDA">
        <w:rPr>
          <w:lang w:val="ro-RO"/>
        </w:rPr>
        <w:t xml:space="preserve">) care fac parte integrantă din </w:t>
      </w:r>
      <w:r w:rsidR="00132CD2" w:rsidRPr="00857CDA">
        <w:rPr>
          <w:lang w:val="ro-RO"/>
        </w:rPr>
        <w:t>obiect</w:t>
      </w:r>
      <w:r w:rsidR="0064152C" w:rsidRPr="00857CDA">
        <w:rPr>
          <w:lang w:val="ro-RO"/>
        </w:rPr>
        <w:t xml:space="preserve"> fiind</w:t>
      </w:r>
      <w:r w:rsidR="007D3142" w:rsidRPr="00857CDA">
        <w:rPr>
          <w:lang w:val="ro-RO"/>
        </w:rPr>
        <w:t xml:space="preserve"> necesare pentru funcționarea acestuia</w:t>
      </w:r>
      <w:r w:rsidR="00132CD2" w:rsidRPr="00857CDA">
        <w:rPr>
          <w:lang w:val="ro-RO"/>
        </w:rPr>
        <w:t xml:space="preserve"> și</w:t>
      </w:r>
      <w:r w:rsidR="007D3142" w:rsidRPr="00857CDA">
        <w:rPr>
          <w:lang w:val="ro-RO"/>
        </w:rPr>
        <w:t xml:space="preserve"> care nu pot fi îndepărtate pentru transport.</w:t>
      </w:r>
    </w:p>
    <w:p w:rsidR="007D3142" w:rsidRPr="00857CDA" w:rsidRDefault="007D3142" w:rsidP="007D3142">
      <w:pPr>
        <w:pStyle w:val="SingleTxtG"/>
        <w:tabs>
          <w:tab w:val="left" w:pos="2268"/>
        </w:tabs>
        <w:rPr>
          <w:lang w:val="ro-RO"/>
        </w:rPr>
      </w:pPr>
      <w:r w:rsidRPr="00857CDA">
        <w:rPr>
          <w:lang w:val="ro-RO"/>
        </w:rPr>
        <w:tab/>
        <w:t>Un ambalaj interior nu este considerat obiect.</w:t>
      </w:r>
    </w:p>
    <w:p w:rsidR="0064152C" w:rsidRPr="00857CDA" w:rsidRDefault="00132A26" w:rsidP="0064152C">
      <w:pPr>
        <w:pStyle w:val="SingleTxtG"/>
        <w:tabs>
          <w:tab w:val="left" w:pos="2268"/>
        </w:tabs>
        <w:rPr>
          <w:lang w:val="ro-RO"/>
        </w:rPr>
      </w:pPr>
      <w:r w:rsidRPr="00857CDA">
        <w:rPr>
          <w:lang w:val="ro-RO"/>
        </w:rPr>
        <w:t>2.1.5.2</w:t>
      </w:r>
      <w:r w:rsidR="002342EA" w:rsidRPr="00857CDA">
        <w:rPr>
          <w:lang w:val="ro-RO"/>
        </w:rPr>
        <w:tab/>
      </w:r>
      <w:r w:rsidR="002342EA" w:rsidRPr="00857CDA">
        <w:rPr>
          <w:lang w:val="ro-RO"/>
        </w:rPr>
        <w:tab/>
      </w:r>
      <w:r w:rsidR="0064152C" w:rsidRPr="00857CDA">
        <w:rPr>
          <w:lang w:val="ro-RO"/>
        </w:rPr>
        <w:t xml:space="preserve">Aceste obiecte pot conține în plus </w:t>
      </w:r>
      <w:r w:rsidR="00756D74" w:rsidRPr="00857CDA">
        <w:rPr>
          <w:lang w:val="ro-RO"/>
        </w:rPr>
        <w:t xml:space="preserve">și </w:t>
      </w:r>
      <w:r w:rsidR="0064152C" w:rsidRPr="00857CDA">
        <w:rPr>
          <w:lang w:val="ro-RO"/>
        </w:rPr>
        <w:t xml:space="preserve">baterii. Bateriile </w:t>
      </w:r>
      <w:r w:rsidR="00756D74" w:rsidRPr="00857CDA">
        <w:rPr>
          <w:lang w:val="ro-RO"/>
        </w:rPr>
        <w:t>cu</w:t>
      </w:r>
      <w:r w:rsidR="0064152C" w:rsidRPr="00857CDA">
        <w:rPr>
          <w:lang w:val="ro-RO"/>
        </w:rPr>
        <w:t xml:space="preserve"> litiu care fac parte dintr-un obiect trebuie să </w:t>
      </w:r>
      <w:r w:rsidR="00756D74" w:rsidRPr="00857CDA">
        <w:rPr>
          <w:lang w:val="ro-RO"/>
        </w:rPr>
        <w:t>fie</w:t>
      </w:r>
      <w:r w:rsidR="0064152C" w:rsidRPr="00857CDA">
        <w:rPr>
          <w:lang w:val="ro-RO"/>
        </w:rPr>
        <w:t xml:space="preserve"> conforme unui tip care s</w:t>
      </w:r>
      <w:r w:rsidR="00186D67" w:rsidRPr="00857CDA">
        <w:rPr>
          <w:lang w:val="ro-RO"/>
        </w:rPr>
        <w:t>-</w:t>
      </w:r>
      <w:r w:rsidR="0064152C" w:rsidRPr="00857CDA">
        <w:rPr>
          <w:lang w:val="ro-RO"/>
        </w:rPr>
        <w:t xml:space="preserve">a dovedit </w:t>
      </w:r>
      <w:r w:rsidR="00186D67" w:rsidRPr="00857CDA">
        <w:rPr>
          <w:lang w:val="ro-RO"/>
        </w:rPr>
        <w:t>că a</w:t>
      </w:r>
      <w:r w:rsidR="0064152C" w:rsidRPr="00857CDA">
        <w:rPr>
          <w:lang w:val="ro-RO"/>
        </w:rPr>
        <w:t xml:space="preserve"> îndeplini</w:t>
      </w:r>
      <w:r w:rsidR="00186D67" w:rsidRPr="00857CDA">
        <w:rPr>
          <w:lang w:val="ro-RO"/>
        </w:rPr>
        <w:t>t prescripțiile</w:t>
      </w:r>
      <w:r w:rsidR="0064152C" w:rsidRPr="00857CDA">
        <w:rPr>
          <w:lang w:val="ro-RO"/>
        </w:rPr>
        <w:t xml:space="preserve"> de încercare din </w:t>
      </w:r>
      <w:r w:rsidR="00186D67" w:rsidRPr="00857CDA">
        <w:rPr>
          <w:lang w:val="ro-RO"/>
        </w:rPr>
        <w:t xml:space="preserve">Manualul </w:t>
      </w:r>
      <w:r w:rsidR="0064152C" w:rsidRPr="00857CDA">
        <w:rPr>
          <w:lang w:val="ro-RO"/>
        </w:rPr>
        <w:t xml:space="preserve">de </w:t>
      </w:r>
      <w:r w:rsidR="00186D67" w:rsidRPr="00857CDA">
        <w:rPr>
          <w:lang w:val="ro-RO"/>
        </w:rPr>
        <w:t xml:space="preserve">Încercări </w:t>
      </w:r>
      <w:r w:rsidR="0064152C" w:rsidRPr="00857CDA">
        <w:rPr>
          <w:lang w:val="ro-RO"/>
        </w:rPr>
        <w:t xml:space="preserve">și </w:t>
      </w:r>
      <w:r w:rsidR="00186D67" w:rsidRPr="00857CDA">
        <w:rPr>
          <w:lang w:val="ro-RO"/>
        </w:rPr>
        <w:t>Criterii</w:t>
      </w:r>
      <w:r w:rsidR="0064152C" w:rsidRPr="00857CDA">
        <w:rPr>
          <w:lang w:val="ro-RO"/>
        </w:rPr>
        <w:t>, partea III, sub</w:t>
      </w:r>
      <w:r w:rsidR="00186D67" w:rsidRPr="00857CDA">
        <w:rPr>
          <w:lang w:val="ro-RO"/>
        </w:rPr>
        <w:t>-secțiunea</w:t>
      </w:r>
      <w:r w:rsidR="0064152C" w:rsidRPr="00857CDA">
        <w:rPr>
          <w:lang w:val="ro-RO"/>
        </w:rPr>
        <w:t xml:space="preserve"> 38.3</w:t>
      </w:r>
      <w:r w:rsidR="00186D67" w:rsidRPr="00857CDA">
        <w:rPr>
          <w:lang w:val="ro-RO"/>
        </w:rPr>
        <w:t>,</w:t>
      </w:r>
      <w:r w:rsidR="0064152C" w:rsidRPr="00857CDA">
        <w:rPr>
          <w:lang w:val="ro-RO"/>
        </w:rPr>
        <w:t xml:space="preserve"> cu excepția </w:t>
      </w:r>
      <w:r w:rsidR="00186D67" w:rsidRPr="00857CDA">
        <w:rPr>
          <w:lang w:val="ro-RO"/>
        </w:rPr>
        <w:t>unei prescripții contrare</w:t>
      </w:r>
      <w:r w:rsidR="0064152C" w:rsidRPr="00857CDA">
        <w:rPr>
          <w:lang w:val="ro-RO"/>
        </w:rPr>
        <w:t xml:space="preserve"> în ADR (de exemplu </w:t>
      </w:r>
      <w:r w:rsidR="00186D67" w:rsidRPr="00857CDA">
        <w:rPr>
          <w:lang w:val="ro-RO"/>
        </w:rPr>
        <w:t xml:space="preserve">pentru </w:t>
      </w:r>
      <w:r w:rsidR="0064152C" w:rsidRPr="00857CDA">
        <w:rPr>
          <w:lang w:val="ro-RO"/>
        </w:rPr>
        <w:t>prototip</w:t>
      </w:r>
      <w:r w:rsidR="00A84C02" w:rsidRPr="00857CDA">
        <w:rPr>
          <w:lang w:val="ro-RO"/>
        </w:rPr>
        <w:t xml:space="preserve">urile </w:t>
      </w:r>
      <w:r w:rsidR="0064152C" w:rsidRPr="00857CDA">
        <w:rPr>
          <w:lang w:val="ro-RO"/>
        </w:rPr>
        <w:t xml:space="preserve">de pre-producție </w:t>
      </w:r>
      <w:r w:rsidR="00A84C02" w:rsidRPr="00857CDA">
        <w:rPr>
          <w:lang w:val="ro-RO"/>
        </w:rPr>
        <w:t xml:space="preserve">ale obiectelor </w:t>
      </w:r>
      <w:r w:rsidR="0064152C" w:rsidRPr="00857CDA">
        <w:rPr>
          <w:lang w:val="ro-RO"/>
        </w:rPr>
        <w:t xml:space="preserve">care conțin baterii cu litiu sau pentru o serie mică de producție care </w:t>
      </w:r>
      <w:r w:rsidR="00A84C02" w:rsidRPr="00857CDA">
        <w:rPr>
          <w:lang w:val="ro-RO"/>
        </w:rPr>
        <w:t>constă din cel mult 100 de astfel de</w:t>
      </w:r>
      <w:r w:rsidR="0064152C" w:rsidRPr="00857CDA">
        <w:rPr>
          <w:lang w:val="ro-RO"/>
        </w:rPr>
        <w:t xml:space="preserve"> obiecte).</w:t>
      </w:r>
    </w:p>
    <w:p w:rsidR="0026184A" w:rsidRPr="00857CDA" w:rsidRDefault="00132A26" w:rsidP="00A23A55">
      <w:pPr>
        <w:pStyle w:val="SingleTxtG"/>
        <w:tabs>
          <w:tab w:val="left" w:pos="2268"/>
        </w:tabs>
        <w:rPr>
          <w:lang w:val="ro-RO"/>
        </w:rPr>
      </w:pPr>
      <w:r w:rsidRPr="00857CDA">
        <w:rPr>
          <w:lang w:val="ro-RO"/>
        </w:rPr>
        <w:t>2.1.5.3</w:t>
      </w:r>
      <w:r w:rsidR="002342EA" w:rsidRPr="00857CDA">
        <w:rPr>
          <w:lang w:val="ro-RO"/>
        </w:rPr>
        <w:tab/>
      </w:r>
      <w:r w:rsidR="0026184A" w:rsidRPr="00857CDA">
        <w:rPr>
          <w:lang w:val="ro-RO"/>
        </w:rPr>
        <w:t>Această secțiune nu se aplică obiectelor care au deja o denumire oficială de transport mai precisă în tabelul A din capitolul 3.2.</w:t>
      </w:r>
    </w:p>
    <w:p w:rsidR="002342EA" w:rsidRPr="00857CDA" w:rsidRDefault="00132A26" w:rsidP="0026184A">
      <w:pPr>
        <w:pStyle w:val="SingleTxtG"/>
        <w:tabs>
          <w:tab w:val="left" w:pos="2268"/>
        </w:tabs>
        <w:rPr>
          <w:lang w:val="ro-RO"/>
        </w:rPr>
      </w:pPr>
      <w:r w:rsidRPr="00857CDA">
        <w:rPr>
          <w:lang w:val="ro-RO"/>
        </w:rPr>
        <w:t>2.1.5.4</w:t>
      </w:r>
      <w:r w:rsidR="002342EA" w:rsidRPr="00857CDA">
        <w:rPr>
          <w:lang w:val="ro-RO"/>
        </w:rPr>
        <w:tab/>
      </w:r>
      <w:r w:rsidR="0026184A" w:rsidRPr="00857CDA">
        <w:rPr>
          <w:lang w:val="ro-RO"/>
        </w:rPr>
        <w:t>Această secțiune nu se aplică mărfurilor periculoase din clasa 1, clasa 6.2 sau clasa 7 ori materialelor radioactive conținute în obiecte</w:t>
      </w:r>
      <w:r w:rsidR="002342EA" w:rsidRPr="00857CDA">
        <w:rPr>
          <w:lang w:val="ro-RO"/>
        </w:rPr>
        <w:t>.</w:t>
      </w:r>
    </w:p>
    <w:p w:rsidR="003C438C" w:rsidRPr="00857CDA" w:rsidRDefault="00132A26" w:rsidP="00A23A55">
      <w:pPr>
        <w:pStyle w:val="SingleTxtG"/>
        <w:tabs>
          <w:tab w:val="left" w:pos="2268"/>
        </w:tabs>
        <w:rPr>
          <w:lang w:val="ro-RO"/>
        </w:rPr>
      </w:pPr>
      <w:r w:rsidRPr="00857CDA">
        <w:rPr>
          <w:lang w:val="ro-RO"/>
        </w:rPr>
        <w:t>2.1.5.5</w:t>
      </w:r>
      <w:r w:rsidR="002342EA" w:rsidRPr="00857CDA">
        <w:rPr>
          <w:lang w:val="ro-RO"/>
        </w:rPr>
        <w:tab/>
      </w:r>
      <w:r w:rsidR="003C438C" w:rsidRPr="00857CDA">
        <w:rPr>
          <w:lang w:val="ro-RO"/>
        </w:rPr>
        <w:t xml:space="preserve">Obiectele care conțin mărfuri periculoase trebuie alocate unei clase în funcție de pericolele lor, </w:t>
      </w:r>
      <w:r w:rsidR="00E05CC8" w:rsidRPr="00857CDA">
        <w:rPr>
          <w:lang w:val="ro-RO"/>
        </w:rPr>
        <w:t>utilizând pentru fiecare dintre mărfurile periculoase conținute în obiectul respectiv ord</w:t>
      </w:r>
      <w:r w:rsidR="003C438C" w:rsidRPr="00857CDA">
        <w:rPr>
          <w:lang w:val="ro-RO"/>
        </w:rPr>
        <w:t>inea pr</w:t>
      </w:r>
      <w:r w:rsidR="00E05CC8" w:rsidRPr="00857CDA">
        <w:rPr>
          <w:lang w:val="ro-RO"/>
        </w:rPr>
        <w:t>iorit</w:t>
      </w:r>
      <w:r w:rsidR="00873E3D" w:rsidRPr="00857CDA">
        <w:rPr>
          <w:lang w:val="ro-RO"/>
        </w:rPr>
        <w:t>ății</w:t>
      </w:r>
      <w:r w:rsidR="00E05CC8" w:rsidRPr="00857CDA">
        <w:rPr>
          <w:lang w:val="ro-RO"/>
        </w:rPr>
        <w:t xml:space="preserve"> </w:t>
      </w:r>
      <w:r w:rsidR="003C438C" w:rsidRPr="00857CDA">
        <w:rPr>
          <w:lang w:val="ro-RO"/>
        </w:rPr>
        <w:t>pericol</w:t>
      </w:r>
      <w:r w:rsidR="00E05CC8" w:rsidRPr="00857CDA">
        <w:rPr>
          <w:lang w:val="ro-RO"/>
        </w:rPr>
        <w:t>elor</w:t>
      </w:r>
      <w:r w:rsidR="003C438C" w:rsidRPr="00857CDA">
        <w:rPr>
          <w:lang w:val="ro-RO"/>
        </w:rPr>
        <w:t xml:space="preserve"> din tabelul de la 2.1.3.10, după caz. În cazul în care obiectul conține mărfuri periculoase d</w:t>
      </w:r>
      <w:r w:rsidR="00873E3D" w:rsidRPr="00857CDA">
        <w:rPr>
          <w:lang w:val="ro-RO"/>
        </w:rPr>
        <w:t>in</w:t>
      </w:r>
      <w:r w:rsidR="003C438C" w:rsidRPr="00857CDA">
        <w:rPr>
          <w:lang w:val="ro-RO"/>
        </w:rPr>
        <w:t xml:space="preserve"> clasa 9, toate celelalte </w:t>
      </w:r>
      <w:r w:rsidR="00873E3D" w:rsidRPr="00857CDA">
        <w:rPr>
          <w:lang w:val="ro-RO"/>
        </w:rPr>
        <w:t>mărfuri</w:t>
      </w:r>
      <w:r w:rsidR="003C438C" w:rsidRPr="00857CDA">
        <w:rPr>
          <w:lang w:val="ro-RO"/>
        </w:rPr>
        <w:t xml:space="preserve"> </w:t>
      </w:r>
      <w:r w:rsidR="00873E3D" w:rsidRPr="00857CDA">
        <w:rPr>
          <w:lang w:val="ro-RO"/>
        </w:rPr>
        <w:t>periculoase</w:t>
      </w:r>
      <w:r w:rsidR="003C438C" w:rsidRPr="00857CDA">
        <w:rPr>
          <w:lang w:val="ro-RO"/>
        </w:rPr>
        <w:t xml:space="preserve"> sunt considerate </w:t>
      </w:r>
      <w:r w:rsidR="00873E3D" w:rsidRPr="00857CDA">
        <w:rPr>
          <w:lang w:val="ro-RO"/>
        </w:rPr>
        <w:t>c</w:t>
      </w:r>
      <w:r w:rsidR="003C438C" w:rsidRPr="00857CDA">
        <w:rPr>
          <w:lang w:val="ro-RO"/>
        </w:rPr>
        <w:t>a av</w:t>
      </w:r>
      <w:r w:rsidR="00873E3D" w:rsidRPr="00857CDA">
        <w:rPr>
          <w:lang w:val="ro-RO"/>
        </w:rPr>
        <w:t>ând</w:t>
      </w:r>
      <w:r w:rsidR="003C438C" w:rsidRPr="00857CDA">
        <w:rPr>
          <w:lang w:val="ro-RO"/>
        </w:rPr>
        <w:t xml:space="preserve"> un pericol mai mare.</w:t>
      </w:r>
    </w:p>
    <w:p w:rsidR="00C067FD" w:rsidRPr="00857CDA" w:rsidRDefault="00C067FD" w:rsidP="009229DA">
      <w:pPr>
        <w:pStyle w:val="SingleTxtG"/>
        <w:tabs>
          <w:tab w:val="left" w:pos="2268"/>
        </w:tabs>
        <w:rPr>
          <w:lang w:val="ro-RO"/>
        </w:rPr>
      </w:pPr>
      <w:r w:rsidRPr="00857CDA">
        <w:rPr>
          <w:lang w:val="ro-RO"/>
        </w:rPr>
        <w:lastRenderedPageBreak/>
        <w:t>2.1.5.6</w:t>
      </w:r>
      <w:r w:rsidRPr="00857CDA">
        <w:rPr>
          <w:lang w:val="ro-RO"/>
        </w:rPr>
        <w:tab/>
      </w:r>
      <w:r w:rsidR="00873E3D" w:rsidRPr="00857CDA">
        <w:rPr>
          <w:lang w:val="ro-RO"/>
        </w:rPr>
        <w:t xml:space="preserve">Pericolele secundare trebuie să reprezinte pericolele principale ale celorlalte mărfuri periculoase conținute în obiect. În cazul în care obiectul conține numai o singură marfă periculoasă, pericolele secundare </w:t>
      </w:r>
      <w:r w:rsidR="001000EB" w:rsidRPr="00857CDA">
        <w:rPr>
          <w:lang w:val="ro-RO"/>
        </w:rPr>
        <w:t>vor fi cele identificate prin etichetele de pericol secundar din</w:t>
      </w:r>
      <w:r w:rsidR="00873E3D" w:rsidRPr="00857CDA">
        <w:rPr>
          <w:lang w:val="ro-RO"/>
        </w:rPr>
        <w:t xml:space="preserve"> coloan</w:t>
      </w:r>
      <w:r w:rsidR="001000EB" w:rsidRPr="00857CDA">
        <w:rPr>
          <w:lang w:val="ro-RO"/>
        </w:rPr>
        <w:t>a</w:t>
      </w:r>
      <w:r w:rsidR="00873E3D" w:rsidRPr="00857CDA">
        <w:rPr>
          <w:lang w:val="ro-RO"/>
        </w:rPr>
        <w:t xml:space="preserve"> (5) </w:t>
      </w:r>
      <w:r w:rsidR="001000EB" w:rsidRPr="00857CDA">
        <w:rPr>
          <w:lang w:val="ro-RO"/>
        </w:rPr>
        <w:t>a</w:t>
      </w:r>
      <w:r w:rsidR="00873E3D" w:rsidRPr="00857CDA">
        <w:rPr>
          <w:lang w:val="ro-RO"/>
        </w:rPr>
        <w:t xml:space="preserve"> tabelul</w:t>
      </w:r>
      <w:r w:rsidR="001000EB" w:rsidRPr="00857CDA">
        <w:rPr>
          <w:lang w:val="ro-RO"/>
        </w:rPr>
        <w:t>ui</w:t>
      </w:r>
      <w:r w:rsidR="00873E3D" w:rsidRPr="00857CDA">
        <w:rPr>
          <w:lang w:val="ro-RO"/>
        </w:rPr>
        <w:t xml:space="preserve"> A din capitolul 3.2, după caz. În cazul în care obiectul conține mai multe </w:t>
      </w:r>
      <w:r w:rsidR="001000EB" w:rsidRPr="00857CDA">
        <w:rPr>
          <w:lang w:val="ro-RO"/>
        </w:rPr>
        <w:t>mărfuri periculoase</w:t>
      </w:r>
      <w:r w:rsidR="00873E3D" w:rsidRPr="00857CDA">
        <w:rPr>
          <w:lang w:val="ro-RO"/>
        </w:rPr>
        <w:t xml:space="preserve"> </w:t>
      </w:r>
      <w:r w:rsidR="001000EB" w:rsidRPr="00857CDA">
        <w:rPr>
          <w:lang w:val="ro-RO"/>
        </w:rPr>
        <w:t>care</w:t>
      </w:r>
      <w:r w:rsidR="00873E3D" w:rsidRPr="00857CDA">
        <w:rPr>
          <w:lang w:val="ro-RO"/>
        </w:rPr>
        <w:t xml:space="preserve"> pot reacționa </w:t>
      </w:r>
      <w:r w:rsidR="001000EB" w:rsidRPr="00857CDA">
        <w:rPr>
          <w:lang w:val="ro-RO"/>
        </w:rPr>
        <w:t>periculos</w:t>
      </w:r>
      <w:r w:rsidR="00873E3D" w:rsidRPr="00857CDA">
        <w:rPr>
          <w:lang w:val="ro-RO"/>
        </w:rPr>
        <w:t xml:space="preserve"> între ele în timpu</w:t>
      </w:r>
      <w:r w:rsidR="001000EB" w:rsidRPr="00857CDA">
        <w:rPr>
          <w:lang w:val="ro-RO"/>
        </w:rPr>
        <w:t xml:space="preserve">l transportului, acestea trebuie </w:t>
      </w:r>
      <w:r w:rsidR="009229DA" w:rsidRPr="00857CDA">
        <w:rPr>
          <w:lang w:val="ro-RO"/>
        </w:rPr>
        <w:t xml:space="preserve">să fie </w:t>
      </w:r>
      <w:r w:rsidR="001000EB" w:rsidRPr="00857CDA">
        <w:rPr>
          <w:lang w:val="ro-RO"/>
        </w:rPr>
        <w:t>separate</w:t>
      </w:r>
      <w:r w:rsidR="00873E3D" w:rsidRPr="00857CDA">
        <w:rPr>
          <w:lang w:val="ro-RO"/>
        </w:rPr>
        <w:t xml:space="preserve"> (</w:t>
      </w:r>
      <w:r w:rsidR="001000EB" w:rsidRPr="00857CDA">
        <w:rPr>
          <w:lang w:val="ro-RO"/>
        </w:rPr>
        <w:t>a se</w:t>
      </w:r>
      <w:r w:rsidR="00873E3D" w:rsidRPr="00857CDA">
        <w:rPr>
          <w:lang w:val="ro-RO"/>
        </w:rPr>
        <w:t xml:space="preserve"> ve</w:t>
      </w:r>
      <w:r w:rsidR="001000EB" w:rsidRPr="00857CDA">
        <w:rPr>
          <w:lang w:val="ro-RO"/>
        </w:rPr>
        <w:t>d</w:t>
      </w:r>
      <w:r w:rsidR="00873E3D" w:rsidRPr="00857CDA">
        <w:rPr>
          <w:lang w:val="ro-RO"/>
        </w:rPr>
        <w:t>e</w:t>
      </w:r>
      <w:r w:rsidR="001000EB" w:rsidRPr="00857CDA">
        <w:rPr>
          <w:lang w:val="ro-RO"/>
        </w:rPr>
        <w:t>a</w:t>
      </w:r>
      <w:r w:rsidR="009229DA" w:rsidRPr="00857CDA">
        <w:rPr>
          <w:lang w:val="ro-RO"/>
        </w:rPr>
        <w:t xml:space="preserve"> 4.1.1.6)</w:t>
      </w:r>
      <w:r w:rsidRPr="00857CDA">
        <w:rPr>
          <w:lang w:val="ro-RO"/>
        </w:rPr>
        <w:t>.</w:t>
      </w:r>
      <w:r w:rsidR="00660131" w:rsidRPr="00857CDA">
        <w:rPr>
          <w:lang w:val="ro-RO"/>
        </w:rPr>
        <w:t>”</w:t>
      </w:r>
      <w:r w:rsidRPr="00857CDA">
        <w:rPr>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w:t>
      </w:r>
      <w:r w:rsidR="005C1E71" w:rsidRPr="00857CDA">
        <w:rPr>
          <w:lang w:val="ro-RO"/>
        </w:rPr>
        <w:t>2.2</w:t>
      </w:r>
    </w:p>
    <w:p w:rsidR="002F3DB5" w:rsidRPr="00857CDA" w:rsidRDefault="00547B62" w:rsidP="00C77339">
      <w:pPr>
        <w:pStyle w:val="SingleTxtG"/>
        <w:rPr>
          <w:lang w:val="ro-RO"/>
        </w:rPr>
      </w:pPr>
      <w:r w:rsidRPr="00857CDA">
        <w:rPr>
          <w:lang w:val="ro-RO"/>
        </w:rPr>
        <w:t>2.2.1.1.1 c)</w:t>
      </w:r>
      <w:r w:rsidRPr="00857CDA">
        <w:rPr>
          <w:lang w:val="ro-RO"/>
        </w:rPr>
        <w:tab/>
      </w:r>
      <w:r w:rsidR="00902C44" w:rsidRPr="00857CDA">
        <w:rPr>
          <w:lang w:val="ro-RO"/>
        </w:rPr>
        <w:t>Se modifică</w:t>
      </w:r>
      <w:r w:rsidRPr="00857CDA">
        <w:rPr>
          <w:lang w:val="ro-RO"/>
        </w:rPr>
        <w:t xml:space="preserve"> </w:t>
      </w:r>
      <w:r w:rsidR="00F27B4E" w:rsidRPr="00857CDA">
        <w:rPr>
          <w:lang w:val="ro-RO"/>
        </w:rPr>
        <w:t>„</w:t>
      </w:r>
      <w:r w:rsidR="00295AAB" w:rsidRPr="00857CDA">
        <w:rPr>
          <w:lang w:val="ro-RO"/>
        </w:rPr>
        <w:t>un efect practic prin explozie sau în scopuri pirotehnice</w:t>
      </w:r>
      <w:r w:rsidR="00660131" w:rsidRPr="00857CDA">
        <w:rPr>
          <w:lang w:val="ro-RO"/>
        </w:rPr>
        <w:t>”</w:t>
      </w:r>
      <w:r w:rsidR="00902C44" w:rsidRPr="00857CDA">
        <w:rPr>
          <w:lang w:val="ro-RO"/>
        </w:rPr>
        <w:t xml:space="preserve"> cu </w:t>
      </w:r>
      <w:r w:rsidR="00F27B4E" w:rsidRPr="00857CDA">
        <w:rPr>
          <w:lang w:val="ro-RO"/>
        </w:rPr>
        <w:t>„</w:t>
      </w:r>
      <w:r w:rsidR="00037575" w:rsidRPr="00857CDA">
        <w:rPr>
          <w:lang w:val="ro-RO"/>
        </w:rPr>
        <w:t>un efect practic exploziv sau pirotehnic</w:t>
      </w:r>
      <w:r w:rsidR="00660131" w:rsidRPr="00857CDA">
        <w:rPr>
          <w:lang w:val="ro-RO"/>
        </w:rPr>
        <w:t>”</w:t>
      </w:r>
      <w:r w:rsidRPr="00857CDA">
        <w:rPr>
          <w:lang w:val="ro-RO"/>
        </w:rPr>
        <w:t>.</w:t>
      </w:r>
    </w:p>
    <w:p w:rsidR="00993A3A" w:rsidRPr="00857CDA" w:rsidRDefault="00993A3A" w:rsidP="00196C06">
      <w:pPr>
        <w:spacing w:before="120" w:after="120" w:line="240" w:lineRule="auto"/>
        <w:ind w:left="1134" w:right="1134"/>
        <w:jc w:val="both"/>
        <w:rPr>
          <w:lang w:val="ro-RO"/>
        </w:rPr>
      </w:pPr>
      <w:r w:rsidRPr="00857CDA">
        <w:rPr>
          <w:lang w:val="ro-RO"/>
        </w:rPr>
        <w:t>2.2.1.1.5</w:t>
      </w:r>
      <w:r w:rsidRPr="00857CDA">
        <w:rPr>
          <w:lang w:val="ro-RO"/>
        </w:rPr>
        <w:tab/>
      </w:r>
      <w:r w:rsidR="00902C44" w:rsidRPr="00857CDA">
        <w:rPr>
          <w:lang w:val="ro-RO"/>
        </w:rPr>
        <w:t>Se modifică</w:t>
      </w:r>
      <w:r w:rsidRPr="00857CDA">
        <w:rPr>
          <w:lang w:val="ro-RO"/>
        </w:rPr>
        <w:t xml:space="preserve"> </w:t>
      </w:r>
      <w:r w:rsidR="00F27B4E"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00660131" w:rsidRPr="00857CDA">
        <w:rPr>
          <w:lang w:val="ro-RO"/>
        </w:rPr>
        <w:t>”</w:t>
      </w:r>
      <w:r w:rsidRPr="00857CDA">
        <w:rPr>
          <w:lang w:val="ro-RO"/>
        </w:rPr>
        <w:t xml:space="preserve"> (</w:t>
      </w:r>
      <w:r w:rsidR="00F27B4E" w:rsidRPr="00857CDA">
        <w:rPr>
          <w:lang w:val="ro-RO"/>
        </w:rPr>
        <w:t xml:space="preserve">de </w:t>
      </w:r>
      <w:r w:rsidR="00037575" w:rsidRPr="00857CDA">
        <w:rPr>
          <w:lang w:val="ro-RO"/>
        </w:rPr>
        <w:t>5</w:t>
      </w:r>
      <w:r w:rsidRPr="00857CDA">
        <w:rPr>
          <w:lang w:val="ro-RO"/>
        </w:rPr>
        <w:t xml:space="preserve"> </w:t>
      </w:r>
      <w:r w:rsidR="00F27B4E" w:rsidRPr="00857CDA">
        <w:rPr>
          <w:lang w:val="ro-RO"/>
        </w:rPr>
        <w:t>ori</w:t>
      </w:r>
      <w:r w:rsidRPr="00857CDA">
        <w:rPr>
          <w:lang w:val="ro-RO"/>
        </w:rPr>
        <w:t>)</w:t>
      </w:r>
      <w:r w:rsidR="00037575" w:rsidRPr="00857CDA">
        <w:rPr>
          <w:lang w:val="ro-RO"/>
        </w:rPr>
        <w:t xml:space="preserve"> și „riscul” cu „pericolul” de (4 ori)</w:t>
      </w:r>
      <w:r w:rsidRPr="00857CDA">
        <w:rPr>
          <w:lang w:val="ro-RO"/>
        </w:rPr>
        <w:t xml:space="preserve">. </w:t>
      </w:r>
    </w:p>
    <w:p w:rsidR="00196C06" w:rsidRPr="00857CDA" w:rsidRDefault="00993A3A" w:rsidP="00196C06">
      <w:pPr>
        <w:spacing w:before="120" w:after="120" w:line="240" w:lineRule="auto"/>
        <w:ind w:left="1134" w:right="1134"/>
        <w:jc w:val="both"/>
        <w:rPr>
          <w:lang w:val="ro-RO"/>
        </w:rPr>
      </w:pPr>
      <w:r w:rsidRPr="00857CDA">
        <w:rPr>
          <w:lang w:val="ro-RO"/>
        </w:rPr>
        <w:t>2.2.1.1.6</w:t>
      </w:r>
      <w:r w:rsidR="00196C06" w:rsidRPr="00857CDA">
        <w:rPr>
          <w:lang w:val="ro-RO"/>
        </w:rPr>
        <w:tab/>
      </w:r>
      <w:r w:rsidR="00991390" w:rsidRPr="00857CDA">
        <w:rPr>
          <w:lang w:val="ro-RO"/>
        </w:rPr>
        <w:t>Pentru</w:t>
      </w:r>
      <w:r w:rsidR="00196C06" w:rsidRPr="00857CDA">
        <w:rPr>
          <w:lang w:val="ro-RO"/>
        </w:rPr>
        <w:t xml:space="preserve"> </w:t>
      </w:r>
      <w:r w:rsidR="00037575" w:rsidRPr="00857CDA">
        <w:rPr>
          <w:lang w:val="ro-RO"/>
        </w:rPr>
        <w:t>grupa de compatibilitate</w:t>
      </w:r>
      <w:r w:rsidR="00196C06" w:rsidRPr="00857CDA">
        <w:rPr>
          <w:lang w:val="ro-RO"/>
        </w:rPr>
        <w:t xml:space="preserve"> </w:t>
      </w:r>
      <w:r w:rsidR="00F27B4E" w:rsidRPr="00857CDA">
        <w:rPr>
          <w:lang w:val="ro-RO"/>
        </w:rPr>
        <w:t>„</w:t>
      </w:r>
      <w:r w:rsidR="00196C06" w:rsidRPr="00857CDA">
        <w:rPr>
          <w:lang w:val="ro-RO"/>
        </w:rPr>
        <w:t>L</w:t>
      </w:r>
      <w:r w:rsidR="00660131" w:rsidRPr="00857CDA">
        <w:rPr>
          <w:lang w:val="ro-RO"/>
        </w:rPr>
        <w:t>”</w:t>
      </w:r>
      <w:r w:rsidR="00196C06" w:rsidRPr="00857CDA">
        <w:rPr>
          <w:lang w:val="ro-RO"/>
        </w:rPr>
        <w:t xml:space="preserve">, </w:t>
      </w:r>
      <w:r w:rsidR="00902C44" w:rsidRPr="00857CDA">
        <w:rPr>
          <w:lang w:val="ro-RO" w:eastAsia="en-GB"/>
        </w:rPr>
        <w:t>Se modifică</w:t>
      </w:r>
      <w:r w:rsidR="00196C06" w:rsidRPr="00857CDA">
        <w:rPr>
          <w:lang w:val="ro-RO"/>
        </w:rPr>
        <w:t xml:space="preserve"> </w:t>
      </w:r>
      <w:r w:rsidR="00F27B4E"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00660131" w:rsidRPr="00857CDA">
        <w:rPr>
          <w:lang w:val="ro-RO"/>
        </w:rPr>
        <w:t>”</w:t>
      </w:r>
      <w:r w:rsidR="00196C06" w:rsidRPr="00857CDA">
        <w:rPr>
          <w:lang w:val="ro-RO"/>
        </w:rPr>
        <w:t>.</w:t>
      </w:r>
    </w:p>
    <w:p w:rsidR="00196C06" w:rsidRPr="00857CDA" w:rsidRDefault="00993A3A" w:rsidP="00440884">
      <w:pPr>
        <w:pStyle w:val="SingleTxtG"/>
        <w:spacing w:before="120"/>
        <w:rPr>
          <w:lang w:val="ro-RO"/>
        </w:rPr>
      </w:pPr>
      <w:r w:rsidRPr="00857CDA">
        <w:rPr>
          <w:lang w:val="ro-RO"/>
        </w:rPr>
        <w:t>2.2.1.1.7.1</w:t>
      </w:r>
      <w:r w:rsidR="00196C06" w:rsidRPr="00857CDA">
        <w:rPr>
          <w:lang w:val="ro-RO"/>
        </w:rPr>
        <w:t xml:space="preserve"> a)</w:t>
      </w:r>
      <w:r w:rsidR="00196C06" w:rsidRPr="00857CDA">
        <w:rPr>
          <w:lang w:val="ro-RO"/>
        </w:rPr>
        <w:tab/>
      </w:r>
      <w:r w:rsidR="00902C44" w:rsidRPr="00857CDA">
        <w:rPr>
          <w:lang w:val="ro-RO"/>
        </w:rPr>
        <w:t>Se modifică</w:t>
      </w:r>
      <w:r w:rsidR="00196C06" w:rsidRPr="00857CDA">
        <w:rPr>
          <w:lang w:val="ro-RO"/>
        </w:rPr>
        <w:t xml:space="preserve"> </w:t>
      </w:r>
      <w:r w:rsidR="00F27B4E" w:rsidRPr="00857CDA">
        <w:rPr>
          <w:lang w:val="ro-RO"/>
        </w:rPr>
        <w:t>„</w:t>
      </w:r>
      <w:r w:rsidR="00440884" w:rsidRPr="00857CDA">
        <w:rPr>
          <w:lang w:val="ro-RO"/>
        </w:rPr>
        <w:t>care au obțin un rezultat pozitiv la sfârșitul Încercării Compoziţiei Explozive HSL din Apendicele 7 al Manualului de Încercări și Criterii trebuie să fie atribuite</w:t>
      </w:r>
      <w:r w:rsidR="00660131" w:rsidRPr="00857CDA">
        <w:rPr>
          <w:lang w:val="ro-RO"/>
        </w:rPr>
        <w:t>”</w:t>
      </w:r>
      <w:r w:rsidR="00902C44" w:rsidRPr="00857CDA">
        <w:rPr>
          <w:lang w:val="ro-RO"/>
        </w:rPr>
        <w:t xml:space="preserve"> cu </w:t>
      </w:r>
      <w:r w:rsidR="00F27B4E" w:rsidRPr="00857CDA">
        <w:rPr>
          <w:lang w:val="ro-RO"/>
        </w:rPr>
        <w:t>„</w:t>
      </w:r>
      <w:r w:rsidR="00440884" w:rsidRPr="00857CDA">
        <w:rPr>
          <w:lang w:val="ro-RO"/>
        </w:rPr>
        <w:t xml:space="preserve">care conțin o compoziție explozivă </w:t>
      </w:r>
      <w:r w:rsidR="00516681" w:rsidRPr="00857CDA">
        <w:rPr>
          <w:lang w:val="ro-RO"/>
        </w:rPr>
        <w:t xml:space="preserve">(a se vedea Nota 2 de la 2.2.1.1.7.5) </w:t>
      </w:r>
      <w:r w:rsidR="00440884" w:rsidRPr="00857CDA">
        <w:rPr>
          <w:lang w:val="ro-RO"/>
        </w:rPr>
        <w:t>trebuie să fie atribuite</w:t>
      </w:r>
      <w:r w:rsidR="00660131" w:rsidRPr="00857CDA">
        <w:rPr>
          <w:lang w:val="ro-RO"/>
        </w:rPr>
        <w:t>”</w:t>
      </w:r>
      <w:r w:rsidR="00196C06" w:rsidRPr="00857CDA">
        <w:rPr>
          <w:lang w:val="ro-RO"/>
        </w:rPr>
        <w:t>.</w:t>
      </w:r>
    </w:p>
    <w:p w:rsidR="00196C06" w:rsidRPr="00857CDA" w:rsidRDefault="00993A3A" w:rsidP="00196C06">
      <w:pPr>
        <w:pStyle w:val="SingleTxtG"/>
        <w:spacing w:before="120"/>
        <w:rPr>
          <w:lang w:val="ro-RO"/>
        </w:rPr>
      </w:pPr>
      <w:r w:rsidRPr="00857CDA">
        <w:rPr>
          <w:lang w:val="ro-RO"/>
        </w:rPr>
        <w:t>2.2.1.1.7.5</w:t>
      </w:r>
      <w:r w:rsidR="00196C06" w:rsidRPr="00857CDA">
        <w:rPr>
          <w:lang w:val="ro-RO"/>
        </w:rPr>
        <w:tab/>
      </w:r>
      <w:r w:rsidR="002B679C" w:rsidRPr="00857CDA">
        <w:rPr>
          <w:lang w:val="ro-RO"/>
        </w:rPr>
        <w:t>Se modifică</w:t>
      </w:r>
      <w:r w:rsidR="00196C06" w:rsidRPr="00857CDA">
        <w:rPr>
          <w:lang w:val="ro-RO"/>
        </w:rPr>
        <w:t xml:space="preserve"> </w:t>
      </w:r>
      <w:r w:rsidR="00440884" w:rsidRPr="00857CDA">
        <w:rPr>
          <w:lang w:val="ro-RO"/>
        </w:rPr>
        <w:t>Nota 2</w:t>
      </w:r>
      <w:r w:rsidR="002B679C" w:rsidRPr="00857CDA">
        <w:rPr>
          <w:lang w:val="ro-RO"/>
        </w:rPr>
        <w:t>, după cum urmează</w:t>
      </w:r>
      <w:r w:rsidR="00196C06" w:rsidRPr="00857CDA">
        <w:rPr>
          <w:lang w:val="ro-RO"/>
        </w:rPr>
        <w:t>:</w:t>
      </w:r>
    </w:p>
    <w:p w:rsidR="00D426A3" w:rsidRPr="00857CDA" w:rsidRDefault="00F27B4E" w:rsidP="001A7F71">
      <w:pPr>
        <w:pStyle w:val="SingleTxtG"/>
        <w:spacing w:before="120"/>
        <w:rPr>
          <w:i/>
          <w:lang w:val="ro-RO"/>
        </w:rPr>
      </w:pPr>
      <w:r w:rsidRPr="00857CDA">
        <w:rPr>
          <w:lang w:val="ro-RO"/>
        </w:rPr>
        <w:t>„</w:t>
      </w:r>
      <w:r w:rsidR="00516681" w:rsidRPr="00857CDA">
        <w:rPr>
          <w:b/>
          <w:i/>
          <w:lang w:val="ro-RO"/>
        </w:rPr>
        <w:t xml:space="preserve">Nota </w:t>
      </w:r>
      <w:r w:rsidR="00196C06" w:rsidRPr="00857CDA">
        <w:rPr>
          <w:b/>
          <w:i/>
          <w:lang w:val="ro-RO"/>
        </w:rPr>
        <w:t>2</w:t>
      </w:r>
      <w:r w:rsidR="00091658" w:rsidRPr="00857CDA">
        <w:rPr>
          <w:lang w:val="ro-RO"/>
        </w:rPr>
        <w:t>:</w:t>
      </w:r>
      <w:r w:rsidR="00196C06" w:rsidRPr="00857CDA">
        <w:rPr>
          <w:i/>
          <w:lang w:val="ro-RO"/>
        </w:rPr>
        <w:tab/>
      </w:r>
      <w:r w:rsidR="001A7F71" w:rsidRPr="00857CDA">
        <w:rPr>
          <w:i/>
          <w:lang w:val="ro-RO"/>
        </w:rPr>
        <w:t xml:space="preserve">Termenul de </w:t>
      </w:r>
      <w:r w:rsidR="001A7F71" w:rsidRPr="00857CDA">
        <w:rPr>
          <w:lang w:val="ro-RO"/>
        </w:rPr>
        <w:t>„</w:t>
      </w:r>
      <w:r w:rsidR="001A7F71" w:rsidRPr="00857CDA">
        <w:rPr>
          <w:i/>
          <w:lang w:val="ro-RO"/>
        </w:rPr>
        <w:t xml:space="preserve">Compoziţie explozivă” din prezentul tabel se referă la substanţele pirotehnice, sub formă de pulbere sau ca unităţi pirotehnice, aşa cum sunt prezentate în artificiile de divertisment, care sunt utilizate în cascade </w:t>
      </w:r>
      <w:r w:rsidR="00D426A3" w:rsidRPr="00857CDA">
        <w:rPr>
          <w:i/>
          <w:lang w:val="ro-RO"/>
        </w:rPr>
        <w:t xml:space="preserve">sau </w:t>
      </w:r>
      <w:r w:rsidR="001A7F71" w:rsidRPr="00857CDA">
        <w:rPr>
          <w:i/>
          <w:lang w:val="ro-RO"/>
        </w:rPr>
        <w:t>pentru a produce un efect sonor sau sunt utilizate ca încărcătură explozivă sau ca încărcătură propulsivă, cu excepția cazu</w:t>
      </w:r>
      <w:r w:rsidR="00D426A3" w:rsidRPr="00857CDA">
        <w:rPr>
          <w:i/>
          <w:lang w:val="ro-RO"/>
        </w:rPr>
        <w:t>rilor în care:</w:t>
      </w:r>
    </w:p>
    <w:p w:rsidR="00196C06" w:rsidRPr="00857CDA" w:rsidRDefault="00D426A3" w:rsidP="00D426A3">
      <w:pPr>
        <w:pStyle w:val="SingleTxtG"/>
        <w:spacing w:before="120"/>
        <w:rPr>
          <w:i/>
          <w:lang w:val="ro-RO"/>
        </w:rPr>
      </w:pPr>
      <w:r w:rsidRPr="00857CDA">
        <w:rPr>
          <w:i/>
          <w:lang w:val="ro-RO"/>
        </w:rPr>
        <w:t>a)</w:t>
      </w:r>
      <w:r w:rsidR="001A7F71" w:rsidRPr="00857CDA">
        <w:rPr>
          <w:i/>
          <w:lang w:val="ro-RO"/>
        </w:rPr>
        <w:t xml:space="preserve"> </w:t>
      </w:r>
      <w:r w:rsidRPr="00857CDA">
        <w:rPr>
          <w:i/>
          <w:lang w:val="ro-RO"/>
        </w:rPr>
        <w:tab/>
      </w:r>
      <w:r w:rsidR="001A7F71" w:rsidRPr="00857CDA">
        <w:rPr>
          <w:i/>
          <w:lang w:val="ro-RO"/>
        </w:rPr>
        <w:t xml:space="preserve">se demonstrează că timpul de creştere a presiunii acestor substanţe este mai mare de 6 ms pentru 0,5 g de substanţă pirotehnică în </w:t>
      </w:r>
      <w:r w:rsidRPr="00857CDA">
        <w:rPr>
          <w:i/>
          <w:lang w:val="ro-RO"/>
        </w:rPr>
        <w:t xml:space="preserve">încercarea </w:t>
      </w:r>
      <w:r w:rsidR="001A7F71" w:rsidRPr="00857CDA">
        <w:rPr>
          <w:i/>
          <w:lang w:val="ro-RO"/>
        </w:rPr>
        <w:t xml:space="preserve">HSL </w:t>
      </w:r>
      <w:r w:rsidRPr="00857CDA">
        <w:rPr>
          <w:i/>
          <w:lang w:val="ro-RO"/>
        </w:rPr>
        <w:t xml:space="preserve">a compozițiilor explozive din </w:t>
      </w:r>
      <w:r w:rsidR="001A7F71" w:rsidRPr="00857CDA">
        <w:rPr>
          <w:i/>
          <w:lang w:val="ro-RO"/>
        </w:rPr>
        <w:t>Apendicele 7 al Manualului de Încercări și Criterii</w:t>
      </w:r>
      <w:r w:rsidR="00196C06" w:rsidRPr="00857CDA">
        <w:rPr>
          <w:i/>
          <w:lang w:val="ro-RO"/>
        </w:rPr>
        <w:t xml:space="preserve">; </w:t>
      </w:r>
      <w:r w:rsidRPr="00857CDA">
        <w:rPr>
          <w:i/>
          <w:lang w:val="ro-RO"/>
        </w:rPr>
        <w:t>sa</w:t>
      </w:r>
      <w:r w:rsidR="00196C06" w:rsidRPr="00857CDA">
        <w:rPr>
          <w:i/>
          <w:lang w:val="ro-RO"/>
        </w:rPr>
        <w:t>u</w:t>
      </w:r>
    </w:p>
    <w:p w:rsidR="00196C06" w:rsidRPr="00857CDA" w:rsidRDefault="00196C06" w:rsidP="00196C06">
      <w:pPr>
        <w:spacing w:before="120" w:after="120" w:line="240" w:lineRule="auto"/>
        <w:ind w:left="1134" w:right="1134"/>
        <w:jc w:val="both"/>
        <w:rPr>
          <w:lang w:val="ro-RO"/>
        </w:rPr>
      </w:pPr>
      <w:r w:rsidRPr="00857CDA">
        <w:rPr>
          <w:i/>
          <w:lang w:val="ro-RO"/>
        </w:rPr>
        <w:t>b)</w:t>
      </w:r>
      <w:r w:rsidRPr="00857CDA">
        <w:rPr>
          <w:i/>
          <w:lang w:val="ro-RO"/>
        </w:rPr>
        <w:tab/>
      </w:r>
      <w:r w:rsidR="00D426A3" w:rsidRPr="00857CDA">
        <w:rPr>
          <w:i/>
          <w:lang w:val="ro-RO"/>
        </w:rPr>
        <w:t xml:space="preserve">substanța pirotehnică obține un rezultat negativ </w:t>
      </w:r>
      <w:r w:rsidR="00D426A3" w:rsidRPr="00857CDA">
        <w:rPr>
          <w:lang w:val="ro-RO"/>
        </w:rPr>
        <w:t>„</w:t>
      </w:r>
      <w:r w:rsidR="00D426A3" w:rsidRPr="00857CDA">
        <w:rPr>
          <w:i/>
          <w:lang w:val="ro-RO"/>
        </w:rPr>
        <w:t xml:space="preserve">-” la </w:t>
      </w:r>
      <w:r w:rsidR="00463BBB" w:rsidRPr="00857CDA">
        <w:rPr>
          <w:i/>
          <w:lang w:val="ro-RO"/>
        </w:rPr>
        <w:t>încercarea din Statele Unite ale Americii ale compozițiilor explozive din Apendicele 7 al Manualului de Încercări și Criterii</w:t>
      </w:r>
      <w:r w:rsidRPr="00857CDA">
        <w:rPr>
          <w:i/>
          <w:lang w:val="ro-RO"/>
        </w:rPr>
        <w:t>.</w:t>
      </w:r>
      <w:r w:rsidR="00660131" w:rsidRPr="00857CDA">
        <w:rPr>
          <w:lang w:val="ro-RO"/>
        </w:rPr>
        <w:t>”</w:t>
      </w:r>
      <w:r w:rsidRPr="00857CDA">
        <w:rPr>
          <w:lang w:val="ro-RO"/>
        </w:rPr>
        <w:t>.</w:t>
      </w:r>
    </w:p>
    <w:p w:rsidR="006C06A3" w:rsidRPr="00857CDA" w:rsidRDefault="006C06A3" w:rsidP="006C06A3">
      <w:pPr>
        <w:pStyle w:val="SingleTxtG"/>
        <w:rPr>
          <w:iCs/>
          <w:lang w:val="ro-RO"/>
        </w:rPr>
      </w:pPr>
      <w:r w:rsidRPr="00857CDA">
        <w:rPr>
          <w:iCs/>
          <w:lang w:val="ro-RO"/>
        </w:rPr>
        <w:t>2.2.1.1.7.5</w:t>
      </w:r>
      <w:r w:rsidRPr="00857CDA">
        <w:rPr>
          <w:iCs/>
          <w:lang w:val="ro-RO"/>
        </w:rPr>
        <w:tab/>
      </w:r>
      <w:r w:rsidR="00902C44" w:rsidRPr="00857CDA">
        <w:rPr>
          <w:iCs/>
          <w:lang w:val="ro-RO"/>
        </w:rPr>
        <w:t xml:space="preserve">În </w:t>
      </w:r>
      <w:r w:rsidR="00463BBB" w:rsidRPr="00857CDA">
        <w:rPr>
          <w:iCs/>
          <w:lang w:val="ro-RO"/>
        </w:rPr>
        <w:t>tabelul</w:t>
      </w:r>
      <w:r w:rsidRPr="00857CDA">
        <w:rPr>
          <w:iCs/>
          <w:lang w:val="ro-RO"/>
        </w:rPr>
        <w:t xml:space="preserve">, </w:t>
      </w:r>
      <w:r w:rsidR="00991390" w:rsidRPr="00857CDA">
        <w:rPr>
          <w:iCs/>
          <w:lang w:val="ro-RO"/>
        </w:rPr>
        <w:t>pentru</w:t>
      </w:r>
      <w:r w:rsidRPr="00857CDA">
        <w:rPr>
          <w:iCs/>
          <w:lang w:val="ro-RO"/>
        </w:rPr>
        <w:t xml:space="preserve"> </w:t>
      </w:r>
      <w:r w:rsidR="00857CDA" w:rsidRPr="00857CDA">
        <w:rPr>
          <w:iCs/>
          <w:lang w:val="ro-RO"/>
        </w:rPr>
        <w:t>rubrica</w:t>
      </w:r>
      <w:r w:rsidRPr="00857CDA">
        <w:rPr>
          <w:iCs/>
          <w:lang w:val="ro-RO"/>
        </w:rPr>
        <w:t xml:space="preserve"> </w:t>
      </w:r>
      <w:r w:rsidR="00F27B4E" w:rsidRPr="00857CDA">
        <w:rPr>
          <w:lang w:val="ro-RO"/>
        </w:rPr>
        <w:t>„</w:t>
      </w:r>
      <w:r w:rsidRPr="00857CDA">
        <w:rPr>
          <w:iCs/>
          <w:lang w:val="ro-RO"/>
        </w:rPr>
        <w:t>Cascad</w:t>
      </w:r>
      <w:r w:rsidR="00B87C2A" w:rsidRPr="00857CDA">
        <w:rPr>
          <w:iCs/>
          <w:lang w:val="ro-RO"/>
        </w:rPr>
        <w:t>ă</w:t>
      </w:r>
      <w:r w:rsidR="00660131" w:rsidRPr="00857CDA">
        <w:rPr>
          <w:lang w:val="ro-RO"/>
        </w:rPr>
        <w:t>”</w:t>
      </w:r>
      <w:r w:rsidRPr="00857CDA">
        <w:rPr>
          <w:iCs/>
          <w:lang w:val="ro-RO"/>
        </w:rPr>
        <w:t xml:space="preserve">, </w:t>
      </w:r>
      <w:r w:rsidR="00B87C2A" w:rsidRPr="00857CDA">
        <w:rPr>
          <w:iCs/>
          <w:lang w:val="ro-RO"/>
        </w:rPr>
        <w:t>î</w:t>
      </w:r>
      <w:r w:rsidR="00902C44" w:rsidRPr="00857CDA">
        <w:rPr>
          <w:iCs/>
          <w:lang w:val="ro-RO"/>
        </w:rPr>
        <w:t xml:space="preserve">n </w:t>
      </w:r>
      <w:r w:rsidR="00121893" w:rsidRPr="00857CDA">
        <w:rPr>
          <w:iCs/>
          <w:lang w:val="ro-RO"/>
        </w:rPr>
        <w:t>coloana</w:t>
      </w:r>
      <w:r w:rsidRPr="00857CDA">
        <w:rPr>
          <w:iCs/>
          <w:lang w:val="ro-RO"/>
        </w:rPr>
        <w:t xml:space="preserve"> </w:t>
      </w:r>
      <w:r w:rsidR="00F27B4E" w:rsidRPr="00857CDA">
        <w:rPr>
          <w:lang w:val="ro-RO"/>
        </w:rPr>
        <w:t>„</w:t>
      </w:r>
      <w:r w:rsidR="00B87C2A" w:rsidRPr="00857CDA">
        <w:rPr>
          <w:lang w:val="ro-RO"/>
        </w:rPr>
        <w:t>Specificații</w:t>
      </w:r>
      <w:r w:rsidR="00660131" w:rsidRPr="00857CDA">
        <w:rPr>
          <w:lang w:val="ro-RO"/>
        </w:rPr>
        <w:t>”</w:t>
      </w:r>
      <w:r w:rsidRPr="00857CDA">
        <w:rPr>
          <w:iCs/>
          <w:lang w:val="ro-RO"/>
        </w:rPr>
        <w:t xml:space="preserve">, </w:t>
      </w:r>
      <w:r w:rsidR="002B679C" w:rsidRPr="00857CDA">
        <w:rPr>
          <w:iCs/>
          <w:lang w:val="ro-RO"/>
        </w:rPr>
        <w:t>se modifică</w:t>
      </w:r>
      <w:r w:rsidRPr="00857CDA">
        <w:rPr>
          <w:iCs/>
          <w:lang w:val="ro-RO"/>
        </w:rPr>
        <w:t xml:space="preserve"> text</w:t>
      </w:r>
      <w:r w:rsidR="00B87C2A" w:rsidRPr="00857CDA">
        <w:rPr>
          <w:iCs/>
          <w:lang w:val="ro-RO"/>
        </w:rPr>
        <w:t>ul</w:t>
      </w:r>
      <w:r w:rsidRPr="00857CDA">
        <w:rPr>
          <w:iCs/>
          <w:lang w:val="ro-RO"/>
        </w:rPr>
        <w:t xml:space="preserve"> </w:t>
      </w:r>
      <w:r w:rsidR="00D85951" w:rsidRPr="00857CDA">
        <w:rPr>
          <w:iCs/>
          <w:lang w:val="ro-RO"/>
        </w:rPr>
        <w:t>prim</w:t>
      </w:r>
      <w:r w:rsidR="00B87C2A" w:rsidRPr="00857CDA">
        <w:rPr>
          <w:iCs/>
          <w:lang w:val="ro-RO"/>
        </w:rPr>
        <w:t>ului rând, după cum urmează:</w:t>
      </w:r>
      <w:r w:rsidR="00B87C2A" w:rsidRPr="00857CDA">
        <w:rPr>
          <w:lang w:val="ro-RO"/>
        </w:rPr>
        <w:t xml:space="preserve"> </w:t>
      </w:r>
      <w:r w:rsidR="00F27B4E" w:rsidRPr="00857CDA">
        <w:rPr>
          <w:lang w:val="ro-RO"/>
        </w:rPr>
        <w:t>„</w:t>
      </w:r>
      <w:r w:rsidRPr="00857CDA">
        <w:rPr>
          <w:iCs/>
          <w:lang w:val="ro-RO"/>
        </w:rPr>
        <w:t>Con</w:t>
      </w:r>
      <w:r w:rsidR="00B87C2A" w:rsidRPr="00857CDA">
        <w:rPr>
          <w:iCs/>
          <w:lang w:val="ro-RO"/>
        </w:rPr>
        <w:t>ține o compoziție explozivă, indiferent de rezultatele încercărilor din seria 6</w:t>
      </w:r>
      <w:r w:rsidRPr="00857CDA">
        <w:rPr>
          <w:iCs/>
          <w:lang w:val="ro-RO"/>
        </w:rPr>
        <w:t xml:space="preserve"> (</w:t>
      </w:r>
      <w:r w:rsidR="00B87C2A" w:rsidRPr="00857CDA">
        <w:rPr>
          <w:iCs/>
          <w:lang w:val="ro-RO"/>
        </w:rPr>
        <w:t>a</w:t>
      </w:r>
      <w:r w:rsidR="0043120D" w:rsidRPr="00857CDA">
        <w:rPr>
          <w:iCs/>
          <w:lang w:val="ro-RO"/>
        </w:rPr>
        <w:t xml:space="preserve"> se vedea</w:t>
      </w:r>
      <w:r w:rsidRPr="00857CDA">
        <w:rPr>
          <w:iCs/>
          <w:lang w:val="ro-RO"/>
        </w:rPr>
        <w:t xml:space="preserve"> 2.2.1.1.7.1 a))</w:t>
      </w:r>
      <w:r w:rsidR="00660131" w:rsidRPr="00857CDA">
        <w:rPr>
          <w:lang w:val="ro-RO"/>
        </w:rPr>
        <w:t>”</w:t>
      </w:r>
      <w:r w:rsidRPr="00857CDA">
        <w:rPr>
          <w:iCs/>
          <w:lang w:val="ro-RO"/>
        </w:rPr>
        <w:t xml:space="preserve">. </w:t>
      </w:r>
      <w:r w:rsidR="002B679C" w:rsidRPr="00857CDA">
        <w:rPr>
          <w:iCs/>
          <w:lang w:val="ro-RO"/>
        </w:rPr>
        <w:t>Se modifică</w:t>
      </w:r>
      <w:r w:rsidRPr="00857CDA">
        <w:rPr>
          <w:iCs/>
          <w:lang w:val="ro-RO"/>
        </w:rPr>
        <w:t xml:space="preserve"> text</w:t>
      </w:r>
      <w:r w:rsidR="00B87C2A" w:rsidRPr="00857CDA">
        <w:rPr>
          <w:iCs/>
          <w:lang w:val="ro-RO"/>
        </w:rPr>
        <w:t>ul celui de al doilea rând, după cum urmează:</w:t>
      </w:r>
      <w:r w:rsidRPr="00857CDA">
        <w:rPr>
          <w:iCs/>
          <w:lang w:val="ro-RO"/>
        </w:rPr>
        <w:t xml:space="preserve"> </w:t>
      </w:r>
      <w:r w:rsidR="00F27B4E" w:rsidRPr="00857CDA">
        <w:rPr>
          <w:lang w:val="ro-RO"/>
        </w:rPr>
        <w:t>„</w:t>
      </w:r>
      <w:r w:rsidRPr="00857CDA">
        <w:rPr>
          <w:iCs/>
          <w:lang w:val="ro-RO"/>
        </w:rPr>
        <w:t>N</w:t>
      </w:r>
      <w:r w:rsidR="00B87C2A" w:rsidRPr="00857CDA">
        <w:rPr>
          <w:iCs/>
          <w:lang w:val="ro-RO"/>
        </w:rPr>
        <w:t>u conține o compoziție explozivă</w:t>
      </w:r>
      <w:r w:rsidR="00660131" w:rsidRPr="00857CDA">
        <w:rPr>
          <w:lang w:val="ro-RO"/>
        </w:rPr>
        <w:t>”</w:t>
      </w:r>
      <w:r w:rsidRPr="00857CDA">
        <w:rPr>
          <w:iCs/>
          <w:lang w:val="ro-RO"/>
        </w:rPr>
        <w:t>.</w:t>
      </w:r>
    </w:p>
    <w:p w:rsidR="00196C06" w:rsidRPr="00857CDA" w:rsidRDefault="006C06A3" w:rsidP="00196C06">
      <w:pPr>
        <w:pStyle w:val="SingleTxtG"/>
        <w:rPr>
          <w:lang w:val="ro-RO"/>
        </w:rPr>
      </w:pPr>
      <w:r w:rsidRPr="00857CDA">
        <w:rPr>
          <w:lang w:val="ro-RO"/>
        </w:rPr>
        <w:t>2.2.1.1.8.2</w:t>
      </w:r>
      <w:r w:rsidR="00196C06" w:rsidRPr="00857CDA">
        <w:rPr>
          <w:lang w:val="ro-RO"/>
        </w:rPr>
        <w:tab/>
      </w:r>
      <w:r w:rsidR="00902C44" w:rsidRPr="00857CDA">
        <w:rPr>
          <w:lang w:val="ro-RO"/>
        </w:rPr>
        <w:t xml:space="preserve">În </w:t>
      </w:r>
      <w:r w:rsidR="00196C06" w:rsidRPr="00857CDA">
        <w:rPr>
          <w:lang w:val="ro-RO"/>
        </w:rPr>
        <w:t xml:space="preserve">Nota 2, la </w:t>
      </w:r>
      <w:r w:rsidR="00B87C2A" w:rsidRPr="00857CDA">
        <w:rPr>
          <w:lang w:val="ro-RO"/>
        </w:rPr>
        <w:t>sfârșit</w:t>
      </w:r>
      <w:r w:rsidR="00196C06" w:rsidRPr="00857CDA">
        <w:rPr>
          <w:lang w:val="ro-RO"/>
        </w:rPr>
        <w:t xml:space="preserve">, </w:t>
      </w:r>
      <w:r w:rsidR="00B87C2A" w:rsidRPr="00857CDA">
        <w:rPr>
          <w:lang w:val="ro-RO"/>
        </w:rPr>
        <w:t>s</w:t>
      </w:r>
      <w:r w:rsidR="00902C44" w:rsidRPr="00857CDA">
        <w:rPr>
          <w:lang w:val="ro-RO" w:eastAsia="en-GB"/>
        </w:rPr>
        <w:t>e modifică</w:t>
      </w:r>
      <w:r w:rsidR="00196C06" w:rsidRPr="00857CDA">
        <w:rPr>
          <w:lang w:val="ro-RO"/>
        </w:rPr>
        <w:t xml:space="preserve"> </w:t>
      </w:r>
      <w:r w:rsidR="00F27B4E"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00660131" w:rsidRPr="00857CDA">
        <w:rPr>
          <w:lang w:val="ro-RO"/>
        </w:rPr>
        <w:t>”</w:t>
      </w:r>
      <w:r w:rsidR="00196C06" w:rsidRPr="00857CDA">
        <w:rPr>
          <w:lang w:val="ro-RO"/>
        </w:rPr>
        <w:t>.</w:t>
      </w:r>
    </w:p>
    <w:p w:rsidR="00B15587" w:rsidRPr="00857CDA" w:rsidRDefault="00B15587" w:rsidP="005C3A8A">
      <w:pPr>
        <w:pStyle w:val="SingleTxtG"/>
        <w:tabs>
          <w:tab w:val="left" w:pos="2268"/>
        </w:tabs>
        <w:rPr>
          <w:lang w:val="ro-RO"/>
        </w:rPr>
      </w:pPr>
      <w:r w:rsidRPr="00857CDA">
        <w:rPr>
          <w:lang w:val="ro-RO"/>
        </w:rPr>
        <w:t>2.2.1.4</w:t>
      </w:r>
      <w:r w:rsidRPr="00857CDA">
        <w:rPr>
          <w:lang w:val="ro-RO"/>
        </w:rPr>
        <w:tab/>
      </w:r>
      <w:r w:rsidR="00902C44" w:rsidRPr="00857CDA">
        <w:rPr>
          <w:lang w:val="ro-RO"/>
        </w:rPr>
        <w:t xml:space="preserve">În </w:t>
      </w:r>
      <w:r w:rsidR="000F7AB2" w:rsidRPr="00857CDA">
        <w:rPr>
          <w:lang w:val="ro-RO"/>
        </w:rPr>
        <w:t>definiția pentru</w:t>
      </w:r>
      <w:r w:rsidRPr="00857CDA">
        <w:rPr>
          <w:lang w:val="ro-RO"/>
        </w:rPr>
        <w:t xml:space="preserve"> </w:t>
      </w:r>
      <w:r w:rsidR="00F27B4E" w:rsidRPr="00857CDA">
        <w:rPr>
          <w:lang w:val="ro-RO"/>
        </w:rPr>
        <w:t>„</w:t>
      </w:r>
      <w:r w:rsidR="00EB3E0F" w:rsidRPr="00857CDA">
        <w:rPr>
          <w:bCs/>
          <w:i/>
          <w:iCs/>
          <w:lang w:val="ro-RO"/>
        </w:rPr>
        <w:t>CARTUȘE CU PROIECTIL INERT PENTRU ARME</w:t>
      </w:r>
      <w:r w:rsidR="00660131" w:rsidRPr="00857CDA">
        <w:rPr>
          <w:lang w:val="ro-RO"/>
        </w:rPr>
        <w:t>”</w:t>
      </w:r>
      <w:r w:rsidRPr="00857CDA">
        <w:rPr>
          <w:lang w:val="ro-RO"/>
        </w:rPr>
        <w:t xml:space="preserve">, </w:t>
      </w:r>
      <w:r w:rsidR="00EB3E0F" w:rsidRPr="00857CDA">
        <w:rPr>
          <w:lang w:val="ro-RO"/>
        </w:rPr>
        <w:t>s</w:t>
      </w:r>
      <w:r w:rsidR="00902C44" w:rsidRPr="00857CDA">
        <w:rPr>
          <w:lang w:val="ro-RO"/>
        </w:rPr>
        <w:t>e modifică</w:t>
      </w:r>
      <w:r w:rsidRPr="00857CDA">
        <w:rPr>
          <w:lang w:val="ro-RO"/>
        </w:rPr>
        <w:t xml:space="preserve"> </w:t>
      </w:r>
      <w:r w:rsidR="00F27B4E" w:rsidRPr="00857CDA">
        <w:rPr>
          <w:lang w:val="ro-RO"/>
        </w:rPr>
        <w:t>„</w:t>
      </w:r>
      <w:r w:rsidR="002B679C" w:rsidRPr="00857CDA">
        <w:rPr>
          <w:lang w:val="ro-RO"/>
        </w:rPr>
        <w:t>risc</w:t>
      </w:r>
      <w:r w:rsidR="00EB3E0F" w:rsidRPr="00857CDA">
        <w:rPr>
          <w:lang w:val="ro-RO"/>
        </w:rPr>
        <w:t>ul principal</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00EB3E0F" w:rsidRPr="00857CDA">
        <w:rPr>
          <w:lang w:val="ro-RO"/>
        </w:rPr>
        <w:t>ul principal</w:t>
      </w:r>
      <w:r w:rsidR="00660131" w:rsidRPr="00857CDA">
        <w:rPr>
          <w:lang w:val="ro-RO"/>
        </w:rPr>
        <w:t>”</w:t>
      </w:r>
      <w:r w:rsidRPr="00857CDA">
        <w:rPr>
          <w:lang w:val="ro-RO"/>
        </w:rPr>
        <w:t>.</w:t>
      </w:r>
    </w:p>
    <w:p w:rsidR="00B15587" w:rsidRPr="00857CDA" w:rsidRDefault="00902C44" w:rsidP="00B15587">
      <w:pPr>
        <w:pStyle w:val="SingleTxtG"/>
        <w:rPr>
          <w:lang w:val="ro-RO"/>
        </w:rPr>
      </w:pPr>
      <w:r w:rsidRPr="00857CDA">
        <w:rPr>
          <w:lang w:val="ro-RO"/>
        </w:rPr>
        <w:t xml:space="preserve">În </w:t>
      </w:r>
      <w:r w:rsidR="000F7AB2" w:rsidRPr="00857CDA">
        <w:rPr>
          <w:lang w:val="ro-RO"/>
        </w:rPr>
        <w:t>definiția pentru</w:t>
      </w:r>
      <w:r w:rsidR="00B15587" w:rsidRPr="00857CDA">
        <w:rPr>
          <w:lang w:val="ro-RO"/>
        </w:rPr>
        <w:t xml:space="preserve"> </w:t>
      </w:r>
      <w:r w:rsidR="00F27B4E" w:rsidRPr="00857CDA">
        <w:rPr>
          <w:lang w:val="ro-RO"/>
        </w:rPr>
        <w:t>„</w:t>
      </w:r>
      <w:r w:rsidR="00EB3E0F" w:rsidRPr="00857CDA">
        <w:rPr>
          <w:bCs/>
          <w:i/>
          <w:iCs/>
          <w:lang w:val="ro-RO"/>
        </w:rPr>
        <w:t>SUBSTANŢE EXPLOZIVE FOARTE PUŢIN SENSIBILE (SUBSTANŢE EFPS) N.S.A</w:t>
      </w:r>
      <w:r w:rsidR="00B15587" w:rsidRPr="00857CDA">
        <w:rPr>
          <w:bCs/>
          <w:i/>
          <w:iCs/>
          <w:lang w:val="ro-RO"/>
        </w:rPr>
        <w:t>.</w:t>
      </w:r>
      <w:r w:rsidR="00660131" w:rsidRPr="00857CDA">
        <w:rPr>
          <w:lang w:val="ro-RO"/>
        </w:rPr>
        <w:t>”</w:t>
      </w:r>
      <w:r w:rsidR="00B15587" w:rsidRPr="00857CDA">
        <w:rPr>
          <w:lang w:val="ro-RO"/>
        </w:rPr>
        <w:t xml:space="preserve">, </w:t>
      </w:r>
      <w:r w:rsidRPr="00857CDA">
        <w:rPr>
          <w:lang w:val="ro-RO"/>
        </w:rPr>
        <w:t>Se modifică</w:t>
      </w:r>
      <w:r w:rsidR="00B15587" w:rsidRPr="00857CDA">
        <w:rPr>
          <w:lang w:val="ro-RO"/>
        </w:rPr>
        <w:t xml:space="preserve"> </w:t>
      </w:r>
      <w:r w:rsidR="00F27B4E" w:rsidRPr="00857CDA">
        <w:rPr>
          <w:lang w:val="ro-RO"/>
        </w:rPr>
        <w:t>„</w:t>
      </w:r>
      <w:r w:rsidR="002B679C" w:rsidRPr="00857CDA">
        <w:rPr>
          <w:lang w:val="ro-RO"/>
        </w:rPr>
        <w:t>risc</w:t>
      </w:r>
      <w:r w:rsidR="00660131" w:rsidRPr="00857CDA">
        <w:rPr>
          <w:lang w:val="ro-RO"/>
        </w:rPr>
        <w:t>”</w:t>
      </w:r>
      <w:r w:rsidRPr="00857CDA">
        <w:rPr>
          <w:lang w:val="ro-RO"/>
        </w:rPr>
        <w:t xml:space="preserve"> cu </w:t>
      </w:r>
      <w:r w:rsidR="00F27B4E" w:rsidRPr="00857CDA">
        <w:rPr>
          <w:lang w:val="ro-RO"/>
        </w:rPr>
        <w:t>„</w:t>
      </w:r>
      <w:r w:rsidR="002B679C" w:rsidRPr="00857CDA">
        <w:rPr>
          <w:lang w:val="ro-RO"/>
        </w:rPr>
        <w:t>pericol</w:t>
      </w:r>
      <w:r w:rsidR="00660131" w:rsidRPr="00857CDA">
        <w:rPr>
          <w:lang w:val="ro-RO"/>
        </w:rPr>
        <w:t>”</w:t>
      </w:r>
      <w:r w:rsidR="00B15587" w:rsidRPr="00857CDA">
        <w:rPr>
          <w:lang w:val="ro-RO"/>
        </w:rPr>
        <w:t>.</w:t>
      </w:r>
    </w:p>
    <w:p w:rsidR="003178D6" w:rsidRPr="00857CDA" w:rsidRDefault="003178D6" w:rsidP="003178D6">
      <w:pPr>
        <w:spacing w:before="120" w:after="120" w:line="240" w:lineRule="auto"/>
        <w:ind w:left="1134" w:right="1134"/>
        <w:jc w:val="both"/>
        <w:rPr>
          <w:lang w:val="ro-RO"/>
        </w:rPr>
      </w:pPr>
      <w:r w:rsidRPr="00857CDA">
        <w:rPr>
          <w:lang w:val="ro-RO"/>
        </w:rPr>
        <w:t>2.2.2.1.5</w:t>
      </w:r>
      <w:r w:rsidRPr="00857CDA">
        <w:rPr>
          <w:lang w:val="ro-RO"/>
        </w:rPr>
        <w:tab/>
      </w:r>
      <w:r w:rsidR="00991390" w:rsidRPr="00857CDA">
        <w:rPr>
          <w:lang w:val="ro-RO"/>
        </w:rPr>
        <w:t>Pentru</w:t>
      </w:r>
      <w:r w:rsidRPr="00857CDA">
        <w:rPr>
          <w:lang w:val="ro-RO"/>
        </w:rPr>
        <w:t xml:space="preserve"> </w:t>
      </w:r>
      <w:r w:rsidR="00F27B4E" w:rsidRPr="00857CDA">
        <w:rPr>
          <w:lang w:val="ro-RO"/>
        </w:rPr>
        <w:t>„</w:t>
      </w:r>
      <w:r w:rsidRPr="00857CDA">
        <w:rPr>
          <w:lang w:val="ro-RO"/>
        </w:rPr>
        <w:t>Gaz</w:t>
      </w:r>
      <w:r w:rsidR="00EB3E0F" w:rsidRPr="00857CDA">
        <w:rPr>
          <w:lang w:val="ro-RO"/>
        </w:rPr>
        <w:t>e</w:t>
      </w:r>
      <w:r w:rsidRPr="00857CDA">
        <w:rPr>
          <w:lang w:val="ro-RO"/>
        </w:rPr>
        <w:t xml:space="preserve"> toxi</w:t>
      </w:r>
      <w:r w:rsidR="00EB3E0F" w:rsidRPr="00857CDA">
        <w:rPr>
          <w:lang w:val="ro-RO"/>
        </w:rPr>
        <w:t>c</w:t>
      </w:r>
      <w:r w:rsidRPr="00857CDA">
        <w:rPr>
          <w:lang w:val="ro-RO"/>
        </w:rPr>
        <w:t>e</w:t>
      </w:r>
      <w:r w:rsidR="00660131" w:rsidRPr="00857CDA">
        <w:rPr>
          <w:lang w:val="ro-RO"/>
        </w:rPr>
        <w:t>”</w:t>
      </w:r>
      <w:r w:rsidRPr="00857CDA">
        <w:rPr>
          <w:lang w:val="ro-RO"/>
        </w:rPr>
        <w:t xml:space="preserve">, </w:t>
      </w:r>
      <w:r w:rsidR="00EB3E0F" w:rsidRPr="00857CDA">
        <w:rPr>
          <w:lang w:val="ro-RO"/>
        </w:rPr>
        <w:t>î</w:t>
      </w:r>
      <w:r w:rsidR="00902C44" w:rsidRPr="00857CDA">
        <w:rPr>
          <w:lang w:val="ro-RO"/>
        </w:rPr>
        <w:t xml:space="preserve">n </w:t>
      </w:r>
      <w:r w:rsidRPr="00857CDA">
        <w:rPr>
          <w:lang w:val="ro-RO"/>
        </w:rPr>
        <w:t>Not</w:t>
      </w:r>
      <w:r w:rsidR="00EB3E0F" w:rsidRPr="00857CDA">
        <w:rPr>
          <w:lang w:val="ro-RO"/>
        </w:rPr>
        <w:t>ă</w:t>
      </w:r>
      <w:r w:rsidRPr="00857CDA">
        <w:rPr>
          <w:lang w:val="ro-RO"/>
        </w:rPr>
        <w:t xml:space="preserve">, </w:t>
      </w:r>
      <w:r w:rsidR="00EB3E0F" w:rsidRPr="00857CDA">
        <w:rPr>
          <w:lang w:val="ro-RO" w:eastAsia="en-GB"/>
        </w:rPr>
        <w:t>s</w:t>
      </w:r>
      <w:r w:rsidR="00902C44" w:rsidRPr="00857CDA">
        <w:rPr>
          <w:lang w:val="ro-RO" w:eastAsia="en-GB"/>
        </w:rPr>
        <w:t>e modifică</w:t>
      </w:r>
      <w:r w:rsidRPr="00857CDA">
        <w:rPr>
          <w:lang w:val="ro-RO"/>
        </w:rPr>
        <w:t xml:space="preserve"> </w:t>
      </w:r>
      <w:r w:rsidR="00F27B4E"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00660131" w:rsidRPr="00857CDA">
        <w:rPr>
          <w:lang w:val="ro-RO"/>
        </w:rPr>
        <w:t>”</w:t>
      </w:r>
      <w:r w:rsidRPr="00857CDA">
        <w:rPr>
          <w:lang w:val="ro-RO"/>
        </w:rPr>
        <w:t xml:space="preserve">. </w:t>
      </w:r>
      <w:r w:rsidR="00991390" w:rsidRPr="00857CDA">
        <w:rPr>
          <w:lang w:val="ro-RO"/>
        </w:rPr>
        <w:t>Pentru</w:t>
      </w:r>
      <w:r w:rsidRPr="00857CDA">
        <w:rPr>
          <w:lang w:val="ro-RO"/>
        </w:rPr>
        <w:t xml:space="preserve"> </w:t>
      </w:r>
      <w:r w:rsidR="00F27B4E" w:rsidRPr="00857CDA">
        <w:rPr>
          <w:lang w:val="ro-RO"/>
        </w:rPr>
        <w:t>„</w:t>
      </w:r>
      <w:r w:rsidRPr="00857CDA">
        <w:rPr>
          <w:lang w:val="ro-RO"/>
        </w:rPr>
        <w:t>Gaz</w:t>
      </w:r>
      <w:r w:rsidR="00EB3E0F" w:rsidRPr="00857CDA">
        <w:rPr>
          <w:lang w:val="ro-RO"/>
        </w:rPr>
        <w:t>e</w:t>
      </w:r>
      <w:r w:rsidRPr="00857CDA">
        <w:rPr>
          <w:lang w:val="ro-RO"/>
        </w:rPr>
        <w:t xml:space="preserve"> corosi</w:t>
      </w:r>
      <w:r w:rsidR="00EB3E0F" w:rsidRPr="00857CDA">
        <w:rPr>
          <w:lang w:val="ro-RO"/>
        </w:rPr>
        <w:t>ve</w:t>
      </w:r>
      <w:r w:rsidR="00660131" w:rsidRPr="00857CDA">
        <w:rPr>
          <w:lang w:val="ro-RO"/>
        </w:rPr>
        <w:t>”</w:t>
      </w:r>
      <w:r w:rsidRPr="00857CDA">
        <w:rPr>
          <w:lang w:val="ro-RO"/>
        </w:rPr>
        <w:t xml:space="preserve">, </w:t>
      </w:r>
      <w:r w:rsidR="00EB3E0F" w:rsidRPr="00857CDA">
        <w:rPr>
          <w:lang w:val="ro-RO" w:eastAsia="en-GB"/>
        </w:rPr>
        <w:t>s</w:t>
      </w:r>
      <w:r w:rsidR="00902C44" w:rsidRPr="00857CDA">
        <w:rPr>
          <w:lang w:val="ro-RO" w:eastAsia="en-GB"/>
        </w:rPr>
        <w:t>e modifică</w:t>
      </w:r>
      <w:r w:rsidRPr="00857CDA">
        <w:rPr>
          <w:lang w:val="ro-RO"/>
        </w:rPr>
        <w:t xml:space="preserve"> </w:t>
      </w:r>
      <w:r w:rsidR="00F27B4E"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00660131" w:rsidRPr="00857CDA">
        <w:rPr>
          <w:lang w:val="ro-RO"/>
        </w:rPr>
        <w:t>”</w:t>
      </w:r>
      <w:r w:rsidRPr="00857CDA">
        <w:rPr>
          <w:lang w:val="ro-RO"/>
        </w:rPr>
        <w:t xml:space="preserve"> </w:t>
      </w:r>
      <w:r w:rsidR="00EB3E0F" w:rsidRPr="00857CDA">
        <w:rPr>
          <w:lang w:val="ro-RO"/>
        </w:rPr>
        <w:t>atât î</w:t>
      </w:r>
      <w:r w:rsidR="00902C44" w:rsidRPr="00857CDA">
        <w:rPr>
          <w:lang w:val="ro-RO"/>
        </w:rPr>
        <w:t xml:space="preserve">n </w:t>
      </w:r>
      <w:r w:rsidR="00D85951" w:rsidRPr="00857CDA">
        <w:rPr>
          <w:lang w:val="ro-RO"/>
        </w:rPr>
        <w:t>prima</w:t>
      </w:r>
      <w:r w:rsidR="00EB3E0F" w:rsidRPr="00857CDA">
        <w:rPr>
          <w:lang w:val="ro-RO"/>
        </w:rPr>
        <w:t xml:space="preserve">, cât </w:t>
      </w:r>
      <w:r w:rsidR="004C27AD" w:rsidRPr="00857CDA">
        <w:rPr>
          <w:lang w:val="ro-RO"/>
        </w:rPr>
        <w:t xml:space="preserve">și </w:t>
      </w:r>
      <w:r w:rsidR="00EB3E0F" w:rsidRPr="00857CDA">
        <w:rPr>
          <w:lang w:val="ro-RO"/>
        </w:rPr>
        <w:t xml:space="preserve">în cea de </w:t>
      </w:r>
      <w:r w:rsidR="00970E20" w:rsidRPr="00857CDA">
        <w:rPr>
          <w:lang w:val="ro-RO"/>
        </w:rPr>
        <w:t>a doua frază</w:t>
      </w:r>
      <w:r w:rsidRPr="00857CDA">
        <w:rPr>
          <w:lang w:val="ro-RO"/>
        </w:rPr>
        <w:t>.</w:t>
      </w:r>
    </w:p>
    <w:p w:rsidR="004B5C14" w:rsidRPr="00857CDA" w:rsidRDefault="004B5C14" w:rsidP="00C77339">
      <w:pPr>
        <w:spacing w:before="120" w:after="120" w:line="240" w:lineRule="auto"/>
        <w:ind w:left="1134" w:right="1134"/>
        <w:jc w:val="both"/>
        <w:rPr>
          <w:lang w:val="ro-RO" w:eastAsia="zh-CN"/>
        </w:rPr>
      </w:pPr>
      <w:r w:rsidRPr="00857CDA">
        <w:rPr>
          <w:lang w:val="ro-RO"/>
        </w:rPr>
        <w:t>2.2.2.3</w:t>
      </w:r>
      <w:r w:rsidRPr="00857CDA">
        <w:rPr>
          <w:lang w:val="ro-RO"/>
        </w:rPr>
        <w:tab/>
      </w:r>
      <w:r w:rsidR="002F3DB5" w:rsidRPr="00857CDA">
        <w:rPr>
          <w:lang w:val="ro-RO"/>
        </w:rPr>
        <w:tab/>
      </w:r>
      <w:r w:rsidR="00902C44" w:rsidRPr="00857CDA">
        <w:rPr>
          <w:lang w:val="ro-RO"/>
        </w:rPr>
        <w:t xml:space="preserve">În </w:t>
      </w:r>
      <w:r w:rsidR="00463BBB" w:rsidRPr="00857CDA">
        <w:rPr>
          <w:lang w:val="ro-RO"/>
        </w:rPr>
        <w:t>tabel</w:t>
      </w:r>
      <w:r w:rsidR="003178D6" w:rsidRPr="00857CDA">
        <w:rPr>
          <w:lang w:val="ro-RO"/>
        </w:rPr>
        <w:t xml:space="preserve">, </w:t>
      </w:r>
      <w:r w:rsidR="00EF7A19" w:rsidRPr="00857CDA">
        <w:rPr>
          <w:lang w:val="ro-RO"/>
        </w:rPr>
        <w:t>la</w:t>
      </w:r>
      <w:r w:rsidR="003178D6" w:rsidRPr="00857CDA">
        <w:rPr>
          <w:lang w:val="ro-RO"/>
        </w:rPr>
        <w:t xml:space="preserve"> </w:t>
      </w:r>
      <w:r w:rsidR="00F27B4E" w:rsidRPr="00857CDA">
        <w:rPr>
          <w:lang w:val="ro-RO"/>
        </w:rPr>
        <w:t>„</w:t>
      </w:r>
      <w:r w:rsidR="00EF7A19" w:rsidRPr="00857CDA">
        <w:rPr>
          <w:lang w:val="ro-RO"/>
        </w:rPr>
        <w:t>Alte obiecte conţinând un gaz sub presiune</w:t>
      </w:r>
      <w:r w:rsidR="00660131" w:rsidRPr="00857CDA">
        <w:rPr>
          <w:lang w:val="ro-RO"/>
        </w:rPr>
        <w:t>”</w:t>
      </w:r>
      <w:r w:rsidR="003178D6" w:rsidRPr="00857CDA">
        <w:rPr>
          <w:lang w:val="ro-RO"/>
        </w:rPr>
        <w:t xml:space="preserve">, </w:t>
      </w:r>
      <w:r w:rsidR="00991390" w:rsidRPr="00857CDA">
        <w:rPr>
          <w:lang w:val="ro-RO"/>
        </w:rPr>
        <w:t>pentru</w:t>
      </w:r>
      <w:r w:rsidR="003178D6" w:rsidRPr="00857CDA">
        <w:rPr>
          <w:lang w:val="ro-RO"/>
        </w:rPr>
        <w:t xml:space="preserve"> cod</w:t>
      </w:r>
      <w:r w:rsidR="00EF7A19" w:rsidRPr="00857CDA">
        <w:rPr>
          <w:lang w:val="ro-RO"/>
        </w:rPr>
        <w:t>ul</w:t>
      </w:r>
      <w:r w:rsidR="003178D6" w:rsidRPr="00857CDA">
        <w:rPr>
          <w:lang w:val="ro-RO"/>
        </w:rPr>
        <w:t xml:space="preserve"> </w:t>
      </w:r>
      <w:r w:rsidR="00F27B4E" w:rsidRPr="00857CDA">
        <w:rPr>
          <w:lang w:val="ro-RO"/>
        </w:rPr>
        <w:t>„</w:t>
      </w:r>
      <w:r w:rsidR="003178D6" w:rsidRPr="00857CDA">
        <w:rPr>
          <w:lang w:val="ro-RO"/>
        </w:rPr>
        <w:t>6A</w:t>
      </w:r>
      <w:r w:rsidR="00660131" w:rsidRPr="00857CDA">
        <w:rPr>
          <w:lang w:val="ro-RO"/>
        </w:rPr>
        <w:t>”</w:t>
      </w:r>
      <w:r w:rsidR="003178D6" w:rsidRPr="00857CDA">
        <w:rPr>
          <w:lang w:val="ro-RO"/>
        </w:rPr>
        <w:t xml:space="preserve">, </w:t>
      </w:r>
      <w:r w:rsidR="00902C44" w:rsidRPr="00857CDA">
        <w:rPr>
          <w:lang w:val="ro-RO"/>
        </w:rPr>
        <w:t>se adaugă</w:t>
      </w:r>
      <w:r w:rsidR="003178D6" w:rsidRPr="00857CDA">
        <w:rPr>
          <w:lang w:val="ro-RO"/>
        </w:rPr>
        <w:t xml:space="preserve"> </w:t>
      </w:r>
      <w:r w:rsidR="00F27B4E" w:rsidRPr="00857CDA">
        <w:rPr>
          <w:lang w:val="ro-RO"/>
        </w:rPr>
        <w:t>„</w:t>
      </w:r>
      <w:r w:rsidR="003178D6" w:rsidRPr="00857CDA">
        <w:rPr>
          <w:lang w:val="ro-RO"/>
        </w:rPr>
        <w:t xml:space="preserve">3538 </w:t>
      </w:r>
      <w:r w:rsidR="00350067" w:rsidRPr="00857CDA">
        <w:rPr>
          <w:lang w:val="ro-RO" w:eastAsia="zh-CN"/>
        </w:rPr>
        <w:t>OBIECTE CARE CONȚIN GAZ NEINFLAMABIL, NETOXIC, N.S.A.</w:t>
      </w:r>
      <w:r w:rsidR="00660131" w:rsidRPr="00857CDA">
        <w:rPr>
          <w:lang w:val="ro-RO" w:eastAsia="zh-CN"/>
        </w:rPr>
        <w:t>”</w:t>
      </w:r>
      <w:r w:rsidR="003178D6" w:rsidRPr="00857CDA">
        <w:rPr>
          <w:lang w:val="ro-RO" w:eastAsia="zh-CN"/>
        </w:rPr>
        <w:t>.</w:t>
      </w:r>
    </w:p>
    <w:p w:rsidR="003178D6" w:rsidRPr="00857CDA" w:rsidRDefault="003178D6" w:rsidP="003178D6">
      <w:pPr>
        <w:spacing w:before="120" w:after="120" w:line="240" w:lineRule="auto"/>
        <w:ind w:left="1134" w:right="1134"/>
        <w:jc w:val="both"/>
        <w:rPr>
          <w:lang w:val="ro-RO"/>
        </w:rPr>
      </w:pPr>
      <w:r w:rsidRPr="00857CDA">
        <w:rPr>
          <w:lang w:val="ro-RO"/>
        </w:rPr>
        <w:t>2.2.2.3</w:t>
      </w:r>
      <w:r w:rsidRPr="00857CDA">
        <w:rPr>
          <w:lang w:val="ro-RO"/>
        </w:rPr>
        <w:tab/>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EF7A19" w:rsidRPr="00857CDA">
        <w:rPr>
          <w:lang w:val="ro-RO"/>
        </w:rPr>
        <w:t>la</w:t>
      </w:r>
      <w:r w:rsidRPr="00857CDA">
        <w:rPr>
          <w:lang w:val="ro-RO"/>
        </w:rPr>
        <w:t xml:space="preserve"> </w:t>
      </w:r>
      <w:r w:rsidR="00F27B4E" w:rsidRPr="00857CDA">
        <w:rPr>
          <w:lang w:val="ro-RO"/>
        </w:rPr>
        <w:t>„</w:t>
      </w:r>
      <w:r w:rsidR="00EF7A19" w:rsidRPr="00857CDA">
        <w:rPr>
          <w:lang w:val="ro-RO"/>
        </w:rPr>
        <w:t>Alte obiecte conţinând un gaz sub presiune</w:t>
      </w:r>
      <w:r w:rsidR="00660131" w:rsidRPr="00857CDA">
        <w:rPr>
          <w:lang w:val="ro-RO"/>
        </w:rPr>
        <w:t>”</w:t>
      </w:r>
      <w:r w:rsidRPr="00857CDA">
        <w:rPr>
          <w:lang w:val="ro-RO"/>
        </w:rPr>
        <w:t xml:space="preserve">, </w:t>
      </w:r>
      <w:r w:rsidR="00991390" w:rsidRPr="00857CDA">
        <w:rPr>
          <w:lang w:val="ro-RO"/>
        </w:rPr>
        <w:t>pentru</w:t>
      </w:r>
      <w:r w:rsidR="00EF7A19" w:rsidRPr="00857CDA">
        <w:rPr>
          <w:lang w:val="ro-RO"/>
        </w:rPr>
        <w:t xml:space="preserve"> </w:t>
      </w:r>
      <w:r w:rsidRPr="00857CDA">
        <w:rPr>
          <w:lang w:val="ro-RO"/>
        </w:rPr>
        <w:t>cod</w:t>
      </w:r>
      <w:r w:rsidR="00EF7A19" w:rsidRPr="00857CDA">
        <w:rPr>
          <w:lang w:val="ro-RO"/>
        </w:rPr>
        <w:t>ul</w:t>
      </w:r>
      <w:r w:rsidRPr="00857CDA">
        <w:rPr>
          <w:lang w:val="ro-RO"/>
        </w:rPr>
        <w:t xml:space="preserve"> </w:t>
      </w:r>
      <w:r w:rsidR="00F27B4E" w:rsidRPr="00857CDA">
        <w:rPr>
          <w:lang w:val="ro-RO"/>
        </w:rPr>
        <w:t>„</w:t>
      </w:r>
      <w:r w:rsidRPr="00857CDA">
        <w:rPr>
          <w:lang w:val="ro-RO"/>
        </w:rPr>
        <w:t>6F</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F27B4E" w:rsidRPr="00857CDA">
        <w:rPr>
          <w:lang w:val="ro-RO"/>
        </w:rPr>
        <w:t>„</w:t>
      </w:r>
      <w:r w:rsidRPr="00857CDA">
        <w:rPr>
          <w:lang w:val="ro-RO"/>
        </w:rPr>
        <w:t xml:space="preserve">3537 </w:t>
      </w:r>
      <w:r w:rsidR="00350067" w:rsidRPr="00857CDA">
        <w:rPr>
          <w:lang w:val="ro-RO"/>
        </w:rPr>
        <w:t>OBIECTE CARE CONȚIN GAZ INFLAMABIL, N.S.A.</w:t>
      </w:r>
      <w:r w:rsidR="00660131" w:rsidRPr="00857CDA">
        <w:rPr>
          <w:lang w:val="ro-RO"/>
        </w:rPr>
        <w:t>”</w:t>
      </w:r>
      <w:r w:rsidRPr="00857CDA">
        <w:rPr>
          <w:lang w:val="ro-RO"/>
        </w:rPr>
        <w:t>.</w:t>
      </w:r>
    </w:p>
    <w:p w:rsidR="003178D6" w:rsidRPr="00857CDA" w:rsidRDefault="003178D6" w:rsidP="003178D6">
      <w:pPr>
        <w:spacing w:before="120" w:after="120" w:line="240" w:lineRule="auto"/>
        <w:ind w:left="1134" w:right="1134"/>
        <w:jc w:val="both"/>
        <w:rPr>
          <w:lang w:val="ro-RO"/>
        </w:rPr>
      </w:pPr>
      <w:r w:rsidRPr="00857CDA">
        <w:rPr>
          <w:lang w:val="ro-RO"/>
        </w:rPr>
        <w:lastRenderedPageBreak/>
        <w:t>2.2.2.3</w:t>
      </w:r>
      <w:r w:rsidRPr="00857CDA">
        <w:rPr>
          <w:lang w:val="ro-RO"/>
        </w:rPr>
        <w:tab/>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EF7A19" w:rsidRPr="00857CDA">
        <w:rPr>
          <w:lang w:val="ro-RO"/>
        </w:rPr>
        <w:t>la</w:t>
      </w:r>
      <w:r w:rsidRPr="00857CDA">
        <w:rPr>
          <w:lang w:val="ro-RO"/>
        </w:rPr>
        <w:t xml:space="preserve"> </w:t>
      </w:r>
      <w:r w:rsidR="00F27B4E" w:rsidRPr="00857CDA">
        <w:rPr>
          <w:lang w:val="ro-RO"/>
        </w:rPr>
        <w:t>„</w:t>
      </w:r>
      <w:r w:rsidR="00EF7A19" w:rsidRPr="00857CDA">
        <w:rPr>
          <w:lang w:val="ro-RO"/>
        </w:rPr>
        <w:t>Alte obiecte conţinând un gaz sub presiune</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462BFC" w:rsidRPr="00857CDA">
        <w:rPr>
          <w:lang w:val="ro-RO"/>
        </w:rPr>
        <w:t>o nouă rubrică,</w:t>
      </w:r>
      <w:r w:rsidR="00EF7A19" w:rsidRPr="00857CDA">
        <w:rPr>
          <w:lang w:val="ro-RO"/>
        </w:rPr>
        <w:t xml:space="preserve"> după cum urmează</w:t>
      </w:r>
      <w:r w:rsidR="00091658" w:rsidRPr="00857CDA">
        <w:rPr>
          <w:lang w:val="ro-RO"/>
        </w:rPr>
        <w:t>:</w:t>
      </w:r>
    </w:p>
    <w:tbl>
      <w:tblPr>
        <w:tblW w:w="0" w:type="auto"/>
        <w:jc w:val="center"/>
        <w:tblCellMar>
          <w:left w:w="120" w:type="dxa"/>
          <w:right w:w="120" w:type="dxa"/>
        </w:tblCellMar>
        <w:tblLook w:val="0000" w:firstRow="0" w:lastRow="0" w:firstColumn="0" w:lastColumn="0" w:noHBand="0" w:noVBand="0"/>
      </w:tblPr>
      <w:tblGrid>
        <w:gridCol w:w="463"/>
        <w:gridCol w:w="640"/>
        <w:gridCol w:w="4246"/>
      </w:tblGrid>
      <w:tr w:rsidR="00A074FC" w:rsidRPr="00DF3A58" w:rsidTr="00EF7A19">
        <w:trPr>
          <w:cantSplit/>
          <w:trHeight w:val="40"/>
          <w:jc w:val="center"/>
        </w:trPr>
        <w:tc>
          <w:tcPr>
            <w:tcW w:w="0" w:type="auto"/>
            <w:tcBorders>
              <w:top w:val="single" w:sz="6" w:space="0" w:color="auto"/>
              <w:left w:val="single" w:sz="6" w:space="0" w:color="auto"/>
              <w:bottom w:val="single" w:sz="4" w:space="0" w:color="auto"/>
              <w:right w:val="single" w:sz="6" w:space="0" w:color="auto"/>
            </w:tcBorders>
          </w:tcPr>
          <w:p w:rsidR="003178D6" w:rsidRPr="00857CDA" w:rsidRDefault="003178D6" w:rsidP="00167465">
            <w:pPr>
              <w:tabs>
                <w:tab w:val="left" w:pos="447"/>
              </w:tabs>
              <w:spacing w:before="20" w:after="20"/>
              <w:rPr>
                <w:lang w:val="ro-RO"/>
              </w:rPr>
            </w:pPr>
            <w:r w:rsidRPr="00857CDA">
              <w:rPr>
                <w:lang w:val="ro-RO"/>
              </w:rPr>
              <w:t>6T</w:t>
            </w:r>
          </w:p>
        </w:tc>
        <w:tc>
          <w:tcPr>
            <w:tcW w:w="0" w:type="auto"/>
            <w:tcBorders>
              <w:top w:val="single" w:sz="6" w:space="0" w:color="auto"/>
              <w:bottom w:val="single" w:sz="4" w:space="0" w:color="auto"/>
            </w:tcBorders>
          </w:tcPr>
          <w:p w:rsidR="003178D6" w:rsidRPr="00857CDA" w:rsidRDefault="003178D6" w:rsidP="00167465">
            <w:pPr>
              <w:keepLines/>
              <w:spacing w:before="20" w:after="20"/>
              <w:jc w:val="center"/>
              <w:rPr>
                <w:lang w:val="ro-RO"/>
              </w:rPr>
            </w:pPr>
            <w:r w:rsidRPr="00857CDA">
              <w:rPr>
                <w:lang w:val="ro-RO"/>
              </w:rPr>
              <w:t>3539</w:t>
            </w:r>
          </w:p>
        </w:tc>
        <w:tc>
          <w:tcPr>
            <w:tcW w:w="0" w:type="auto"/>
            <w:tcBorders>
              <w:top w:val="single" w:sz="6" w:space="0" w:color="auto"/>
              <w:bottom w:val="single" w:sz="4" w:space="0" w:color="auto"/>
              <w:right w:val="single" w:sz="6" w:space="0" w:color="auto"/>
            </w:tcBorders>
          </w:tcPr>
          <w:p w:rsidR="003178D6" w:rsidRPr="00857CDA" w:rsidRDefault="00350067" w:rsidP="00167465">
            <w:pPr>
              <w:keepLines/>
              <w:spacing w:before="20" w:after="20"/>
              <w:ind w:left="164" w:hanging="164"/>
              <w:rPr>
                <w:lang w:val="ro-RO"/>
              </w:rPr>
            </w:pPr>
            <w:r w:rsidRPr="00857CDA">
              <w:rPr>
                <w:lang w:val="ro-RO"/>
              </w:rPr>
              <w:t>OBIECTE CARE CONȚIN GAZ TOXIC, N.S.A.</w:t>
            </w:r>
          </w:p>
        </w:tc>
      </w:tr>
    </w:tbl>
    <w:p w:rsidR="00075B3E" w:rsidRPr="00857CDA" w:rsidRDefault="00075B3E" w:rsidP="00075B3E">
      <w:pPr>
        <w:spacing w:before="120" w:after="120" w:line="240" w:lineRule="auto"/>
        <w:ind w:left="1134" w:right="1134"/>
        <w:jc w:val="both"/>
        <w:rPr>
          <w:lang w:val="ro-RO"/>
        </w:rPr>
      </w:pPr>
      <w:r w:rsidRPr="00857CDA">
        <w:rPr>
          <w:lang w:val="ro-RO"/>
        </w:rPr>
        <w:t>2.2.3.1.2</w:t>
      </w:r>
      <w:r w:rsidRPr="00857CDA">
        <w:rPr>
          <w:lang w:val="ro-RO"/>
        </w:rPr>
        <w:tab/>
      </w:r>
      <w:r w:rsidR="00991390" w:rsidRPr="00857CDA">
        <w:rPr>
          <w:lang w:val="ro-RO"/>
        </w:rPr>
        <w:t>Pentru</w:t>
      </w:r>
      <w:r w:rsidRPr="00857CDA">
        <w:rPr>
          <w:lang w:val="ro-RO"/>
        </w:rPr>
        <w:t xml:space="preserve"> sub</w:t>
      </w:r>
      <w:r w:rsidR="00EF7A19" w:rsidRPr="00857CDA">
        <w:rPr>
          <w:lang w:val="ro-RO"/>
        </w:rPr>
        <w:t>-</w:t>
      </w:r>
      <w:r w:rsidRPr="00857CDA">
        <w:rPr>
          <w:lang w:val="ro-RO"/>
        </w:rPr>
        <w:t>divi</w:t>
      </w:r>
      <w:r w:rsidR="00EF7A19" w:rsidRPr="00857CDA">
        <w:rPr>
          <w:lang w:val="ro-RO"/>
        </w:rPr>
        <w:t>ziunea</w:t>
      </w:r>
      <w:r w:rsidRPr="00857CDA">
        <w:rPr>
          <w:lang w:val="ro-RO"/>
        </w:rPr>
        <w:t xml:space="preserve"> </w:t>
      </w:r>
      <w:r w:rsidR="00F27B4E" w:rsidRPr="00857CDA">
        <w:rPr>
          <w:lang w:val="ro-RO"/>
        </w:rPr>
        <w:t>„</w:t>
      </w:r>
      <w:r w:rsidRPr="00857CDA">
        <w:rPr>
          <w:lang w:val="ro-RO"/>
        </w:rPr>
        <w:t>F</w:t>
      </w:r>
      <w:r w:rsidR="00660131" w:rsidRPr="00857CDA">
        <w:rPr>
          <w:lang w:val="ro-RO"/>
        </w:rPr>
        <w:t>”</w:t>
      </w:r>
      <w:r w:rsidRPr="00857CDA">
        <w:rPr>
          <w:lang w:val="ro-RO"/>
        </w:rPr>
        <w:t xml:space="preserve">, </w:t>
      </w:r>
      <w:r w:rsidR="00EF7A19" w:rsidRPr="00857CDA">
        <w:rPr>
          <w:lang w:val="ro-RO"/>
        </w:rPr>
        <w:t>s</w:t>
      </w:r>
      <w:r w:rsidR="00902C44" w:rsidRPr="00857CDA">
        <w:rPr>
          <w:lang w:val="ro-RO"/>
        </w:rPr>
        <w:t>e modifică</w:t>
      </w:r>
      <w:r w:rsidRPr="00857CDA">
        <w:rPr>
          <w:lang w:val="ro-RO"/>
        </w:rPr>
        <w:t xml:space="preserve"> </w:t>
      </w:r>
      <w:r w:rsidR="00F27B4E"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27B4E" w:rsidRPr="00857CDA">
        <w:rPr>
          <w:lang w:val="ro-RO"/>
        </w:rPr>
        <w:t>„</w:t>
      </w:r>
      <w:r w:rsidR="002B679C" w:rsidRPr="00857CDA">
        <w:rPr>
          <w:lang w:val="ro-RO"/>
        </w:rPr>
        <w:t>pericol</w:t>
      </w:r>
      <w:r w:rsidR="00660131" w:rsidRPr="00857CDA">
        <w:rPr>
          <w:lang w:val="ro-RO"/>
        </w:rPr>
        <w:t>”</w:t>
      </w:r>
      <w:r w:rsidRPr="00857CDA">
        <w:rPr>
          <w:lang w:val="ro-RO"/>
        </w:rPr>
        <w:t>.</w:t>
      </w:r>
    </w:p>
    <w:p w:rsidR="00075B3E" w:rsidRPr="00857CDA" w:rsidRDefault="00075B3E" w:rsidP="00196C06">
      <w:pPr>
        <w:spacing w:before="120" w:after="120" w:line="240" w:lineRule="auto"/>
        <w:ind w:left="1134" w:right="1134"/>
        <w:jc w:val="both"/>
        <w:rPr>
          <w:lang w:val="ro-RO"/>
        </w:rPr>
      </w:pPr>
      <w:r w:rsidRPr="00857CDA">
        <w:rPr>
          <w:lang w:val="ro-RO"/>
        </w:rPr>
        <w:t>2.2.3.1.3</w:t>
      </w:r>
      <w:r w:rsidRPr="00857CDA">
        <w:rPr>
          <w:lang w:val="ro-RO"/>
        </w:rPr>
        <w:tab/>
      </w:r>
      <w:r w:rsidR="00902C44" w:rsidRPr="00857CDA">
        <w:rPr>
          <w:lang w:val="ro-RO"/>
        </w:rPr>
        <w:t xml:space="preserve">În </w:t>
      </w:r>
      <w:r w:rsidR="00970E20" w:rsidRPr="00857CDA">
        <w:rPr>
          <w:lang w:val="ro-RO"/>
        </w:rPr>
        <w:t>ultimul</w:t>
      </w:r>
      <w:r w:rsidRPr="00857CDA">
        <w:rPr>
          <w:lang w:val="ro-RO"/>
        </w:rPr>
        <w:t xml:space="preserve"> </w:t>
      </w:r>
      <w:r w:rsidR="00970E20" w:rsidRPr="00857CDA">
        <w:rPr>
          <w:lang w:val="ro-RO"/>
        </w:rPr>
        <w:t>paragraf</w:t>
      </w:r>
      <w:r w:rsidRPr="00857CDA">
        <w:rPr>
          <w:lang w:val="ro-RO"/>
        </w:rPr>
        <w:t xml:space="preserve">, </w:t>
      </w:r>
      <w:r w:rsidR="00EF7A19" w:rsidRPr="00857CDA">
        <w:rPr>
          <w:lang w:val="ro-RO"/>
        </w:rPr>
        <w:t>s</w:t>
      </w:r>
      <w:r w:rsidR="00902C44" w:rsidRPr="00857CDA">
        <w:rPr>
          <w:lang w:val="ro-RO"/>
        </w:rPr>
        <w:t>e modifică</w:t>
      </w:r>
      <w:r w:rsidR="001F3ADD" w:rsidRPr="00857CDA">
        <w:rPr>
          <w:lang w:val="ro-RO"/>
        </w:rPr>
        <w:t>:</w:t>
      </w:r>
      <w:r w:rsidRPr="00857CDA">
        <w:rPr>
          <w:lang w:val="ro-RO"/>
        </w:rPr>
        <w:t xml:space="preserve"> </w:t>
      </w:r>
      <w:r w:rsidR="00F27B4E" w:rsidRPr="00857CDA">
        <w:rPr>
          <w:lang w:val="ro-RO"/>
        </w:rPr>
        <w:t>„</w:t>
      </w:r>
      <w:r w:rsidR="002B679C" w:rsidRPr="00857CDA">
        <w:rPr>
          <w:lang w:val="ro-RO"/>
        </w:rPr>
        <w:t>risc</w:t>
      </w:r>
      <w:r w:rsidRPr="00857CDA">
        <w:rPr>
          <w:lang w:val="ro-RO"/>
        </w:rPr>
        <w:t>(</w:t>
      </w:r>
      <w:r w:rsidR="00F27B4E" w:rsidRPr="00857CDA">
        <w:rPr>
          <w:lang w:val="ro-RO"/>
        </w:rPr>
        <w:t>uri</w:t>
      </w:r>
      <w:r w:rsidRPr="00857CDA">
        <w:rPr>
          <w:lang w:val="ro-RO"/>
        </w:rPr>
        <w:t>)</w:t>
      </w:r>
      <w:r w:rsidR="00660131" w:rsidRPr="00857CDA">
        <w:rPr>
          <w:lang w:val="ro-RO"/>
        </w:rPr>
        <w:t>”</w:t>
      </w:r>
      <w:r w:rsidR="00902C44" w:rsidRPr="00857CDA">
        <w:rPr>
          <w:lang w:val="ro-RO"/>
        </w:rPr>
        <w:t xml:space="preserve"> cu </w:t>
      </w:r>
      <w:r w:rsidR="00660131" w:rsidRPr="00857CDA">
        <w:rPr>
          <w:lang w:val="ro-RO"/>
        </w:rPr>
        <w:t>“</w:t>
      </w:r>
      <w:r w:rsidR="002B679C" w:rsidRPr="00857CDA">
        <w:rPr>
          <w:lang w:val="ro-RO"/>
        </w:rPr>
        <w:t>pericol</w:t>
      </w:r>
      <w:r w:rsidRPr="00857CDA">
        <w:rPr>
          <w:lang w:val="ro-RO"/>
        </w:rPr>
        <w:t>(</w:t>
      </w:r>
      <w:r w:rsidR="00F27B4E" w:rsidRPr="00857CDA">
        <w:rPr>
          <w:lang w:val="ro-RO"/>
        </w:rPr>
        <w:t>e</w:t>
      </w:r>
      <w:r w:rsidRPr="00857CDA">
        <w:rPr>
          <w:lang w:val="ro-RO"/>
        </w:rPr>
        <w:t>)</w:t>
      </w:r>
      <w:r w:rsidR="00660131" w:rsidRPr="00857CDA">
        <w:rPr>
          <w:lang w:val="ro-RO"/>
        </w:rPr>
        <w:t>”</w:t>
      </w:r>
      <w:r w:rsidR="001F3ADD" w:rsidRPr="00857CDA">
        <w:rPr>
          <w:lang w:val="ro-RO"/>
        </w:rPr>
        <w:t xml:space="preserve">, </w:t>
      </w:r>
      <w:r w:rsidRPr="00857CDA">
        <w:rPr>
          <w:lang w:val="ro-RO"/>
        </w:rPr>
        <w:t xml:space="preserve"> </w:t>
      </w:r>
      <w:r w:rsidR="001F3ADD" w:rsidRPr="00857CDA">
        <w:rPr>
          <w:lang w:val="ro-RO"/>
        </w:rPr>
        <w:t>„riscului” cu “pericolului” și „riscurilor” cu “pericolelor”</w:t>
      </w:r>
      <w:r w:rsidRPr="00857CDA">
        <w:rPr>
          <w:lang w:val="ro-RO"/>
        </w:rPr>
        <w:t>.</w:t>
      </w:r>
    </w:p>
    <w:p w:rsidR="00075B3E" w:rsidRPr="00857CDA" w:rsidRDefault="00075B3E" w:rsidP="00196C06">
      <w:pPr>
        <w:spacing w:before="120" w:after="120" w:line="240" w:lineRule="auto"/>
        <w:ind w:left="1134" w:right="1134"/>
        <w:jc w:val="both"/>
        <w:rPr>
          <w:lang w:val="ro-RO" w:eastAsia="en-GB"/>
        </w:rPr>
      </w:pPr>
      <w:r w:rsidRPr="00857CDA">
        <w:rPr>
          <w:lang w:val="ro-RO"/>
        </w:rPr>
        <w:t>2.2.3.1.6</w:t>
      </w:r>
      <w:r w:rsidRPr="00857CDA">
        <w:rPr>
          <w:lang w:val="ro-RO"/>
        </w:rPr>
        <w:tab/>
      </w:r>
      <w:r w:rsidR="001E35B9" w:rsidRPr="00857CDA">
        <w:rPr>
          <w:lang w:val="ro-RO"/>
        </w:rPr>
        <w:t>La sfârșit, s</w:t>
      </w:r>
      <w:r w:rsidR="001E35B9" w:rsidRPr="00857CDA">
        <w:rPr>
          <w:lang w:val="ro-RO" w:eastAsia="en-GB"/>
        </w:rPr>
        <w:t>e modifică</w:t>
      </w:r>
      <w:r w:rsidR="001E35B9" w:rsidRPr="00857CDA">
        <w:rPr>
          <w:lang w:val="ro-RO"/>
        </w:rPr>
        <w:t xml:space="preserve"> „</w:t>
      </w:r>
      <w:r w:rsidR="002010E6" w:rsidRPr="00857CDA">
        <w:rPr>
          <w:lang w:val="ro-RO"/>
        </w:rPr>
        <w:t>periculozităţii lor reale</w:t>
      </w:r>
      <w:r w:rsidR="001E35B9" w:rsidRPr="00857CDA">
        <w:rPr>
          <w:lang w:val="ro-RO"/>
        </w:rPr>
        <w:t>” cu „pericol</w:t>
      </w:r>
      <w:r w:rsidR="002010E6" w:rsidRPr="00857CDA">
        <w:rPr>
          <w:lang w:val="ro-RO"/>
        </w:rPr>
        <w:t>ului lor real</w:t>
      </w:r>
      <w:r w:rsidR="001E35B9" w:rsidRPr="00857CDA">
        <w:rPr>
          <w:lang w:val="ro-RO"/>
        </w:rPr>
        <w:t>”</w:t>
      </w:r>
      <w:r w:rsidR="001E35B9" w:rsidRPr="00857CDA">
        <w:rPr>
          <w:lang w:val="ro-RO" w:eastAsia="en-GB"/>
        </w:rPr>
        <w:t>.</w:t>
      </w:r>
    </w:p>
    <w:p w:rsidR="00075B3E" w:rsidRPr="00857CDA" w:rsidRDefault="00740E65" w:rsidP="00740E65">
      <w:pPr>
        <w:tabs>
          <w:tab w:val="left" w:pos="2268"/>
        </w:tabs>
        <w:spacing w:before="120" w:after="120" w:line="240" w:lineRule="auto"/>
        <w:ind w:left="1134" w:right="1134"/>
        <w:jc w:val="both"/>
        <w:rPr>
          <w:lang w:val="ro-RO" w:eastAsia="en-GB"/>
        </w:rPr>
      </w:pPr>
      <w:r w:rsidRPr="00857CDA">
        <w:rPr>
          <w:lang w:val="ro-RO" w:eastAsia="en-GB"/>
        </w:rPr>
        <w:t>2.2.3.3</w:t>
      </w:r>
      <w:r w:rsidR="00075B3E" w:rsidRPr="00857CDA">
        <w:rPr>
          <w:lang w:val="ro-RO" w:eastAsia="en-GB"/>
        </w:rPr>
        <w:tab/>
      </w:r>
      <w:r w:rsidR="00991390" w:rsidRPr="00857CDA">
        <w:rPr>
          <w:lang w:val="ro-RO" w:eastAsia="en-GB"/>
        </w:rPr>
        <w:t>Pentru</w:t>
      </w:r>
      <w:r w:rsidR="00075B3E" w:rsidRPr="00857CDA">
        <w:rPr>
          <w:lang w:val="ro-RO" w:eastAsia="en-GB"/>
        </w:rPr>
        <w:t xml:space="preserve"> </w:t>
      </w:r>
      <w:r w:rsidR="00660131" w:rsidRPr="00857CDA">
        <w:rPr>
          <w:lang w:val="ro-RO"/>
        </w:rPr>
        <w:t>„</w:t>
      </w:r>
      <w:r w:rsidR="00075B3E" w:rsidRPr="00857CDA">
        <w:rPr>
          <w:lang w:val="ro-RO" w:eastAsia="en-GB"/>
        </w:rPr>
        <w:t>F</w:t>
      </w:r>
      <w:r w:rsidR="00660131" w:rsidRPr="00857CDA">
        <w:rPr>
          <w:lang w:val="ro-RO" w:eastAsia="en-GB"/>
        </w:rPr>
        <w:t>”</w:t>
      </w:r>
      <w:r w:rsidR="00075B3E" w:rsidRPr="00857CDA">
        <w:rPr>
          <w:lang w:val="ro-RO" w:eastAsia="en-GB"/>
        </w:rPr>
        <w:t xml:space="preserve">, </w:t>
      </w:r>
      <w:r w:rsidR="00902C44" w:rsidRPr="00857CDA">
        <w:rPr>
          <w:lang w:val="ro-RO" w:eastAsia="en-GB"/>
        </w:rPr>
        <w:t>Se modifică</w:t>
      </w:r>
      <w:r w:rsidR="00075B3E" w:rsidRPr="00857CDA">
        <w:rPr>
          <w:lang w:val="ro-RO" w:eastAsia="en-GB"/>
        </w:rPr>
        <w:t xml:space="preserve"> </w:t>
      </w:r>
      <w:r w:rsidR="00660131" w:rsidRPr="00857CDA">
        <w:rPr>
          <w:lang w:val="ro-RO"/>
        </w:rPr>
        <w:t>„</w:t>
      </w:r>
      <w:r w:rsidR="002B679C" w:rsidRPr="00857CDA">
        <w:rPr>
          <w:lang w:val="ro-RO" w:eastAsia="en-GB"/>
        </w:rPr>
        <w:t>risc</w:t>
      </w:r>
      <w:r w:rsidR="00660131" w:rsidRPr="00857CDA">
        <w:rPr>
          <w:lang w:val="ro-RO" w:eastAsia="en-GB"/>
        </w:rPr>
        <w:t>”</w:t>
      </w:r>
      <w:r w:rsidR="00902C44" w:rsidRPr="00857CDA">
        <w:rPr>
          <w:lang w:val="ro-RO" w:eastAsia="en-GB"/>
        </w:rPr>
        <w:t xml:space="preserve"> cu </w:t>
      </w:r>
      <w:r w:rsidR="00660131" w:rsidRPr="00857CDA">
        <w:rPr>
          <w:lang w:val="ro-RO"/>
        </w:rPr>
        <w:t>„</w:t>
      </w:r>
      <w:r w:rsidR="002B679C" w:rsidRPr="00857CDA">
        <w:rPr>
          <w:lang w:val="ro-RO" w:eastAsia="en-GB"/>
        </w:rPr>
        <w:t>pericol</w:t>
      </w:r>
      <w:r w:rsidR="00660131" w:rsidRPr="00857CDA">
        <w:rPr>
          <w:lang w:val="ro-RO" w:eastAsia="en-GB"/>
        </w:rPr>
        <w:t>”</w:t>
      </w:r>
      <w:r w:rsidR="00075B3E" w:rsidRPr="00857CDA">
        <w:rPr>
          <w:lang w:val="ro-RO" w:eastAsia="en-GB"/>
        </w:rPr>
        <w:t xml:space="preserve">. </w:t>
      </w:r>
      <w:r w:rsidR="00991390" w:rsidRPr="00857CDA">
        <w:rPr>
          <w:lang w:val="ro-RO" w:eastAsia="en-GB"/>
        </w:rPr>
        <w:t>Pentru</w:t>
      </w:r>
      <w:r w:rsidR="00075B3E" w:rsidRPr="00857CDA">
        <w:rPr>
          <w:lang w:val="ro-RO" w:eastAsia="en-GB"/>
        </w:rPr>
        <w:t xml:space="preserve"> </w:t>
      </w:r>
      <w:r w:rsidR="00660131" w:rsidRPr="00857CDA">
        <w:rPr>
          <w:lang w:val="ro-RO"/>
        </w:rPr>
        <w:t>„</w:t>
      </w:r>
      <w:r w:rsidR="00075B3E" w:rsidRPr="00857CDA">
        <w:rPr>
          <w:lang w:val="ro-RO" w:eastAsia="en-GB"/>
        </w:rPr>
        <w:t>FT2</w:t>
      </w:r>
      <w:r w:rsidR="00660131" w:rsidRPr="00857CDA">
        <w:rPr>
          <w:lang w:val="ro-RO" w:eastAsia="en-GB"/>
        </w:rPr>
        <w:t>”</w:t>
      </w:r>
      <w:r w:rsidR="00075B3E" w:rsidRPr="00857CDA">
        <w:rPr>
          <w:lang w:val="ro-RO" w:eastAsia="en-GB"/>
        </w:rPr>
        <w:t xml:space="preserve">, </w:t>
      </w:r>
      <w:r w:rsidR="00902C44" w:rsidRPr="00857CDA">
        <w:rPr>
          <w:lang w:val="ro-RO" w:eastAsia="en-GB"/>
        </w:rPr>
        <w:t xml:space="preserve">În </w:t>
      </w:r>
      <w:r w:rsidR="00075B3E" w:rsidRPr="00857CDA">
        <w:rPr>
          <w:lang w:val="ro-RO" w:eastAsia="en-GB"/>
        </w:rPr>
        <w:t xml:space="preserve">Nota </w:t>
      </w:r>
      <w:r w:rsidR="009E7B04" w:rsidRPr="00857CDA">
        <w:rPr>
          <w:lang w:val="ro-RO" w:eastAsia="en-GB"/>
        </w:rPr>
        <w:t xml:space="preserve">de </w:t>
      </w:r>
      <w:r w:rsidR="00991390" w:rsidRPr="00857CDA">
        <w:rPr>
          <w:lang w:val="ro-RO" w:eastAsia="en-GB"/>
        </w:rPr>
        <w:t>după</w:t>
      </w:r>
      <w:r w:rsidR="009E7B04" w:rsidRPr="00857CDA">
        <w:rPr>
          <w:lang w:val="ro-RO" w:eastAsia="en-GB"/>
        </w:rPr>
        <w:t xml:space="preserve"> diferitele</w:t>
      </w:r>
      <w:r w:rsidR="00075B3E" w:rsidRPr="00857CDA">
        <w:rPr>
          <w:lang w:val="ro-RO" w:eastAsia="en-GB"/>
        </w:rPr>
        <w:t xml:space="preserve"> rubri</w:t>
      </w:r>
      <w:r w:rsidR="009E7B04" w:rsidRPr="00857CDA">
        <w:rPr>
          <w:lang w:val="ro-RO" w:eastAsia="en-GB"/>
        </w:rPr>
        <w:t>ci</w:t>
      </w:r>
      <w:r w:rsidR="00075B3E" w:rsidRPr="00857CDA">
        <w:rPr>
          <w:lang w:val="ro-RO" w:eastAsia="en-GB"/>
        </w:rPr>
        <w:t xml:space="preserve">, </w:t>
      </w:r>
      <w:r w:rsidR="00902C44" w:rsidRPr="00857CDA">
        <w:rPr>
          <w:lang w:val="ro-RO" w:eastAsia="en-GB"/>
        </w:rPr>
        <w:t>Se modifică</w:t>
      </w:r>
      <w:r w:rsidR="00075B3E" w:rsidRPr="00857CDA">
        <w:rPr>
          <w:lang w:val="ro-RO" w:eastAsia="en-GB"/>
        </w:rPr>
        <w:t xml:space="preserve"> </w:t>
      </w:r>
      <w:r w:rsidR="00660131" w:rsidRPr="00857CDA">
        <w:rPr>
          <w:lang w:val="ro-RO"/>
        </w:rPr>
        <w:t>„</w:t>
      </w:r>
      <w:r w:rsidR="002B679C" w:rsidRPr="00857CDA">
        <w:rPr>
          <w:lang w:val="ro-RO" w:eastAsia="en-GB"/>
        </w:rPr>
        <w:t>risc</w:t>
      </w:r>
      <w:r w:rsidR="00660131" w:rsidRPr="00857CDA">
        <w:rPr>
          <w:lang w:val="ro-RO" w:eastAsia="en-GB"/>
        </w:rPr>
        <w:t>”</w:t>
      </w:r>
      <w:r w:rsidR="00902C44" w:rsidRPr="00857CDA">
        <w:rPr>
          <w:lang w:val="ro-RO" w:eastAsia="en-GB"/>
        </w:rPr>
        <w:t xml:space="preserve"> cu </w:t>
      </w:r>
      <w:r w:rsidR="00660131" w:rsidRPr="00857CDA">
        <w:rPr>
          <w:lang w:val="ro-RO"/>
        </w:rPr>
        <w:t>„</w:t>
      </w:r>
      <w:r w:rsidR="002B679C" w:rsidRPr="00857CDA">
        <w:rPr>
          <w:lang w:val="ro-RO" w:eastAsia="en-GB"/>
        </w:rPr>
        <w:t>pericol</w:t>
      </w:r>
      <w:r w:rsidR="00660131" w:rsidRPr="00857CDA">
        <w:rPr>
          <w:lang w:val="ro-RO" w:eastAsia="en-GB"/>
        </w:rPr>
        <w:t>”</w:t>
      </w:r>
      <w:r w:rsidR="00075B3E" w:rsidRPr="00857CDA">
        <w:rPr>
          <w:lang w:val="ro-RO" w:eastAsia="en-GB"/>
        </w:rPr>
        <w:t>.</w:t>
      </w:r>
    </w:p>
    <w:p w:rsidR="0066490D" w:rsidRPr="00857CDA" w:rsidRDefault="0066490D" w:rsidP="00740E65">
      <w:pPr>
        <w:tabs>
          <w:tab w:val="left" w:pos="2268"/>
        </w:tabs>
        <w:spacing w:before="120" w:after="120" w:line="240" w:lineRule="auto"/>
        <w:ind w:left="1134" w:right="1134"/>
        <w:jc w:val="both"/>
        <w:rPr>
          <w:iCs/>
          <w:lang w:val="ro-RO"/>
        </w:rPr>
      </w:pPr>
      <w:r w:rsidRPr="00857CDA">
        <w:rPr>
          <w:lang w:val="ro-RO" w:eastAsia="en-GB"/>
        </w:rPr>
        <w:t>2.2.3.3</w:t>
      </w:r>
      <w:r w:rsidRPr="00857CDA">
        <w:rPr>
          <w:lang w:val="ro-RO" w:eastAsia="en-GB"/>
        </w:rPr>
        <w:tab/>
      </w:r>
      <w:r w:rsidR="00902C44" w:rsidRPr="00857CDA">
        <w:rPr>
          <w:lang w:val="ro-RO" w:eastAsia="en-GB"/>
        </w:rPr>
        <w:t xml:space="preserve">În </w:t>
      </w:r>
      <w:r w:rsidR="00660131" w:rsidRPr="00857CDA">
        <w:rPr>
          <w:lang w:val="ro-RO"/>
        </w:rPr>
        <w:t>„</w:t>
      </w:r>
      <w:r w:rsidR="009E7B04" w:rsidRPr="00857CDA">
        <w:rPr>
          <w:iCs/>
          <w:lang w:val="ro-RO"/>
        </w:rPr>
        <w:t>Lista rubricilor colective</w:t>
      </w:r>
      <w:r w:rsidR="00660131" w:rsidRPr="00857CDA">
        <w:rPr>
          <w:iCs/>
          <w:lang w:val="ro-RO"/>
        </w:rPr>
        <w:t>”</w:t>
      </w:r>
      <w:r w:rsidRPr="00857CDA">
        <w:rPr>
          <w:iCs/>
          <w:lang w:val="ro-RO"/>
        </w:rPr>
        <w:t xml:space="preserve">, </w:t>
      </w:r>
      <w:r w:rsidR="00991390" w:rsidRPr="00857CDA">
        <w:rPr>
          <w:iCs/>
          <w:lang w:val="ro-RO"/>
        </w:rPr>
        <w:t>pentru</w:t>
      </w:r>
      <w:r w:rsidRPr="00857CDA">
        <w:rPr>
          <w:iCs/>
          <w:lang w:val="ro-RO"/>
        </w:rPr>
        <w:t xml:space="preserve"> </w:t>
      </w:r>
      <w:r w:rsidR="00660131" w:rsidRPr="00857CDA">
        <w:rPr>
          <w:lang w:val="ro-RO"/>
        </w:rPr>
        <w:t>„</w:t>
      </w:r>
      <w:r w:rsidRPr="00857CDA">
        <w:rPr>
          <w:iCs/>
          <w:lang w:val="ro-RO"/>
        </w:rPr>
        <w:t>Li</w:t>
      </w:r>
      <w:r w:rsidR="009E7B04" w:rsidRPr="00857CDA">
        <w:rPr>
          <w:iCs/>
          <w:lang w:val="ro-RO"/>
        </w:rPr>
        <w:t>chide</w:t>
      </w:r>
      <w:r w:rsidRPr="00857CDA">
        <w:rPr>
          <w:iCs/>
          <w:lang w:val="ro-RO"/>
        </w:rPr>
        <w:t xml:space="preserve"> inflamab</w:t>
      </w:r>
      <w:r w:rsidR="009E7B04" w:rsidRPr="00857CDA">
        <w:rPr>
          <w:iCs/>
          <w:lang w:val="ro-RO"/>
        </w:rPr>
        <w:t>i</w:t>
      </w:r>
      <w:r w:rsidRPr="00857CDA">
        <w:rPr>
          <w:iCs/>
          <w:lang w:val="ro-RO"/>
        </w:rPr>
        <w:t>le</w:t>
      </w:r>
      <w:r w:rsidR="004C27AD" w:rsidRPr="00857CDA">
        <w:rPr>
          <w:iCs/>
          <w:lang w:val="ro-RO"/>
        </w:rPr>
        <w:t xml:space="preserve"> și </w:t>
      </w:r>
      <w:r w:rsidRPr="00857CDA">
        <w:rPr>
          <w:iCs/>
          <w:lang w:val="ro-RO"/>
        </w:rPr>
        <w:t>ob</w:t>
      </w:r>
      <w:r w:rsidR="009E7B04" w:rsidRPr="00857CDA">
        <w:rPr>
          <w:iCs/>
          <w:lang w:val="ro-RO"/>
        </w:rPr>
        <w:t>i</w:t>
      </w:r>
      <w:r w:rsidRPr="00857CDA">
        <w:rPr>
          <w:iCs/>
          <w:lang w:val="ro-RO"/>
        </w:rPr>
        <w:t>e</w:t>
      </w:r>
      <w:r w:rsidR="009E7B04" w:rsidRPr="00857CDA">
        <w:rPr>
          <w:iCs/>
          <w:lang w:val="ro-RO"/>
        </w:rPr>
        <w:t>c</w:t>
      </w:r>
      <w:r w:rsidRPr="00857CDA">
        <w:rPr>
          <w:iCs/>
          <w:lang w:val="ro-RO"/>
        </w:rPr>
        <w:t>t</w:t>
      </w:r>
      <w:r w:rsidR="009E7B04" w:rsidRPr="00857CDA">
        <w:rPr>
          <w:iCs/>
          <w:lang w:val="ro-RO"/>
        </w:rPr>
        <w:t>e care conţin astfel de substanţe</w:t>
      </w:r>
      <w:r w:rsidR="00660131" w:rsidRPr="00857CDA">
        <w:rPr>
          <w:iCs/>
          <w:lang w:val="ro-RO"/>
        </w:rPr>
        <w:t>”</w:t>
      </w:r>
      <w:r w:rsidRPr="00857CDA">
        <w:rPr>
          <w:iCs/>
          <w:lang w:val="ro-RO"/>
        </w:rPr>
        <w:t xml:space="preserve">, </w:t>
      </w:r>
      <w:r w:rsidR="00991390" w:rsidRPr="00857CDA">
        <w:rPr>
          <w:iCs/>
          <w:lang w:val="ro-RO"/>
        </w:rPr>
        <w:t>pentru</w:t>
      </w:r>
      <w:r w:rsidRPr="00857CDA">
        <w:rPr>
          <w:iCs/>
          <w:lang w:val="ro-RO"/>
        </w:rPr>
        <w:t xml:space="preserve"> </w:t>
      </w:r>
      <w:r w:rsidR="00660131" w:rsidRPr="00857CDA">
        <w:rPr>
          <w:lang w:val="ro-RO"/>
        </w:rPr>
        <w:t>„</w:t>
      </w:r>
      <w:r w:rsidRPr="00857CDA">
        <w:rPr>
          <w:iCs/>
          <w:lang w:val="ro-RO"/>
        </w:rPr>
        <w:t>F3</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660131" w:rsidRPr="00857CDA">
        <w:rPr>
          <w:lang w:val="ro-RO"/>
        </w:rPr>
        <w:t>„</w:t>
      </w:r>
      <w:r w:rsidRPr="00857CDA">
        <w:rPr>
          <w:iCs/>
          <w:lang w:val="ro-RO"/>
        </w:rPr>
        <w:t xml:space="preserve">3540 </w:t>
      </w:r>
      <w:r w:rsidR="00350067" w:rsidRPr="00857CDA">
        <w:rPr>
          <w:lang w:val="ro-RO"/>
        </w:rPr>
        <w:t>OBIECTE CARE CONȚIN LICHID INFLAMABIL, N.S.A.</w:t>
      </w:r>
      <w:r w:rsidR="00660131" w:rsidRPr="00857CDA">
        <w:rPr>
          <w:iCs/>
          <w:lang w:val="ro-RO"/>
        </w:rPr>
        <w:t>”</w:t>
      </w:r>
      <w:r w:rsidRPr="00857CDA">
        <w:rPr>
          <w:iCs/>
          <w:lang w:val="ro-RO"/>
        </w:rPr>
        <w:t>.</w:t>
      </w:r>
    </w:p>
    <w:p w:rsidR="0013579B" w:rsidRPr="00857CDA" w:rsidRDefault="0013579B" w:rsidP="0013579B">
      <w:pPr>
        <w:pStyle w:val="SingleTxtG"/>
        <w:spacing w:before="120"/>
        <w:rPr>
          <w:lang w:val="ro-RO"/>
        </w:rPr>
      </w:pPr>
      <w:r w:rsidRPr="00857CDA">
        <w:rPr>
          <w:lang w:val="ro-RO"/>
        </w:rPr>
        <w:t>2.2.41.1.2</w:t>
      </w:r>
      <w:r w:rsidRPr="00857CDA">
        <w:rPr>
          <w:lang w:val="ro-RO"/>
        </w:rPr>
        <w:tab/>
      </w:r>
      <w:r w:rsidR="00991390" w:rsidRPr="00857CDA">
        <w:rPr>
          <w:lang w:val="ro-RO"/>
        </w:rPr>
        <w:t>Pentru</w:t>
      </w:r>
      <w:r w:rsidRPr="00857CDA">
        <w:rPr>
          <w:lang w:val="ro-RO"/>
        </w:rPr>
        <w:t xml:space="preserve"> sub</w:t>
      </w:r>
      <w:r w:rsidR="009E7B04" w:rsidRPr="00857CDA">
        <w:rPr>
          <w:lang w:val="ro-RO"/>
        </w:rPr>
        <w:t>-</w:t>
      </w:r>
      <w:r w:rsidRPr="00857CDA">
        <w:rPr>
          <w:lang w:val="ro-RO"/>
        </w:rPr>
        <w:t>divi</w:t>
      </w:r>
      <w:r w:rsidR="009E7B04" w:rsidRPr="00857CDA">
        <w:rPr>
          <w:lang w:val="ro-RO"/>
        </w:rPr>
        <w:t>z</w:t>
      </w:r>
      <w:r w:rsidRPr="00857CDA">
        <w:rPr>
          <w:lang w:val="ro-RO"/>
        </w:rPr>
        <w:t>i</w:t>
      </w:r>
      <w:r w:rsidR="009E7B04" w:rsidRPr="00857CDA">
        <w:rPr>
          <w:lang w:val="ro-RO"/>
        </w:rPr>
        <w:t>unea</w:t>
      </w:r>
      <w:r w:rsidRPr="00857CDA">
        <w:rPr>
          <w:lang w:val="ro-RO"/>
        </w:rPr>
        <w:t xml:space="preserve"> </w:t>
      </w:r>
      <w:r w:rsidR="00660131" w:rsidRPr="00857CDA">
        <w:rPr>
          <w:lang w:val="ro-RO"/>
        </w:rPr>
        <w:t>„</w:t>
      </w:r>
      <w:r w:rsidRPr="00857CDA">
        <w:rPr>
          <w:lang w:val="ro-RO"/>
        </w:rPr>
        <w:t>F</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660131"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660131" w:rsidRPr="00857CDA">
        <w:rPr>
          <w:lang w:val="ro-RO"/>
        </w:rPr>
        <w:t>„</w:t>
      </w:r>
      <w:r w:rsidR="002B679C" w:rsidRPr="00857CDA">
        <w:rPr>
          <w:lang w:val="ro-RO"/>
        </w:rPr>
        <w:t>pericol</w:t>
      </w:r>
      <w:r w:rsidR="00660131" w:rsidRPr="00857CDA">
        <w:rPr>
          <w:lang w:val="ro-RO"/>
        </w:rPr>
        <w:t>”</w:t>
      </w:r>
      <w:r w:rsidRPr="00857CDA">
        <w:rPr>
          <w:lang w:val="ro-RO"/>
        </w:rPr>
        <w:t xml:space="preserve">. </w:t>
      </w:r>
      <w:r w:rsidR="00991390" w:rsidRPr="00857CDA">
        <w:rPr>
          <w:lang w:val="ro-RO"/>
        </w:rPr>
        <w:t>Pentru</w:t>
      </w:r>
      <w:r w:rsidR="009E7B04" w:rsidRPr="00857CDA">
        <w:rPr>
          <w:lang w:val="ro-RO"/>
        </w:rPr>
        <w:t xml:space="preserve"> </w:t>
      </w:r>
      <w:r w:rsidRPr="00857CDA">
        <w:rPr>
          <w:lang w:val="ro-RO"/>
        </w:rPr>
        <w:t>sub</w:t>
      </w:r>
      <w:r w:rsidR="009E7B04" w:rsidRPr="00857CDA">
        <w:rPr>
          <w:lang w:val="ro-RO"/>
        </w:rPr>
        <w:t>-</w:t>
      </w:r>
      <w:r w:rsidRPr="00857CDA">
        <w:rPr>
          <w:lang w:val="ro-RO"/>
        </w:rPr>
        <w:t>divi</w:t>
      </w:r>
      <w:r w:rsidR="009E7B04" w:rsidRPr="00857CDA">
        <w:rPr>
          <w:lang w:val="ro-RO"/>
        </w:rPr>
        <w:t>z</w:t>
      </w:r>
      <w:r w:rsidRPr="00857CDA">
        <w:rPr>
          <w:lang w:val="ro-RO"/>
        </w:rPr>
        <w:t>i</w:t>
      </w:r>
      <w:r w:rsidR="009E7B04" w:rsidRPr="00857CDA">
        <w:rPr>
          <w:lang w:val="ro-RO"/>
        </w:rPr>
        <w:t>unea</w:t>
      </w:r>
      <w:r w:rsidRPr="00857CDA">
        <w:rPr>
          <w:lang w:val="ro-RO"/>
        </w:rPr>
        <w:t xml:space="preserve"> </w:t>
      </w:r>
      <w:r w:rsidR="00660131" w:rsidRPr="00857CDA">
        <w:rPr>
          <w:lang w:val="ro-RO"/>
        </w:rPr>
        <w:t>„</w:t>
      </w:r>
      <w:r w:rsidRPr="00857CDA">
        <w:rPr>
          <w:lang w:val="ro-RO"/>
        </w:rPr>
        <w:t>D</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660131"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660131" w:rsidRPr="00857CDA">
        <w:rPr>
          <w:lang w:val="ro-RO"/>
        </w:rPr>
        <w:t>„</w:t>
      </w:r>
      <w:r w:rsidR="002B679C" w:rsidRPr="00857CDA">
        <w:rPr>
          <w:lang w:val="ro-RO"/>
        </w:rPr>
        <w:t>pericol</w:t>
      </w:r>
      <w:r w:rsidR="00660131" w:rsidRPr="00857CDA">
        <w:rPr>
          <w:lang w:val="ro-RO"/>
        </w:rPr>
        <w:t>”</w:t>
      </w:r>
      <w:r w:rsidRPr="00857CDA">
        <w:rPr>
          <w:lang w:val="ro-RO"/>
        </w:rPr>
        <w:t>.</w:t>
      </w:r>
    </w:p>
    <w:p w:rsidR="003101CB" w:rsidRPr="00857CDA" w:rsidRDefault="003101CB" w:rsidP="003101CB">
      <w:pPr>
        <w:pStyle w:val="SingleTxtG"/>
        <w:spacing w:before="120"/>
        <w:rPr>
          <w:lang w:val="ro-RO"/>
        </w:rPr>
      </w:pPr>
      <w:r w:rsidRPr="00857CDA">
        <w:rPr>
          <w:lang w:val="ro-RO"/>
        </w:rPr>
        <w:t>2.2.41.1.12</w:t>
      </w:r>
      <w:r w:rsidRPr="00857CDA">
        <w:rPr>
          <w:lang w:val="ro-RO"/>
        </w:rPr>
        <w:tab/>
      </w:r>
      <w:r w:rsidR="009E7B04" w:rsidRPr="00857CDA">
        <w:rPr>
          <w:lang w:val="ro-RO"/>
        </w:rPr>
        <w:t>L</w:t>
      </w:r>
      <w:r w:rsidRPr="00857CDA">
        <w:rPr>
          <w:lang w:val="ro-RO"/>
        </w:rPr>
        <w:t xml:space="preserve">a </w:t>
      </w:r>
      <w:r w:rsidR="009E7B04" w:rsidRPr="00857CDA">
        <w:rPr>
          <w:lang w:val="ro-RO"/>
        </w:rPr>
        <w:t>sfârșitul</w:t>
      </w:r>
      <w:r w:rsidRPr="00857CDA">
        <w:rPr>
          <w:lang w:val="ro-RO"/>
        </w:rPr>
        <w:t xml:space="preserve"> pri</w:t>
      </w:r>
      <w:r w:rsidR="009E7B04" w:rsidRPr="00857CDA">
        <w:rPr>
          <w:lang w:val="ro-RO"/>
        </w:rPr>
        <w:t>mului</w:t>
      </w:r>
      <w:r w:rsidRPr="00857CDA">
        <w:rPr>
          <w:lang w:val="ro-RO"/>
        </w:rPr>
        <w:t xml:space="preserve"> </w:t>
      </w:r>
      <w:r w:rsidR="00970E20" w:rsidRPr="00857CDA">
        <w:rPr>
          <w:lang w:val="ro-RO"/>
        </w:rPr>
        <w:t>paragraf</w:t>
      </w:r>
      <w:r w:rsidRPr="00857CDA">
        <w:rPr>
          <w:lang w:val="ro-RO"/>
        </w:rPr>
        <w:t xml:space="preserve">, </w:t>
      </w:r>
      <w:r w:rsidR="00902C44" w:rsidRPr="00857CDA">
        <w:rPr>
          <w:lang w:val="ro-RO"/>
        </w:rPr>
        <w:t>Se modifică</w:t>
      </w:r>
      <w:r w:rsidRPr="00857CDA">
        <w:rPr>
          <w:lang w:val="ro-RO"/>
        </w:rPr>
        <w:t xml:space="preserve"> </w:t>
      </w:r>
      <w:r w:rsidR="00660131" w:rsidRPr="00857CDA">
        <w:rPr>
          <w:lang w:val="ro-RO"/>
        </w:rPr>
        <w:t>„</w:t>
      </w:r>
      <w:r w:rsidR="002B679C" w:rsidRPr="00857CDA">
        <w:rPr>
          <w:lang w:val="ro-RO"/>
        </w:rPr>
        <w:t>riscuri</w:t>
      </w:r>
      <w:r w:rsidR="009E7B04" w:rsidRPr="00857CDA">
        <w:rPr>
          <w:lang w:val="ro-RO"/>
        </w:rPr>
        <w:t>lor</w:t>
      </w:r>
      <w:r w:rsidR="00660131" w:rsidRPr="00857CDA">
        <w:rPr>
          <w:lang w:val="ro-RO"/>
        </w:rPr>
        <w:t>”</w:t>
      </w:r>
      <w:r w:rsidR="00902C44" w:rsidRPr="00857CDA">
        <w:rPr>
          <w:lang w:val="ro-RO"/>
        </w:rPr>
        <w:t xml:space="preserve"> cu </w:t>
      </w:r>
      <w:r w:rsidR="00660131" w:rsidRPr="00857CDA">
        <w:rPr>
          <w:lang w:val="ro-RO"/>
        </w:rPr>
        <w:t>„</w:t>
      </w:r>
      <w:r w:rsidR="002B679C" w:rsidRPr="00857CDA">
        <w:rPr>
          <w:lang w:val="ro-RO"/>
        </w:rPr>
        <w:t>pericole</w:t>
      </w:r>
      <w:r w:rsidR="009E7B04" w:rsidRPr="00857CDA">
        <w:rPr>
          <w:lang w:val="ro-RO"/>
        </w:rPr>
        <w:t>lor</w:t>
      </w:r>
      <w:r w:rsidR="00660131" w:rsidRPr="00857CDA">
        <w:rPr>
          <w:lang w:val="ro-RO"/>
        </w:rPr>
        <w:t>”</w:t>
      </w:r>
      <w:r w:rsidRPr="00857CDA">
        <w:rPr>
          <w:lang w:val="ro-RO"/>
        </w:rPr>
        <w:t>.</w:t>
      </w:r>
    </w:p>
    <w:p w:rsidR="003101CB" w:rsidRPr="00857CDA" w:rsidRDefault="003101CB" w:rsidP="00C77339">
      <w:pPr>
        <w:pStyle w:val="SingleTxtG"/>
        <w:spacing w:before="120"/>
        <w:rPr>
          <w:lang w:val="ro-RO"/>
        </w:rPr>
      </w:pPr>
      <w:r w:rsidRPr="00857CDA">
        <w:rPr>
          <w:lang w:val="ro-RO"/>
        </w:rPr>
        <w:t>2.2.41.1.17</w:t>
      </w:r>
      <w:r w:rsidRPr="00857CDA">
        <w:rPr>
          <w:lang w:val="ro-RO"/>
        </w:rPr>
        <w:tab/>
      </w:r>
      <w:r w:rsidR="002B679C" w:rsidRPr="00857CDA">
        <w:rPr>
          <w:lang w:val="ro-RO"/>
        </w:rPr>
        <w:t>Se modifică, după cum urmează</w:t>
      </w:r>
      <w:r w:rsidR="00091658" w:rsidRPr="00857CDA">
        <w:rPr>
          <w:lang w:val="ro-RO"/>
        </w:rPr>
        <w:t>:</w:t>
      </w:r>
    </w:p>
    <w:p w:rsidR="003101CB" w:rsidRPr="00857CDA" w:rsidRDefault="00660131" w:rsidP="003101CB">
      <w:pPr>
        <w:pStyle w:val="SingleTxtG"/>
        <w:spacing w:before="120"/>
        <w:rPr>
          <w:lang w:val="ro-RO"/>
        </w:rPr>
      </w:pPr>
      <w:r w:rsidRPr="00857CDA">
        <w:rPr>
          <w:lang w:val="ro-RO"/>
        </w:rPr>
        <w:t>„</w:t>
      </w:r>
      <w:r w:rsidR="003101CB" w:rsidRPr="00857CDA">
        <w:rPr>
          <w:lang w:val="ro-RO"/>
        </w:rPr>
        <w:t>2.2.41.1.17</w:t>
      </w:r>
      <w:r w:rsidR="003101CB" w:rsidRPr="00857CDA">
        <w:rPr>
          <w:lang w:val="ro-RO"/>
        </w:rPr>
        <w:tab/>
      </w:r>
      <w:r w:rsidR="009E7B04" w:rsidRPr="00857CDA">
        <w:rPr>
          <w:lang w:val="ro-RO"/>
        </w:rPr>
        <w:t>Substanțele autoreactive ale căror TDAA nu depășește 55 °C trebuie supuse controlului temperaturii în timpul transportului. A se vedea 7.1.7.</w:t>
      </w:r>
      <w:r w:rsidRPr="00857CDA">
        <w:rPr>
          <w:lang w:val="ro-RO"/>
        </w:rPr>
        <w:t>”</w:t>
      </w:r>
      <w:r w:rsidR="003101CB" w:rsidRPr="00857CDA">
        <w:rPr>
          <w:lang w:val="ro-RO"/>
        </w:rPr>
        <w:t>.</w:t>
      </w:r>
    </w:p>
    <w:p w:rsidR="003101CB" w:rsidRPr="00857CDA" w:rsidRDefault="003101CB" w:rsidP="00CD1138">
      <w:pPr>
        <w:pStyle w:val="SingleTxtG"/>
        <w:spacing w:before="120"/>
        <w:rPr>
          <w:lang w:val="ro-RO"/>
        </w:rPr>
      </w:pPr>
      <w:r w:rsidRPr="00857CDA">
        <w:rPr>
          <w:lang w:val="ro-RO"/>
        </w:rPr>
        <w:t>2.2.41.1.21</w:t>
      </w:r>
      <w:r w:rsidRPr="00857CDA">
        <w:rPr>
          <w:lang w:val="ro-RO"/>
        </w:rPr>
        <w:tab/>
      </w:r>
      <w:r w:rsidR="009E7B04" w:rsidRPr="00857CDA">
        <w:rPr>
          <w:iCs/>
          <w:lang w:val="ro-RO"/>
        </w:rPr>
        <w:t>La sfârșit</w:t>
      </w:r>
      <w:r w:rsidRPr="00857CDA">
        <w:rPr>
          <w:lang w:val="ro-RO"/>
        </w:rPr>
        <w:t xml:space="preserve">, </w:t>
      </w:r>
      <w:r w:rsidR="00902C44" w:rsidRPr="00857CDA">
        <w:rPr>
          <w:lang w:val="ro-RO"/>
        </w:rPr>
        <w:t>se adaugă</w:t>
      </w:r>
      <w:r w:rsidRPr="00857CDA">
        <w:rPr>
          <w:lang w:val="ro-RO"/>
        </w:rPr>
        <w:t xml:space="preserve"> </w:t>
      </w:r>
      <w:r w:rsidR="009E7B04" w:rsidRPr="00857CDA">
        <w:rPr>
          <w:lang w:val="ro-RO"/>
        </w:rPr>
        <w:t>următorul text nou</w:t>
      </w:r>
      <w:r w:rsidR="00091658" w:rsidRPr="00857CDA">
        <w:rPr>
          <w:lang w:val="ro-RO"/>
        </w:rPr>
        <w:t>:</w:t>
      </w:r>
      <w:r w:rsidRPr="00857CDA">
        <w:rPr>
          <w:lang w:val="ro-RO"/>
        </w:rPr>
        <w:t xml:space="preserve"> </w:t>
      </w:r>
      <w:r w:rsidR="00660131" w:rsidRPr="00857CDA">
        <w:rPr>
          <w:lang w:val="ro-RO"/>
        </w:rPr>
        <w:t>„A se vedea</w:t>
      </w:r>
      <w:r w:rsidRPr="00857CDA">
        <w:rPr>
          <w:lang w:val="ro-RO"/>
        </w:rPr>
        <w:t xml:space="preserve"> 7.1.7.</w:t>
      </w:r>
      <w:r w:rsidR="00660131" w:rsidRPr="00857CDA">
        <w:rPr>
          <w:lang w:val="ro-RO"/>
        </w:rPr>
        <w:t>”</w:t>
      </w:r>
      <w:r w:rsidRPr="00857CDA">
        <w:rPr>
          <w:lang w:val="ro-RO"/>
        </w:rPr>
        <w:t>.</w:t>
      </w:r>
    </w:p>
    <w:p w:rsidR="004215F5" w:rsidRPr="00857CDA" w:rsidRDefault="004215F5" w:rsidP="00CD1138">
      <w:pPr>
        <w:pStyle w:val="SingleTxtG"/>
        <w:rPr>
          <w:lang w:val="ro-RO"/>
        </w:rPr>
      </w:pPr>
      <w:r w:rsidRPr="00857CDA">
        <w:rPr>
          <w:lang w:val="ro-RO"/>
        </w:rPr>
        <w:t>2.2.41.1.21</w:t>
      </w:r>
      <w:r w:rsidRPr="00857CDA">
        <w:rPr>
          <w:lang w:val="ro-RO"/>
        </w:rPr>
        <w:tab/>
      </w:r>
      <w:r w:rsidR="009E7B04" w:rsidRPr="00857CDA">
        <w:rPr>
          <w:lang w:val="ro-RO"/>
        </w:rPr>
        <w:t>La sfârșit</w:t>
      </w:r>
      <w:r w:rsidRPr="00857CDA">
        <w:rPr>
          <w:lang w:val="ro-RO"/>
        </w:rPr>
        <w:t xml:space="preserve">, </w:t>
      </w:r>
      <w:r w:rsidR="00902C44" w:rsidRPr="00857CDA">
        <w:rPr>
          <w:lang w:val="ro-RO"/>
        </w:rPr>
        <w:t>se adaugă</w:t>
      </w:r>
      <w:r w:rsidRPr="00857CDA">
        <w:rPr>
          <w:lang w:val="ro-RO"/>
        </w:rPr>
        <w:t xml:space="preserve"> Nota </w:t>
      </w:r>
      <w:r w:rsidR="009E7B04" w:rsidRPr="00857CDA">
        <w:rPr>
          <w:lang w:val="ro-RO"/>
        </w:rPr>
        <w:t>următoare</w:t>
      </w:r>
      <w:r w:rsidRPr="00857CDA">
        <w:rPr>
          <w:lang w:val="ro-RO"/>
        </w:rPr>
        <w:t>:</w:t>
      </w:r>
    </w:p>
    <w:p w:rsidR="004215F5" w:rsidRPr="00857CDA" w:rsidRDefault="00660131" w:rsidP="004215F5">
      <w:pPr>
        <w:pStyle w:val="SingleTxtG"/>
        <w:rPr>
          <w:lang w:val="ro-RO"/>
        </w:rPr>
      </w:pPr>
      <w:r w:rsidRPr="00857CDA">
        <w:rPr>
          <w:lang w:val="ro-RO"/>
        </w:rPr>
        <w:t>„</w:t>
      </w:r>
      <w:r w:rsidR="004215F5" w:rsidRPr="00857CDA">
        <w:rPr>
          <w:b/>
          <w:i/>
          <w:lang w:val="ro-RO"/>
        </w:rPr>
        <w:t>NOT</w:t>
      </w:r>
      <w:r w:rsidR="009E7B04" w:rsidRPr="00857CDA">
        <w:rPr>
          <w:b/>
          <w:i/>
          <w:lang w:val="ro-RO"/>
        </w:rPr>
        <w:t>Ă</w:t>
      </w:r>
      <w:r w:rsidR="004215F5" w:rsidRPr="00857CDA">
        <w:rPr>
          <w:b/>
          <w:i/>
          <w:lang w:val="ro-RO"/>
        </w:rPr>
        <w:t>:</w:t>
      </w:r>
      <w:r w:rsidR="004215F5" w:rsidRPr="00857CDA">
        <w:rPr>
          <w:i/>
          <w:lang w:val="ro-RO"/>
        </w:rPr>
        <w:t xml:space="preserve"> </w:t>
      </w:r>
      <w:r w:rsidR="004215F5" w:rsidRPr="00857CDA">
        <w:rPr>
          <w:i/>
          <w:lang w:val="ro-RO"/>
        </w:rPr>
        <w:tab/>
      </w:r>
      <w:r w:rsidR="009E7B04" w:rsidRPr="00857CDA">
        <w:rPr>
          <w:i/>
          <w:lang w:val="ro-RO"/>
        </w:rPr>
        <w:t>Substanțele care îndeplinesc criteriile de includere în categoria sub</w:t>
      </w:r>
      <w:r w:rsidR="007A6DD2" w:rsidRPr="00857CDA">
        <w:rPr>
          <w:i/>
          <w:lang w:val="ro-RO"/>
        </w:rPr>
        <w:t>stanțelor care polimerizează și</w:t>
      </w:r>
      <w:r w:rsidR="009E7B04" w:rsidRPr="00857CDA">
        <w:rPr>
          <w:i/>
          <w:lang w:val="ro-RO"/>
        </w:rPr>
        <w:t xml:space="preserve"> </w:t>
      </w:r>
      <w:r w:rsidR="007A6DD2" w:rsidRPr="00857CDA">
        <w:rPr>
          <w:i/>
          <w:lang w:val="ro-RO"/>
        </w:rPr>
        <w:t>de clasificare în clasele 1 - 8</w:t>
      </w:r>
      <w:r w:rsidR="009E7B04" w:rsidRPr="00857CDA">
        <w:rPr>
          <w:i/>
          <w:lang w:val="ro-RO"/>
        </w:rPr>
        <w:t xml:space="preserve"> trebuie să îndeplinească </w:t>
      </w:r>
      <w:r w:rsidR="007A6DD2" w:rsidRPr="00857CDA">
        <w:rPr>
          <w:i/>
          <w:lang w:val="ro-RO"/>
        </w:rPr>
        <w:t>prescripțiile d</w:t>
      </w:r>
      <w:r w:rsidR="009E7B04" w:rsidRPr="00857CDA">
        <w:rPr>
          <w:i/>
          <w:lang w:val="ro-RO"/>
        </w:rPr>
        <w:t>ispoziției speciale 386 din Capitolul 3.3.</w:t>
      </w:r>
      <w:r w:rsidRPr="00857CDA">
        <w:rPr>
          <w:lang w:val="ro-RO"/>
        </w:rPr>
        <w:t>”</w:t>
      </w:r>
      <w:r w:rsidR="004215F5" w:rsidRPr="00857CDA">
        <w:rPr>
          <w:lang w:val="ro-RO"/>
        </w:rPr>
        <w:t>.</w:t>
      </w:r>
    </w:p>
    <w:p w:rsidR="003101CB" w:rsidRPr="00857CDA" w:rsidRDefault="003101CB" w:rsidP="003101CB">
      <w:pPr>
        <w:pStyle w:val="SingleTxtG"/>
        <w:spacing w:before="120"/>
        <w:rPr>
          <w:iCs/>
          <w:lang w:val="ro-RO"/>
        </w:rPr>
      </w:pPr>
      <w:r w:rsidRPr="00857CDA">
        <w:rPr>
          <w:lang w:val="ro-RO"/>
        </w:rPr>
        <w:t>2.2.41.3</w:t>
      </w:r>
      <w:r w:rsidRPr="00857CDA">
        <w:rPr>
          <w:lang w:val="ro-RO"/>
        </w:rPr>
        <w:tab/>
      </w:r>
      <w:r w:rsidR="00902C44" w:rsidRPr="00857CDA">
        <w:rPr>
          <w:lang w:val="ro-RO" w:eastAsia="en-GB"/>
        </w:rPr>
        <w:t>În</w:t>
      </w:r>
      <w:r w:rsidRPr="00857CDA">
        <w:rPr>
          <w:lang w:val="ro-RO" w:eastAsia="en-GB"/>
        </w:rPr>
        <w:t xml:space="preserve"> </w:t>
      </w:r>
      <w:r w:rsidR="00660131" w:rsidRPr="00857CDA">
        <w:rPr>
          <w:lang w:val="ro-RO"/>
        </w:rPr>
        <w:t>„</w:t>
      </w:r>
      <w:r w:rsidR="007A6DD2" w:rsidRPr="00857CDA">
        <w:rPr>
          <w:iCs/>
          <w:lang w:val="ro-RO"/>
        </w:rPr>
        <w:t>Lista rubricilor colective</w:t>
      </w:r>
      <w:r w:rsidR="00660131" w:rsidRPr="00857CDA">
        <w:rPr>
          <w:iCs/>
          <w:lang w:val="ro-RO"/>
        </w:rPr>
        <w:t>”</w:t>
      </w:r>
      <w:r w:rsidRPr="00857CDA">
        <w:rPr>
          <w:iCs/>
          <w:lang w:val="ro-RO"/>
        </w:rPr>
        <w:t xml:space="preserve">, </w:t>
      </w:r>
      <w:r w:rsidR="00991390" w:rsidRPr="00857CDA">
        <w:rPr>
          <w:iCs/>
          <w:lang w:val="ro-RO"/>
        </w:rPr>
        <w:t>pentru</w:t>
      </w:r>
      <w:r w:rsidRPr="00857CDA">
        <w:rPr>
          <w:iCs/>
          <w:lang w:val="ro-RO"/>
        </w:rPr>
        <w:t xml:space="preserve"> </w:t>
      </w:r>
      <w:r w:rsidR="00660131" w:rsidRPr="00857CDA">
        <w:rPr>
          <w:lang w:val="ro-RO"/>
        </w:rPr>
        <w:t>„</w:t>
      </w:r>
      <w:r w:rsidR="007A6DD2" w:rsidRPr="00857CDA">
        <w:rPr>
          <w:iCs/>
          <w:lang w:val="ro-RO"/>
        </w:rPr>
        <w:t>Substanțe solide inflamabile</w:t>
      </w:r>
      <w:r w:rsidR="00660131" w:rsidRPr="00857CDA">
        <w:rPr>
          <w:iCs/>
          <w:lang w:val="ro-RO"/>
        </w:rPr>
        <w:t>”</w:t>
      </w:r>
      <w:r w:rsidR="004C27AD" w:rsidRPr="00857CDA">
        <w:rPr>
          <w:iCs/>
          <w:lang w:val="ro-RO"/>
        </w:rPr>
        <w:t xml:space="preserve"> și </w:t>
      </w:r>
      <w:r w:rsidR="00991390" w:rsidRPr="00857CDA">
        <w:rPr>
          <w:iCs/>
          <w:lang w:val="ro-RO"/>
        </w:rPr>
        <w:t>pentru</w:t>
      </w:r>
      <w:r w:rsidRPr="00857CDA">
        <w:rPr>
          <w:iCs/>
          <w:lang w:val="ro-RO"/>
        </w:rPr>
        <w:t xml:space="preserve"> </w:t>
      </w:r>
      <w:r w:rsidR="00660131" w:rsidRPr="00857CDA">
        <w:rPr>
          <w:lang w:val="ro-RO"/>
        </w:rPr>
        <w:t>„</w:t>
      </w:r>
      <w:r w:rsidR="007A6DD2" w:rsidRPr="00857CDA">
        <w:rPr>
          <w:iCs/>
          <w:lang w:val="ro-RO"/>
        </w:rPr>
        <w:t>Solide desensibilizate explozive</w:t>
      </w:r>
      <w:r w:rsidR="00660131" w:rsidRPr="00857CDA">
        <w:rPr>
          <w:iCs/>
          <w:lang w:val="ro-RO"/>
        </w:rPr>
        <w:t>”</w:t>
      </w:r>
      <w:r w:rsidRPr="00857CDA">
        <w:rPr>
          <w:iCs/>
          <w:lang w:val="ro-RO"/>
        </w:rPr>
        <w:t xml:space="preserve">, </w:t>
      </w:r>
      <w:r w:rsidR="00902C44" w:rsidRPr="00857CDA">
        <w:rPr>
          <w:iCs/>
          <w:lang w:val="ro-RO"/>
        </w:rPr>
        <w:t>Se modifică</w:t>
      </w:r>
      <w:r w:rsidRPr="00857CDA">
        <w:rPr>
          <w:iCs/>
          <w:lang w:val="ro-RO"/>
        </w:rPr>
        <w:t xml:space="preserve"> </w:t>
      </w:r>
      <w:r w:rsidR="00660131" w:rsidRPr="00857CDA">
        <w:rPr>
          <w:lang w:val="ro-RO"/>
        </w:rPr>
        <w:t>„</w:t>
      </w:r>
      <w:r w:rsidR="002B679C" w:rsidRPr="00857CDA">
        <w:rPr>
          <w:iCs/>
          <w:lang w:val="ro-RO"/>
        </w:rPr>
        <w:t>risc</w:t>
      </w:r>
      <w:r w:rsidR="00660131" w:rsidRPr="00857CDA">
        <w:rPr>
          <w:iCs/>
          <w:lang w:val="ro-RO"/>
        </w:rPr>
        <w:t>”</w:t>
      </w:r>
      <w:r w:rsidR="00902C44" w:rsidRPr="00857CDA">
        <w:rPr>
          <w:iCs/>
          <w:lang w:val="ro-RO"/>
        </w:rPr>
        <w:t xml:space="preserve"> cu </w:t>
      </w:r>
      <w:r w:rsidR="00660131" w:rsidRPr="00857CDA">
        <w:rPr>
          <w:lang w:val="ro-RO"/>
        </w:rPr>
        <w:t>„</w:t>
      </w:r>
      <w:r w:rsidR="002B679C" w:rsidRPr="00857CDA">
        <w:rPr>
          <w:iCs/>
          <w:lang w:val="ro-RO"/>
        </w:rPr>
        <w:t>pericol</w:t>
      </w:r>
      <w:r w:rsidR="00660131" w:rsidRPr="00857CDA">
        <w:rPr>
          <w:iCs/>
          <w:lang w:val="ro-RO"/>
        </w:rPr>
        <w:t>”</w:t>
      </w:r>
      <w:r w:rsidRPr="00857CDA">
        <w:rPr>
          <w:iCs/>
          <w:lang w:val="ro-RO"/>
        </w:rPr>
        <w:t>.</w:t>
      </w:r>
    </w:p>
    <w:p w:rsidR="003101CB" w:rsidRPr="00857CDA" w:rsidRDefault="003101CB" w:rsidP="00CD1138">
      <w:pPr>
        <w:pStyle w:val="SingleTxtG"/>
        <w:spacing w:before="120"/>
        <w:rPr>
          <w:lang w:val="ro-RO"/>
        </w:rPr>
      </w:pPr>
      <w:r w:rsidRPr="00857CDA">
        <w:rPr>
          <w:iCs/>
          <w:lang w:val="ro-RO"/>
        </w:rPr>
        <w:t>2.2.41.3</w:t>
      </w:r>
      <w:r w:rsidRPr="00857CDA">
        <w:rPr>
          <w:iCs/>
          <w:lang w:val="ro-RO"/>
        </w:rPr>
        <w:tab/>
      </w:r>
      <w:r w:rsidR="00902C44" w:rsidRPr="00857CDA">
        <w:rPr>
          <w:lang w:val="ro-RO" w:eastAsia="en-GB"/>
        </w:rPr>
        <w:t>În</w:t>
      </w:r>
      <w:r w:rsidRPr="00857CDA">
        <w:rPr>
          <w:lang w:val="ro-RO" w:eastAsia="en-GB"/>
        </w:rPr>
        <w:t xml:space="preserve"> </w:t>
      </w:r>
      <w:r w:rsidR="00660131" w:rsidRPr="00857CDA">
        <w:rPr>
          <w:lang w:val="ro-RO"/>
        </w:rPr>
        <w:t>„</w:t>
      </w:r>
      <w:r w:rsidR="007A6DD2" w:rsidRPr="00857CDA">
        <w:rPr>
          <w:iCs/>
          <w:lang w:val="ro-RO"/>
        </w:rPr>
        <w:t>Lista rubricilor colective</w:t>
      </w:r>
      <w:r w:rsidR="00660131" w:rsidRPr="00857CDA">
        <w:rPr>
          <w:iCs/>
          <w:lang w:val="ro-RO"/>
        </w:rPr>
        <w:t>”</w:t>
      </w:r>
      <w:r w:rsidRPr="00857CDA">
        <w:rPr>
          <w:iCs/>
          <w:lang w:val="ro-RO"/>
        </w:rPr>
        <w:t xml:space="preserve">, </w:t>
      </w:r>
      <w:r w:rsidR="00991390" w:rsidRPr="00857CDA">
        <w:rPr>
          <w:iCs/>
          <w:lang w:val="ro-RO"/>
        </w:rPr>
        <w:t>pentru</w:t>
      </w:r>
      <w:r w:rsidRPr="00857CDA">
        <w:rPr>
          <w:iCs/>
          <w:lang w:val="ro-RO"/>
        </w:rPr>
        <w:t xml:space="preserve"> </w:t>
      </w:r>
      <w:r w:rsidR="00660131" w:rsidRPr="00857CDA">
        <w:rPr>
          <w:lang w:val="ro-RO"/>
        </w:rPr>
        <w:t>„</w:t>
      </w:r>
      <w:r w:rsidRPr="00857CDA">
        <w:rPr>
          <w:iCs/>
          <w:lang w:val="ro-RO"/>
        </w:rPr>
        <w:t>F4</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660131" w:rsidRPr="00857CDA">
        <w:rPr>
          <w:lang w:val="ro-RO"/>
        </w:rPr>
        <w:t>„</w:t>
      </w:r>
      <w:r w:rsidRPr="00857CDA">
        <w:rPr>
          <w:iCs/>
          <w:lang w:val="ro-RO"/>
        </w:rPr>
        <w:t xml:space="preserve">3541 </w:t>
      </w:r>
      <w:r w:rsidR="00350067" w:rsidRPr="00857CDA">
        <w:rPr>
          <w:iCs/>
          <w:lang w:val="ro-RO"/>
        </w:rPr>
        <w:t>OBIECTE CARE CONȚIN SOLID INFLAMABIL, N.S.A.</w:t>
      </w:r>
      <w:r w:rsidR="00660131" w:rsidRPr="00857CDA">
        <w:rPr>
          <w:iCs/>
          <w:lang w:val="ro-RO"/>
        </w:rPr>
        <w:t>”</w:t>
      </w:r>
      <w:r w:rsidRPr="00857CDA">
        <w:rPr>
          <w:iCs/>
          <w:lang w:val="ro-RO"/>
        </w:rPr>
        <w:t>.</w:t>
      </w:r>
    </w:p>
    <w:p w:rsidR="00196C06" w:rsidRPr="00857CDA" w:rsidRDefault="0013579B" w:rsidP="00196C06">
      <w:pPr>
        <w:pStyle w:val="SingleTxtG"/>
        <w:spacing w:before="120"/>
        <w:rPr>
          <w:lang w:val="ro-RO"/>
        </w:rPr>
      </w:pPr>
      <w:r w:rsidRPr="00857CDA">
        <w:rPr>
          <w:lang w:val="ro-RO"/>
        </w:rPr>
        <w:t>2.2.41.4</w:t>
      </w:r>
      <w:r w:rsidR="00196C06" w:rsidRPr="00857CDA">
        <w:rPr>
          <w:lang w:val="ro-RO"/>
        </w:rPr>
        <w:tab/>
      </w:r>
      <w:r w:rsidR="007A6DD2" w:rsidRPr="00857CDA">
        <w:rPr>
          <w:lang w:val="ro-RO"/>
        </w:rPr>
        <w:t>L</w:t>
      </w:r>
      <w:r w:rsidR="00196C06" w:rsidRPr="00857CDA">
        <w:rPr>
          <w:lang w:val="ro-RO"/>
        </w:rPr>
        <w:t xml:space="preserve">a </w:t>
      </w:r>
      <w:r w:rsidR="007A6DD2" w:rsidRPr="00857CDA">
        <w:rPr>
          <w:lang w:val="ro-RO"/>
        </w:rPr>
        <w:t>sfârșitul primului paragraf</w:t>
      </w:r>
      <w:r w:rsidR="00196C06" w:rsidRPr="00857CDA">
        <w:rPr>
          <w:lang w:val="ro-RO"/>
        </w:rPr>
        <w:t xml:space="preserve">, </w:t>
      </w:r>
      <w:r w:rsidR="00902C44" w:rsidRPr="00857CDA">
        <w:rPr>
          <w:lang w:val="ro-RO"/>
        </w:rPr>
        <w:t>Se modifică</w:t>
      </w:r>
      <w:r w:rsidR="00763AB0" w:rsidRPr="00857CDA">
        <w:rPr>
          <w:lang w:val="ro-RO"/>
        </w:rPr>
        <w:t xml:space="preserve"> </w:t>
      </w:r>
      <w:r w:rsidR="009918B0" w:rsidRPr="00857CDA">
        <w:rPr>
          <w:lang w:val="ro-RO"/>
        </w:rPr>
        <w:t>„</w:t>
      </w:r>
      <w:r w:rsidR="00763AB0" w:rsidRPr="00857CDA">
        <w:rPr>
          <w:lang w:val="ro-RO"/>
        </w:rPr>
        <w:t>4.2.5.2</w:t>
      </w:r>
      <w:r w:rsidR="00660131" w:rsidRPr="00857CDA">
        <w:rPr>
          <w:lang w:val="ro-RO"/>
        </w:rPr>
        <w:t>”</w:t>
      </w:r>
      <w:r w:rsidR="00902C44" w:rsidRPr="00857CDA">
        <w:rPr>
          <w:lang w:val="ro-RO"/>
        </w:rPr>
        <w:t xml:space="preserve"> cu </w:t>
      </w:r>
      <w:r w:rsidR="009918B0" w:rsidRPr="00857CDA">
        <w:rPr>
          <w:lang w:val="ro-RO"/>
        </w:rPr>
        <w:t>„</w:t>
      </w:r>
      <w:r w:rsidR="00763AB0" w:rsidRPr="00857CDA">
        <w:rPr>
          <w:lang w:val="ro-RO"/>
        </w:rPr>
        <w:t>4.2.5.2.6</w:t>
      </w:r>
      <w:r w:rsidR="00660131" w:rsidRPr="00857CDA">
        <w:rPr>
          <w:lang w:val="ro-RO"/>
        </w:rPr>
        <w:t>”</w:t>
      </w:r>
      <w:r w:rsidR="004C27AD" w:rsidRPr="00857CDA">
        <w:rPr>
          <w:lang w:val="ro-RO"/>
        </w:rPr>
        <w:t xml:space="preserve"> și </w:t>
      </w:r>
      <w:r w:rsidR="00902C44" w:rsidRPr="00857CDA">
        <w:rPr>
          <w:lang w:val="ro-RO"/>
        </w:rPr>
        <w:t>se adaugă</w:t>
      </w:r>
      <w:r w:rsidR="00196C06" w:rsidRPr="00857CDA">
        <w:rPr>
          <w:lang w:val="ro-RO"/>
        </w:rPr>
        <w:t xml:space="preserve"> </w:t>
      </w:r>
      <w:r w:rsidR="007A6DD2" w:rsidRPr="00857CDA">
        <w:rPr>
          <w:lang w:val="ro-RO"/>
        </w:rPr>
        <w:t>următoarea frază nouă</w:t>
      </w:r>
      <w:r w:rsidR="00196C06" w:rsidRPr="00857CDA">
        <w:rPr>
          <w:lang w:val="ro-RO"/>
        </w:rPr>
        <w:t xml:space="preserve">: </w:t>
      </w:r>
      <w:r w:rsidR="009918B0" w:rsidRPr="00857CDA">
        <w:rPr>
          <w:lang w:val="ro-RO"/>
        </w:rPr>
        <w:t>„</w:t>
      </w:r>
      <w:r w:rsidR="007A6DD2" w:rsidRPr="00857CDA">
        <w:rPr>
          <w:lang w:val="ro-RO"/>
        </w:rPr>
        <w:t>Preparatele enumerate în instrucțiunea de ambalare IBC520 din 4.1.4.2 și în instrucțiunea de transport în cisterne mobile T23 din 4.2.5.2.6 pot fi transportate, de asemenea, ambalate în conformitate cu metoda de ambalare OP8 din instrucțiunea de ambalare P520 din 4.1.4.1, cu aceleași temperaturi de reglare și critice, după caz.</w:t>
      </w:r>
      <w:r w:rsidR="00660131" w:rsidRPr="00857CDA">
        <w:rPr>
          <w:lang w:val="ro-RO"/>
        </w:rPr>
        <w:t>”</w:t>
      </w:r>
      <w:r w:rsidR="00196C06" w:rsidRPr="00857CDA">
        <w:rPr>
          <w:lang w:val="ro-RO"/>
        </w:rPr>
        <w:t>.</w:t>
      </w:r>
    </w:p>
    <w:p w:rsidR="00196C06" w:rsidRPr="00857CDA" w:rsidRDefault="0013579B" w:rsidP="00462BFC">
      <w:pPr>
        <w:spacing w:before="120" w:after="120" w:line="240" w:lineRule="auto"/>
        <w:ind w:left="1134" w:right="1134"/>
        <w:jc w:val="both"/>
        <w:rPr>
          <w:lang w:val="ro-RO"/>
        </w:rPr>
      </w:pPr>
      <w:r w:rsidRPr="00857CDA">
        <w:rPr>
          <w:lang w:val="ro-RO"/>
        </w:rPr>
        <w:t>2.2.41.4</w:t>
      </w:r>
      <w:r w:rsidR="00196C06" w:rsidRPr="00857CDA">
        <w:rPr>
          <w:lang w:val="ro-RO"/>
        </w:rPr>
        <w:tab/>
      </w:r>
      <w:r w:rsidR="00902C44" w:rsidRPr="00857CDA">
        <w:rPr>
          <w:lang w:val="ro-RO"/>
        </w:rPr>
        <w:t xml:space="preserve">În </w:t>
      </w:r>
      <w:r w:rsidR="00463BBB" w:rsidRPr="00857CDA">
        <w:rPr>
          <w:lang w:val="ro-RO"/>
        </w:rPr>
        <w:t>tabelul</w:t>
      </w:r>
      <w:r w:rsidR="00830168" w:rsidRPr="00857CDA">
        <w:rPr>
          <w:lang w:val="ro-RO"/>
        </w:rPr>
        <w:t xml:space="preserve">, </w:t>
      </w:r>
      <w:r w:rsidR="00462BFC" w:rsidRPr="00857CDA">
        <w:rPr>
          <w:lang w:val="ro-RO"/>
        </w:rPr>
        <w:t>se adaugă o nouă rubrică, după cum urmează:</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993"/>
        <w:gridCol w:w="992"/>
        <w:gridCol w:w="992"/>
        <w:gridCol w:w="992"/>
        <w:gridCol w:w="851"/>
        <w:gridCol w:w="567"/>
      </w:tblGrid>
      <w:tr w:rsidR="00E6182B" w:rsidRPr="00857CDA" w:rsidTr="00995AE9">
        <w:trPr>
          <w:cantSplit/>
        </w:trPr>
        <w:tc>
          <w:tcPr>
            <w:tcW w:w="2268" w:type="dxa"/>
            <w:tcBorders>
              <w:top w:val="single" w:sz="4" w:space="0" w:color="auto"/>
              <w:bottom w:val="single" w:sz="12" w:space="0" w:color="auto"/>
            </w:tcBorders>
            <w:shd w:val="clear" w:color="auto" w:fill="auto"/>
            <w:vAlign w:val="center"/>
          </w:tcPr>
          <w:p w:rsidR="00E6182B" w:rsidRPr="00857CDA" w:rsidRDefault="00E6182B" w:rsidP="005E47F6">
            <w:pPr>
              <w:widowControl w:val="0"/>
              <w:spacing w:line="240" w:lineRule="auto"/>
              <w:jc w:val="center"/>
              <w:rPr>
                <w:w w:val="90"/>
                <w:szCs w:val="18"/>
                <w:lang w:val="ro-RO"/>
              </w:rPr>
            </w:pPr>
            <w:r w:rsidRPr="00857CDA">
              <w:rPr>
                <w:w w:val="90"/>
                <w:szCs w:val="18"/>
                <w:lang w:val="ro-RO"/>
              </w:rPr>
              <w:t>SUBSTANŢE AUTOREACTIVE</w:t>
            </w:r>
          </w:p>
        </w:tc>
        <w:tc>
          <w:tcPr>
            <w:tcW w:w="993" w:type="dxa"/>
            <w:tcBorders>
              <w:top w:val="single" w:sz="4" w:space="0" w:color="auto"/>
              <w:bottom w:val="single" w:sz="12" w:space="0" w:color="auto"/>
            </w:tcBorders>
            <w:shd w:val="clear" w:color="auto" w:fill="auto"/>
            <w:vAlign w:val="center"/>
          </w:tcPr>
          <w:p w:rsidR="00E6182B" w:rsidRPr="00857CDA" w:rsidRDefault="00E6182B" w:rsidP="005E47F6">
            <w:pPr>
              <w:widowControl w:val="0"/>
              <w:spacing w:line="240" w:lineRule="auto"/>
              <w:jc w:val="center"/>
              <w:rPr>
                <w:w w:val="90"/>
                <w:szCs w:val="18"/>
                <w:lang w:val="ro-RO"/>
              </w:rPr>
            </w:pPr>
            <w:r w:rsidRPr="00857CDA">
              <w:rPr>
                <w:w w:val="90"/>
                <w:szCs w:val="18"/>
                <w:lang w:val="ro-RO"/>
              </w:rPr>
              <w:t>Concentraţie</w:t>
            </w:r>
          </w:p>
          <w:p w:rsidR="00E6182B" w:rsidRPr="00857CDA" w:rsidRDefault="00E6182B" w:rsidP="005E47F6">
            <w:pPr>
              <w:widowControl w:val="0"/>
              <w:spacing w:line="240" w:lineRule="auto"/>
              <w:jc w:val="center"/>
              <w:rPr>
                <w:w w:val="90"/>
                <w:szCs w:val="18"/>
                <w:lang w:val="ro-RO"/>
              </w:rPr>
            </w:pPr>
            <w:r w:rsidRPr="00857CDA">
              <w:rPr>
                <w:w w:val="90"/>
                <w:szCs w:val="18"/>
                <w:lang w:val="ro-RO"/>
              </w:rPr>
              <w:t>(%)</w:t>
            </w:r>
          </w:p>
        </w:tc>
        <w:tc>
          <w:tcPr>
            <w:tcW w:w="992" w:type="dxa"/>
            <w:tcBorders>
              <w:top w:val="single" w:sz="4" w:space="0" w:color="auto"/>
              <w:bottom w:val="single" w:sz="12" w:space="0" w:color="auto"/>
            </w:tcBorders>
            <w:shd w:val="clear" w:color="auto" w:fill="auto"/>
            <w:vAlign w:val="center"/>
          </w:tcPr>
          <w:p w:rsidR="00E6182B" w:rsidRPr="00857CDA" w:rsidRDefault="00E6182B" w:rsidP="005E47F6">
            <w:pPr>
              <w:widowControl w:val="0"/>
              <w:spacing w:line="240" w:lineRule="auto"/>
              <w:jc w:val="center"/>
              <w:rPr>
                <w:w w:val="90"/>
                <w:szCs w:val="18"/>
                <w:lang w:val="ro-RO"/>
              </w:rPr>
            </w:pPr>
            <w:r w:rsidRPr="00857CDA">
              <w:rPr>
                <w:w w:val="90"/>
                <w:szCs w:val="18"/>
                <w:lang w:val="ro-RO"/>
              </w:rPr>
              <w:t>Metodă</w:t>
            </w:r>
          </w:p>
          <w:p w:rsidR="00E6182B" w:rsidRPr="00857CDA" w:rsidRDefault="00E6182B" w:rsidP="005E47F6">
            <w:pPr>
              <w:widowControl w:val="0"/>
              <w:spacing w:line="240" w:lineRule="auto"/>
              <w:jc w:val="center"/>
              <w:rPr>
                <w:w w:val="90"/>
                <w:szCs w:val="18"/>
                <w:lang w:val="ro-RO"/>
              </w:rPr>
            </w:pPr>
            <w:r w:rsidRPr="00857CDA">
              <w:rPr>
                <w:w w:val="90"/>
                <w:szCs w:val="18"/>
                <w:lang w:val="ro-RO"/>
              </w:rPr>
              <w:t>de ambalare</w:t>
            </w:r>
          </w:p>
        </w:tc>
        <w:tc>
          <w:tcPr>
            <w:tcW w:w="992" w:type="dxa"/>
            <w:tcBorders>
              <w:top w:val="single" w:sz="4" w:space="0" w:color="auto"/>
              <w:bottom w:val="single" w:sz="12" w:space="0" w:color="auto"/>
            </w:tcBorders>
            <w:shd w:val="clear" w:color="auto" w:fill="auto"/>
            <w:vAlign w:val="center"/>
          </w:tcPr>
          <w:p w:rsidR="00E6182B" w:rsidRPr="00857CDA" w:rsidRDefault="00E6182B" w:rsidP="005E47F6">
            <w:pPr>
              <w:widowControl w:val="0"/>
              <w:spacing w:line="240" w:lineRule="auto"/>
              <w:jc w:val="center"/>
              <w:rPr>
                <w:w w:val="90"/>
                <w:szCs w:val="18"/>
                <w:lang w:val="ro-RO"/>
              </w:rPr>
            </w:pPr>
            <w:r w:rsidRPr="00857CDA">
              <w:rPr>
                <w:w w:val="90"/>
                <w:szCs w:val="18"/>
                <w:lang w:val="ro-RO"/>
              </w:rPr>
              <w:t>Temperatură de reglare</w:t>
            </w:r>
          </w:p>
          <w:p w:rsidR="00E6182B" w:rsidRPr="00857CDA" w:rsidRDefault="00E6182B" w:rsidP="005E47F6">
            <w:pPr>
              <w:widowControl w:val="0"/>
              <w:spacing w:line="240" w:lineRule="auto"/>
              <w:jc w:val="center"/>
              <w:rPr>
                <w:w w:val="90"/>
                <w:szCs w:val="18"/>
                <w:lang w:val="ro-RO"/>
              </w:rPr>
            </w:pPr>
            <w:r w:rsidRPr="00857CDA">
              <w:rPr>
                <w:w w:val="90"/>
                <w:szCs w:val="18"/>
                <w:lang w:val="ro-RO"/>
              </w:rPr>
              <w:t>(</w:t>
            </w:r>
            <w:r w:rsidRPr="00857CDA">
              <w:rPr>
                <w:w w:val="90"/>
                <w:szCs w:val="18"/>
                <w:vertAlign w:val="superscript"/>
                <w:lang w:val="ro-RO"/>
              </w:rPr>
              <w:t>0</w:t>
            </w:r>
            <w:r w:rsidRPr="00857CDA">
              <w:rPr>
                <w:w w:val="90"/>
                <w:szCs w:val="18"/>
                <w:lang w:val="ro-RO"/>
              </w:rPr>
              <w:t>C)</w:t>
            </w:r>
          </w:p>
        </w:tc>
        <w:tc>
          <w:tcPr>
            <w:tcW w:w="992" w:type="dxa"/>
            <w:tcBorders>
              <w:top w:val="single" w:sz="4" w:space="0" w:color="auto"/>
              <w:bottom w:val="single" w:sz="12" w:space="0" w:color="auto"/>
            </w:tcBorders>
            <w:shd w:val="clear" w:color="auto" w:fill="auto"/>
            <w:vAlign w:val="center"/>
          </w:tcPr>
          <w:p w:rsidR="00E6182B" w:rsidRPr="00857CDA" w:rsidRDefault="00E6182B" w:rsidP="005E47F6">
            <w:pPr>
              <w:widowControl w:val="0"/>
              <w:spacing w:line="240" w:lineRule="auto"/>
              <w:jc w:val="center"/>
              <w:rPr>
                <w:w w:val="90"/>
                <w:szCs w:val="18"/>
                <w:lang w:val="ro-RO"/>
              </w:rPr>
            </w:pPr>
            <w:r w:rsidRPr="00857CDA">
              <w:rPr>
                <w:w w:val="90"/>
                <w:szCs w:val="18"/>
                <w:lang w:val="ro-RO"/>
              </w:rPr>
              <w:t>Temperatură critică</w:t>
            </w:r>
          </w:p>
          <w:p w:rsidR="00E6182B" w:rsidRPr="00857CDA" w:rsidRDefault="00E6182B" w:rsidP="005E47F6">
            <w:pPr>
              <w:widowControl w:val="0"/>
              <w:spacing w:line="240" w:lineRule="auto"/>
              <w:jc w:val="center"/>
              <w:rPr>
                <w:w w:val="90"/>
                <w:szCs w:val="18"/>
                <w:lang w:val="ro-RO"/>
              </w:rPr>
            </w:pPr>
            <w:r w:rsidRPr="00857CDA">
              <w:rPr>
                <w:w w:val="90"/>
                <w:szCs w:val="18"/>
                <w:lang w:val="ro-RO"/>
              </w:rPr>
              <w:t>(</w:t>
            </w:r>
            <w:r w:rsidRPr="00857CDA">
              <w:rPr>
                <w:w w:val="90"/>
                <w:szCs w:val="18"/>
                <w:vertAlign w:val="superscript"/>
                <w:lang w:val="ro-RO"/>
              </w:rPr>
              <w:t>0</w:t>
            </w:r>
            <w:r w:rsidRPr="00857CDA">
              <w:rPr>
                <w:w w:val="90"/>
                <w:szCs w:val="18"/>
                <w:lang w:val="ro-RO"/>
              </w:rPr>
              <w:t>C)</w:t>
            </w:r>
          </w:p>
        </w:tc>
        <w:tc>
          <w:tcPr>
            <w:tcW w:w="851" w:type="dxa"/>
            <w:tcBorders>
              <w:top w:val="single" w:sz="4" w:space="0" w:color="auto"/>
              <w:bottom w:val="single" w:sz="12" w:space="0" w:color="auto"/>
            </w:tcBorders>
            <w:shd w:val="clear" w:color="auto" w:fill="auto"/>
            <w:vAlign w:val="center"/>
          </w:tcPr>
          <w:p w:rsidR="00E6182B" w:rsidRPr="00857CDA" w:rsidRDefault="00E6182B" w:rsidP="005E47F6">
            <w:pPr>
              <w:widowControl w:val="0"/>
              <w:spacing w:line="240" w:lineRule="auto"/>
              <w:jc w:val="center"/>
              <w:rPr>
                <w:w w:val="90"/>
                <w:szCs w:val="18"/>
                <w:lang w:val="ro-RO"/>
              </w:rPr>
            </w:pPr>
            <w:r w:rsidRPr="00857CDA">
              <w:rPr>
                <w:w w:val="90"/>
                <w:szCs w:val="18"/>
                <w:lang w:val="ro-RO"/>
              </w:rPr>
              <w:t>Rubrică generică</w:t>
            </w:r>
          </w:p>
          <w:p w:rsidR="00E6182B" w:rsidRPr="00857CDA" w:rsidRDefault="00E6182B" w:rsidP="005E47F6">
            <w:pPr>
              <w:widowControl w:val="0"/>
              <w:spacing w:line="240" w:lineRule="auto"/>
              <w:jc w:val="center"/>
              <w:rPr>
                <w:w w:val="90"/>
                <w:szCs w:val="18"/>
                <w:lang w:val="ro-RO"/>
              </w:rPr>
            </w:pPr>
            <w:r w:rsidRPr="00857CDA">
              <w:rPr>
                <w:w w:val="90"/>
                <w:szCs w:val="18"/>
                <w:lang w:val="ro-RO"/>
              </w:rPr>
              <w:t>Nr. ONU</w:t>
            </w:r>
          </w:p>
        </w:tc>
        <w:tc>
          <w:tcPr>
            <w:tcW w:w="567" w:type="dxa"/>
            <w:tcBorders>
              <w:top w:val="single" w:sz="4" w:space="0" w:color="auto"/>
              <w:bottom w:val="single" w:sz="12" w:space="0" w:color="auto"/>
            </w:tcBorders>
            <w:shd w:val="clear" w:color="auto" w:fill="auto"/>
            <w:vAlign w:val="center"/>
          </w:tcPr>
          <w:p w:rsidR="00E6182B" w:rsidRPr="00857CDA" w:rsidRDefault="00E6182B" w:rsidP="005E47F6">
            <w:pPr>
              <w:widowControl w:val="0"/>
              <w:spacing w:line="240" w:lineRule="auto"/>
              <w:jc w:val="center"/>
              <w:rPr>
                <w:w w:val="90"/>
                <w:szCs w:val="18"/>
                <w:lang w:val="ro-RO"/>
              </w:rPr>
            </w:pPr>
            <w:r w:rsidRPr="00857CDA">
              <w:rPr>
                <w:w w:val="90"/>
                <w:szCs w:val="18"/>
                <w:lang w:val="ro-RO"/>
              </w:rPr>
              <w:t>Obser-</w:t>
            </w:r>
          </w:p>
          <w:p w:rsidR="00E6182B" w:rsidRPr="00857CDA" w:rsidRDefault="00E6182B" w:rsidP="005E47F6">
            <w:pPr>
              <w:widowControl w:val="0"/>
              <w:spacing w:line="240" w:lineRule="auto"/>
              <w:jc w:val="center"/>
              <w:rPr>
                <w:w w:val="90"/>
                <w:szCs w:val="18"/>
                <w:lang w:val="ro-RO"/>
              </w:rPr>
            </w:pPr>
            <w:r w:rsidRPr="00857CDA">
              <w:rPr>
                <w:w w:val="90"/>
                <w:szCs w:val="18"/>
                <w:lang w:val="ro-RO"/>
              </w:rPr>
              <w:t>vaţii</w:t>
            </w:r>
          </w:p>
        </w:tc>
      </w:tr>
      <w:tr w:rsidR="00A074FC" w:rsidRPr="00857CDA" w:rsidTr="00995AE9">
        <w:trPr>
          <w:cantSplit/>
          <w:trHeight w:hRule="exact" w:val="113"/>
        </w:trPr>
        <w:tc>
          <w:tcPr>
            <w:tcW w:w="2268" w:type="dxa"/>
            <w:tcBorders>
              <w:top w:val="single" w:sz="12" w:space="0" w:color="auto"/>
            </w:tcBorders>
            <w:shd w:val="clear" w:color="auto" w:fill="auto"/>
          </w:tcPr>
          <w:p w:rsidR="00196C06" w:rsidRPr="00857CDA" w:rsidRDefault="00196C06" w:rsidP="006201FD">
            <w:pPr>
              <w:keepNext/>
              <w:keepLines/>
              <w:jc w:val="center"/>
              <w:rPr>
                <w:bCs/>
                <w:sz w:val="18"/>
                <w:szCs w:val="18"/>
                <w:lang w:val="ro-RO"/>
              </w:rPr>
            </w:pPr>
          </w:p>
        </w:tc>
        <w:tc>
          <w:tcPr>
            <w:tcW w:w="993" w:type="dxa"/>
            <w:tcBorders>
              <w:top w:val="single" w:sz="12" w:space="0" w:color="auto"/>
            </w:tcBorders>
            <w:shd w:val="clear" w:color="auto" w:fill="auto"/>
          </w:tcPr>
          <w:p w:rsidR="00196C06" w:rsidRPr="00857CDA" w:rsidRDefault="00196C06" w:rsidP="006201FD">
            <w:pPr>
              <w:keepNext/>
              <w:keepLines/>
              <w:jc w:val="center"/>
              <w:rPr>
                <w:bCs/>
                <w:sz w:val="18"/>
                <w:szCs w:val="18"/>
                <w:lang w:val="ro-RO"/>
              </w:rPr>
            </w:pPr>
          </w:p>
        </w:tc>
        <w:tc>
          <w:tcPr>
            <w:tcW w:w="992" w:type="dxa"/>
            <w:tcBorders>
              <w:top w:val="single" w:sz="12" w:space="0" w:color="auto"/>
            </w:tcBorders>
            <w:shd w:val="clear" w:color="auto" w:fill="auto"/>
          </w:tcPr>
          <w:p w:rsidR="00196C06" w:rsidRPr="00857CDA" w:rsidRDefault="00196C06" w:rsidP="006201FD">
            <w:pPr>
              <w:keepNext/>
              <w:keepLines/>
              <w:jc w:val="center"/>
              <w:rPr>
                <w:bCs/>
                <w:sz w:val="18"/>
                <w:szCs w:val="18"/>
                <w:lang w:val="ro-RO"/>
              </w:rPr>
            </w:pPr>
          </w:p>
        </w:tc>
        <w:tc>
          <w:tcPr>
            <w:tcW w:w="992" w:type="dxa"/>
            <w:tcBorders>
              <w:top w:val="single" w:sz="12" w:space="0" w:color="auto"/>
            </w:tcBorders>
            <w:shd w:val="clear" w:color="auto" w:fill="auto"/>
          </w:tcPr>
          <w:p w:rsidR="00196C06" w:rsidRPr="00857CDA" w:rsidRDefault="00196C06" w:rsidP="006201FD">
            <w:pPr>
              <w:keepNext/>
              <w:keepLines/>
              <w:jc w:val="center"/>
              <w:rPr>
                <w:bCs/>
                <w:sz w:val="18"/>
                <w:szCs w:val="18"/>
                <w:lang w:val="ro-RO"/>
              </w:rPr>
            </w:pPr>
          </w:p>
        </w:tc>
        <w:tc>
          <w:tcPr>
            <w:tcW w:w="992" w:type="dxa"/>
            <w:tcBorders>
              <w:top w:val="single" w:sz="12" w:space="0" w:color="auto"/>
            </w:tcBorders>
            <w:shd w:val="clear" w:color="auto" w:fill="auto"/>
          </w:tcPr>
          <w:p w:rsidR="00196C06" w:rsidRPr="00857CDA" w:rsidRDefault="00196C06" w:rsidP="006201FD">
            <w:pPr>
              <w:keepNext/>
              <w:keepLines/>
              <w:jc w:val="center"/>
              <w:rPr>
                <w:bCs/>
                <w:sz w:val="18"/>
                <w:szCs w:val="18"/>
                <w:lang w:val="ro-RO"/>
              </w:rPr>
            </w:pPr>
          </w:p>
        </w:tc>
        <w:tc>
          <w:tcPr>
            <w:tcW w:w="851" w:type="dxa"/>
            <w:tcBorders>
              <w:top w:val="single" w:sz="12" w:space="0" w:color="auto"/>
            </w:tcBorders>
            <w:shd w:val="clear" w:color="auto" w:fill="auto"/>
          </w:tcPr>
          <w:p w:rsidR="00196C06" w:rsidRPr="00857CDA" w:rsidRDefault="00196C06" w:rsidP="006201FD">
            <w:pPr>
              <w:keepNext/>
              <w:keepLines/>
              <w:jc w:val="center"/>
              <w:rPr>
                <w:bCs/>
                <w:sz w:val="18"/>
                <w:szCs w:val="18"/>
                <w:lang w:val="ro-RO"/>
              </w:rPr>
            </w:pPr>
          </w:p>
        </w:tc>
        <w:tc>
          <w:tcPr>
            <w:tcW w:w="567" w:type="dxa"/>
            <w:tcBorders>
              <w:top w:val="single" w:sz="12" w:space="0" w:color="auto"/>
            </w:tcBorders>
            <w:shd w:val="clear" w:color="auto" w:fill="auto"/>
          </w:tcPr>
          <w:p w:rsidR="00196C06" w:rsidRPr="00857CDA" w:rsidRDefault="00196C06" w:rsidP="006201FD">
            <w:pPr>
              <w:keepNext/>
              <w:keepLines/>
              <w:jc w:val="center"/>
              <w:rPr>
                <w:bCs/>
                <w:sz w:val="18"/>
                <w:szCs w:val="18"/>
                <w:lang w:val="ro-RO"/>
              </w:rPr>
            </w:pPr>
          </w:p>
        </w:tc>
      </w:tr>
      <w:tr w:rsidR="00A074FC" w:rsidRPr="00857CDA" w:rsidTr="00995AE9">
        <w:trPr>
          <w:cantSplit/>
        </w:trPr>
        <w:tc>
          <w:tcPr>
            <w:tcW w:w="2268" w:type="dxa"/>
            <w:tcBorders>
              <w:bottom w:val="single" w:sz="4" w:space="0" w:color="auto"/>
            </w:tcBorders>
            <w:shd w:val="clear" w:color="auto" w:fill="auto"/>
          </w:tcPr>
          <w:p w:rsidR="00196C06" w:rsidRPr="00857CDA" w:rsidRDefault="00196C06" w:rsidP="00350067">
            <w:pPr>
              <w:keepNext/>
              <w:keepLines/>
              <w:spacing w:before="40" w:after="120"/>
              <w:rPr>
                <w:sz w:val="18"/>
                <w:szCs w:val="18"/>
                <w:lang w:val="ro-RO"/>
              </w:rPr>
            </w:pPr>
            <w:r w:rsidRPr="00857CDA">
              <w:rPr>
                <w:sz w:val="18"/>
                <w:szCs w:val="18"/>
                <w:lang w:val="ro-RO"/>
              </w:rPr>
              <w:t>Tio</w:t>
            </w:r>
            <w:r w:rsidR="00350067" w:rsidRPr="00857CDA">
              <w:rPr>
                <w:sz w:val="18"/>
                <w:szCs w:val="18"/>
                <w:lang w:val="ro-RO"/>
              </w:rPr>
              <w:t>f</w:t>
            </w:r>
            <w:r w:rsidRPr="00857CDA">
              <w:rPr>
                <w:sz w:val="18"/>
                <w:szCs w:val="18"/>
                <w:lang w:val="ro-RO"/>
              </w:rPr>
              <w:t>os</w:t>
            </w:r>
            <w:r w:rsidR="00350067" w:rsidRPr="00857CDA">
              <w:rPr>
                <w:sz w:val="18"/>
                <w:szCs w:val="18"/>
                <w:lang w:val="ro-RO"/>
              </w:rPr>
              <w:t>f</w:t>
            </w:r>
            <w:r w:rsidRPr="00857CDA">
              <w:rPr>
                <w:sz w:val="18"/>
                <w:szCs w:val="18"/>
                <w:lang w:val="ro-RO"/>
              </w:rPr>
              <w:t>at de O-[(c</w:t>
            </w:r>
            <w:r w:rsidR="00350067" w:rsidRPr="00857CDA">
              <w:rPr>
                <w:sz w:val="18"/>
                <w:szCs w:val="18"/>
                <w:lang w:val="ro-RO"/>
              </w:rPr>
              <w:t>i</w:t>
            </w:r>
            <w:r w:rsidRPr="00857CDA">
              <w:rPr>
                <w:sz w:val="18"/>
                <w:szCs w:val="18"/>
                <w:lang w:val="ro-RO"/>
              </w:rPr>
              <w:t>ano</w:t>
            </w:r>
            <w:r w:rsidR="00350067" w:rsidRPr="00857CDA">
              <w:rPr>
                <w:sz w:val="18"/>
                <w:szCs w:val="18"/>
                <w:lang w:val="ro-RO"/>
              </w:rPr>
              <w:t>fe</w:t>
            </w:r>
            <w:r w:rsidRPr="00857CDA">
              <w:rPr>
                <w:sz w:val="18"/>
                <w:szCs w:val="18"/>
                <w:lang w:val="ro-RO"/>
              </w:rPr>
              <w:t>n</w:t>
            </w:r>
            <w:r w:rsidR="00350067" w:rsidRPr="00857CDA">
              <w:rPr>
                <w:sz w:val="18"/>
                <w:szCs w:val="18"/>
                <w:lang w:val="ro-RO"/>
              </w:rPr>
              <w:t>i</w:t>
            </w:r>
            <w:r w:rsidRPr="00857CDA">
              <w:rPr>
                <w:sz w:val="18"/>
                <w:szCs w:val="18"/>
                <w:lang w:val="ro-RO"/>
              </w:rPr>
              <w:t>lm</w:t>
            </w:r>
            <w:r w:rsidR="00350067" w:rsidRPr="00857CDA">
              <w:rPr>
                <w:sz w:val="18"/>
                <w:szCs w:val="18"/>
                <w:lang w:val="ro-RO"/>
              </w:rPr>
              <w:t>e</w:t>
            </w:r>
            <w:r w:rsidRPr="00857CDA">
              <w:rPr>
                <w:sz w:val="18"/>
                <w:szCs w:val="18"/>
                <w:lang w:val="ro-RO"/>
              </w:rPr>
              <w:t>t</w:t>
            </w:r>
            <w:r w:rsidR="00350067" w:rsidRPr="00857CDA">
              <w:rPr>
                <w:sz w:val="18"/>
                <w:szCs w:val="18"/>
                <w:lang w:val="ro-RO"/>
              </w:rPr>
              <w:t>i</w:t>
            </w:r>
            <w:r w:rsidRPr="00857CDA">
              <w:rPr>
                <w:sz w:val="18"/>
                <w:szCs w:val="18"/>
                <w:lang w:val="ro-RO"/>
              </w:rPr>
              <w:t>l</w:t>
            </w:r>
            <w:r w:rsidR="00350067" w:rsidRPr="00857CDA">
              <w:rPr>
                <w:sz w:val="18"/>
                <w:szCs w:val="18"/>
                <w:lang w:val="ro-RO"/>
              </w:rPr>
              <w:t>e</w:t>
            </w:r>
            <w:r w:rsidRPr="00857CDA">
              <w:rPr>
                <w:sz w:val="18"/>
                <w:szCs w:val="18"/>
                <w:lang w:val="ro-RO"/>
              </w:rPr>
              <w:t>n) azan</w:t>
            </w:r>
            <w:r w:rsidR="00350067" w:rsidRPr="00857CDA">
              <w:rPr>
                <w:sz w:val="18"/>
                <w:szCs w:val="18"/>
                <w:lang w:val="ro-RO"/>
              </w:rPr>
              <w:t>i</w:t>
            </w:r>
            <w:r w:rsidRPr="00857CDA">
              <w:rPr>
                <w:sz w:val="18"/>
                <w:szCs w:val="18"/>
                <w:lang w:val="ro-RO"/>
              </w:rPr>
              <w:t>l]</w:t>
            </w:r>
            <w:r w:rsidR="004C27AD" w:rsidRPr="00857CDA">
              <w:rPr>
                <w:sz w:val="18"/>
                <w:szCs w:val="18"/>
                <w:lang w:val="ro-RO"/>
              </w:rPr>
              <w:t xml:space="preserve"> și </w:t>
            </w:r>
            <w:r w:rsidRPr="00857CDA">
              <w:rPr>
                <w:sz w:val="18"/>
                <w:szCs w:val="18"/>
                <w:lang w:val="ro-RO"/>
              </w:rPr>
              <w:t>de O,O-di</w:t>
            </w:r>
            <w:r w:rsidR="00350067" w:rsidRPr="00857CDA">
              <w:rPr>
                <w:sz w:val="18"/>
                <w:szCs w:val="18"/>
                <w:lang w:val="ro-RO"/>
              </w:rPr>
              <w:t>e</w:t>
            </w:r>
            <w:r w:rsidRPr="00857CDA">
              <w:rPr>
                <w:sz w:val="18"/>
                <w:szCs w:val="18"/>
                <w:lang w:val="ro-RO"/>
              </w:rPr>
              <w:t>t</w:t>
            </w:r>
            <w:r w:rsidR="00350067" w:rsidRPr="00857CDA">
              <w:rPr>
                <w:sz w:val="18"/>
                <w:szCs w:val="18"/>
                <w:lang w:val="ro-RO"/>
              </w:rPr>
              <w:t>i</w:t>
            </w:r>
            <w:r w:rsidRPr="00857CDA">
              <w:rPr>
                <w:sz w:val="18"/>
                <w:szCs w:val="18"/>
                <w:lang w:val="ro-RO"/>
              </w:rPr>
              <w:t>l</w:t>
            </w:r>
          </w:p>
        </w:tc>
        <w:tc>
          <w:tcPr>
            <w:tcW w:w="993" w:type="dxa"/>
            <w:tcBorders>
              <w:bottom w:val="single" w:sz="4" w:space="0" w:color="auto"/>
            </w:tcBorders>
            <w:shd w:val="clear" w:color="auto" w:fill="auto"/>
          </w:tcPr>
          <w:p w:rsidR="00196C06" w:rsidRPr="00857CDA" w:rsidRDefault="00196C06" w:rsidP="00350067">
            <w:pPr>
              <w:keepNext/>
              <w:keepLines/>
              <w:spacing w:before="40" w:after="120"/>
              <w:rPr>
                <w:sz w:val="18"/>
                <w:szCs w:val="18"/>
                <w:lang w:val="ro-RO"/>
              </w:rPr>
            </w:pPr>
            <w:r w:rsidRPr="00857CDA">
              <w:rPr>
                <w:sz w:val="17"/>
                <w:lang w:val="ro-RO"/>
              </w:rPr>
              <w:t>82-91 (isom</w:t>
            </w:r>
            <w:r w:rsidR="00350067" w:rsidRPr="00857CDA">
              <w:rPr>
                <w:sz w:val="17"/>
                <w:lang w:val="ro-RO"/>
              </w:rPr>
              <w:t>e</w:t>
            </w:r>
            <w:r w:rsidRPr="00857CDA">
              <w:rPr>
                <w:sz w:val="17"/>
                <w:lang w:val="ro-RO"/>
              </w:rPr>
              <w:t>r</w:t>
            </w:r>
            <w:r w:rsidR="00350067" w:rsidRPr="00857CDA">
              <w:rPr>
                <w:sz w:val="17"/>
                <w:lang w:val="ro-RO"/>
              </w:rPr>
              <w:t>ul</w:t>
            </w:r>
            <w:r w:rsidRPr="00857CDA">
              <w:rPr>
                <w:sz w:val="17"/>
                <w:lang w:val="ro-RO"/>
              </w:rPr>
              <w:t xml:space="preserve"> Z)</w:t>
            </w:r>
          </w:p>
        </w:tc>
        <w:tc>
          <w:tcPr>
            <w:tcW w:w="992" w:type="dxa"/>
            <w:tcBorders>
              <w:bottom w:val="single" w:sz="4" w:space="0" w:color="auto"/>
            </w:tcBorders>
            <w:shd w:val="clear" w:color="auto" w:fill="auto"/>
          </w:tcPr>
          <w:p w:rsidR="00196C06" w:rsidRPr="00857CDA" w:rsidRDefault="00196C06" w:rsidP="006201FD">
            <w:pPr>
              <w:keepNext/>
              <w:keepLines/>
              <w:spacing w:before="40" w:after="120"/>
              <w:rPr>
                <w:sz w:val="18"/>
                <w:szCs w:val="18"/>
                <w:lang w:val="ro-RO"/>
              </w:rPr>
            </w:pPr>
            <w:r w:rsidRPr="00857CDA">
              <w:rPr>
                <w:sz w:val="17"/>
                <w:lang w:val="ro-RO"/>
              </w:rPr>
              <w:t>OP8</w:t>
            </w:r>
          </w:p>
        </w:tc>
        <w:tc>
          <w:tcPr>
            <w:tcW w:w="992" w:type="dxa"/>
            <w:tcBorders>
              <w:bottom w:val="single" w:sz="4" w:space="0" w:color="auto"/>
            </w:tcBorders>
            <w:shd w:val="clear" w:color="auto" w:fill="auto"/>
          </w:tcPr>
          <w:p w:rsidR="00196C06" w:rsidRPr="00857CDA" w:rsidRDefault="00196C06" w:rsidP="006201FD">
            <w:pPr>
              <w:keepNext/>
              <w:keepLines/>
              <w:spacing w:before="40" w:after="120"/>
              <w:rPr>
                <w:sz w:val="18"/>
                <w:szCs w:val="18"/>
                <w:lang w:val="ro-RO"/>
              </w:rPr>
            </w:pPr>
          </w:p>
        </w:tc>
        <w:tc>
          <w:tcPr>
            <w:tcW w:w="992" w:type="dxa"/>
            <w:tcBorders>
              <w:bottom w:val="single" w:sz="4" w:space="0" w:color="auto"/>
            </w:tcBorders>
            <w:shd w:val="clear" w:color="auto" w:fill="auto"/>
          </w:tcPr>
          <w:p w:rsidR="00196C06" w:rsidRPr="00857CDA" w:rsidRDefault="00196C06" w:rsidP="006201FD">
            <w:pPr>
              <w:keepNext/>
              <w:keepLines/>
              <w:spacing w:before="40" w:after="120"/>
              <w:rPr>
                <w:sz w:val="18"/>
                <w:szCs w:val="18"/>
                <w:lang w:val="ro-RO"/>
              </w:rPr>
            </w:pPr>
          </w:p>
        </w:tc>
        <w:tc>
          <w:tcPr>
            <w:tcW w:w="851" w:type="dxa"/>
            <w:tcBorders>
              <w:bottom w:val="single" w:sz="4" w:space="0" w:color="auto"/>
            </w:tcBorders>
            <w:shd w:val="clear" w:color="auto" w:fill="auto"/>
          </w:tcPr>
          <w:p w:rsidR="00196C06" w:rsidRPr="00857CDA" w:rsidRDefault="00196C06" w:rsidP="006201FD">
            <w:pPr>
              <w:keepNext/>
              <w:keepLines/>
              <w:spacing w:before="40" w:after="120"/>
              <w:rPr>
                <w:sz w:val="18"/>
                <w:szCs w:val="18"/>
                <w:lang w:val="ro-RO"/>
              </w:rPr>
            </w:pPr>
            <w:r w:rsidRPr="00857CDA">
              <w:rPr>
                <w:sz w:val="18"/>
                <w:szCs w:val="18"/>
                <w:lang w:val="ro-RO"/>
              </w:rPr>
              <w:t>3227</w:t>
            </w:r>
            <w:r w:rsidRPr="00857CDA">
              <w:rPr>
                <w:sz w:val="18"/>
                <w:szCs w:val="18"/>
                <w:lang w:val="ro-RO"/>
              </w:rPr>
              <w:tab/>
            </w:r>
          </w:p>
        </w:tc>
        <w:tc>
          <w:tcPr>
            <w:tcW w:w="567" w:type="dxa"/>
            <w:tcBorders>
              <w:bottom w:val="single" w:sz="4" w:space="0" w:color="auto"/>
            </w:tcBorders>
            <w:shd w:val="clear" w:color="auto" w:fill="auto"/>
          </w:tcPr>
          <w:p w:rsidR="00196C06" w:rsidRPr="00857CDA" w:rsidRDefault="00196C06" w:rsidP="006201FD">
            <w:pPr>
              <w:keepNext/>
              <w:keepLines/>
              <w:spacing w:before="40" w:after="120"/>
              <w:rPr>
                <w:sz w:val="18"/>
                <w:szCs w:val="18"/>
                <w:lang w:val="ro-RO"/>
              </w:rPr>
            </w:pPr>
            <w:r w:rsidRPr="00857CDA">
              <w:rPr>
                <w:sz w:val="18"/>
                <w:szCs w:val="18"/>
                <w:lang w:val="ro-RO"/>
              </w:rPr>
              <w:t>10)</w:t>
            </w:r>
          </w:p>
        </w:tc>
      </w:tr>
    </w:tbl>
    <w:p w:rsidR="00803EFF" w:rsidRPr="00857CDA" w:rsidRDefault="00DA6EAC" w:rsidP="00CD1138">
      <w:pPr>
        <w:pStyle w:val="SingleTxtG"/>
        <w:spacing w:before="120"/>
        <w:rPr>
          <w:iCs/>
          <w:lang w:val="ro-RO"/>
        </w:rPr>
      </w:pPr>
      <w:r w:rsidRPr="00857CDA">
        <w:rPr>
          <w:lang w:val="ro-RO" w:eastAsia="en-GB"/>
        </w:rPr>
        <w:t>2.2.41.4</w:t>
      </w:r>
      <w:r w:rsidR="007113E4" w:rsidRPr="00857CDA">
        <w:rPr>
          <w:lang w:val="ro-RO" w:eastAsia="en-GB"/>
        </w:rPr>
        <w:tab/>
      </w:r>
      <w:r w:rsidR="00991390" w:rsidRPr="00857CDA">
        <w:rPr>
          <w:iCs/>
          <w:lang w:val="ro-RO"/>
        </w:rPr>
        <w:t>După</w:t>
      </w:r>
      <w:r w:rsidR="00803EFF" w:rsidRPr="00857CDA">
        <w:rPr>
          <w:iCs/>
          <w:lang w:val="ro-RO"/>
        </w:rPr>
        <w:t xml:space="preserve"> </w:t>
      </w:r>
      <w:r w:rsidR="00463BBB" w:rsidRPr="00857CDA">
        <w:rPr>
          <w:iCs/>
          <w:lang w:val="ro-RO"/>
        </w:rPr>
        <w:t>tabel</w:t>
      </w:r>
      <w:r w:rsidR="00803EFF" w:rsidRPr="00857CDA">
        <w:rPr>
          <w:iCs/>
          <w:lang w:val="ro-RO"/>
        </w:rPr>
        <w:t xml:space="preserve">, </w:t>
      </w:r>
      <w:r w:rsidRPr="00857CDA">
        <w:rPr>
          <w:iCs/>
          <w:lang w:val="ro-RO"/>
        </w:rPr>
        <w:t>l</w:t>
      </w:r>
      <w:r w:rsidR="00E6182B" w:rsidRPr="00857CDA">
        <w:rPr>
          <w:iCs/>
          <w:lang w:val="ro-RO"/>
        </w:rPr>
        <w:t>a</w:t>
      </w:r>
      <w:r w:rsidRPr="00857CDA">
        <w:rPr>
          <w:iCs/>
          <w:lang w:val="ro-RO"/>
        </w:rPr>
        <w:t xml:space="preserve"> observa</w:t>
      </w:r>
      <w:r w:rsidR="00E6182B" w:rsidRPr="00857CDA">
        <w:rPr>
          <w:iCs/>
          <w:lang w:val="ro-RO"/>
        </w:rPr>
        <w:t>țiile</w:t>
      </w:r>
      <w:r w:rsidRPr="00857CDA">
        <w:rPr>
          <w:iCs/>
          <w:lang w:val="ro-RO"/>
        </w:rPr>
        <w:t xml:space="preserve"> </w:t>
      </w:r>
      <w:r w:rsidR="00803EFF" w:rsidRPr="00857CDA">
        <w:rPr>
          <w:iCs/>
          <w:lang w:val="ro-RO"/>
        </w:rPr>
        <w:t xml:space="preserve">1), </w:t>
      </w:r>
      <w:r w:rsidRPr="00857CDA">
        <w:rPr>
          <w:iCs/>
          <w:lang w:val="ro-RO"/>
        </w:rPr>
        <w:t>4)</w:t>
      </w:r>
      <w:r w:rsidR="004C27AD" w:rsidRPr="00857CDA">
        <w:rPr>
          <w:iCs/>
          <w:lang w:val="ro-RO"/>
        </w:rPr>
        <w:t xml:space="preserve"> și </w:t>
      </w:r>
      <w:r w:rsidRPr="00857CDA">
        <w:rPr>
          <w:iCs/>
          <w:lang w:val="ro-RO"/>
        </w:rPr>
        <w:t xml:space="preserve">6), </w:t>
      </w:r>
      <w:r w:rsidR="00902C44" w:rsidRPr="00857CDA">
        <w:rPr>
          <w:iCs/>
          <w:lang w:val="ro-RO"/>
        </w:rPr>
        <w:t>Se modifică</w:t>
      </w:r>
      <w:r w:rsidR="00803EFF" w:rsidRPr="00857CDA">
        <w:rPr>
          <w:iCs/>
          <w:lang w:val="ro-RO"/>
        </w:rPr>
        <w:t xml:space="preserve"> </w:t>
      </w:r>
      <w:r w:rsidR="009918B0" w:rsidRPr="00857CDA">
        <w:rPr>
          <w:lang w:val="ro-RO"/>
        </w:rPr>
        <w:t>„</w:t>
      </w:r>
      <w:r w:rsidRPr="00857CDA">
        <w:rPr>
          <w:lang w:val="ro-RO"/>
        </w:rPr>
        <w:t>2.2.41.1.17</w:t>
      </w:r>
      <w:r w:rsidR="00660131" w:rsidRPr="00857CDA">
        <w:rPr>
          <w:lang w:val="ro-RO"/>
        </w:rPr>
        <w:t>”</w:t>
      </w:r>
      <w:r w:rsidR="00902C44" w:rsidRPr="00857CDA">
        <w:rPr>
          <w:iCs/>
          <w:lang w:val="ro-RO"/>
        </w:rPr>
        <w:t xml:space="preserve"> cu </w:t>
      </w:r>
      <w:r w:rsidR="009918B0" w:rsidRPr="00857CDA">
        <w:rPr>
          <w:lang w:val="ro-RO"/>
        </w:rPr>
        <w:t>„</w:t>
      </w:r>
      <w:r w:rsidRPr="00857CDA">
        <w:rPr>
          <w:lang w:val="ro-RO"/>
        </w:rPr>
        <w:t xml:space="preserve">7.1.7.3.1 </w:t>
      </w:r>
      <w:r w:rsidR="009918B0" w:rsidRPr="00857CDA">
        <w:rPr>
          <w:lang w:val="ro-RO"/>
        </w:rPr>
        <w:t>la</w:t>
      </w:r>
      <w:r w:rsidRPr="00857CDA">
        <w:rPr>
          <w:lang w:val="ro-RO"/>
        </w:rPr>
        <w:t xml:space="preserve"> 7.1.7.3.6</w:t>
      </w:r>
      <w:r w:rsidR="00660131" w:rsidRPr="00857CDA">
        <w:rPr>
          <w:lang w:val="ro-RO"/>
        </w:rPr>
        <w:t>”</w:t>
      </w:r>
      <w:r w:rsidR="00803EFF" w:rsidRPr="00857CDA">
        <w:rPr>
          <w:iCs/>
          <w:lang w:val="ro-RO"/>
        </w:rPr>
        <w:t>.</w:t>
      </w:r>
    </w:p>
    <w:p w:rsidR="00830168" w:rsidRPr="00857CDA" w:rsidRDefault="00DA6EAC" w:rsidP="00830168">
      <w:pPr>
        <w:spacing w:before="120" w:after="120" w:line="240" w:lineRule="auto"/>
        <w:ind w:left="1134" w:right="1134"/>
        <w:jc w:val="both"/>
        <w:rPr>
          <w:lang w:val="ro-RO"/>
        </w:rPr>
      </w:pPr>
      <w:r w:rsidRPr="00857CDA">
        <w:rPr>
          <w:lang w:val="ro-RO" w:eastAsia="en-GB"/>
        </w:rPr>
        <w:lastRenderedPageBreak/>
        <w:t>2.2.41.4</w:t>
      </w:r>
      <w:r w:rsidR="00830168" w:rsidRPr="00857CDA">
        <w:rPr>
          <w:lang w:val="ro-RO" w:eastAsia="en-GB"/>
        </w:rPr>
        <w:tab/>
      </w:r>
      <w:r w:rsidR="00991390" w:rsidRPr="00857CDA">
        <w:rPr>
          <w:iCs/>
          <w:lang w:val="ro-RO"/>
        </w:rPr>
        <w:t>După</w:t>
      </w:r>
      <w:r w:rsidR="007113E4" w:rsidRPr="00857CDA">
        <w:rPr>
          <w:iCs/>
          <w:lang w:val="ro-RO"/>
        </w:rPr>
        <w:t xml:space="preserve"> </w:t>
      </w:r>
      <w:r w:rsidR="00463BBB" w:rsidRPr="00857CDA">
        <w:rPr>
          <w:iCs/>
          <w:lang w:val="ro-RO"/>
        </w:rPr>
        <w:t>tabel</w:t>
      </w:r>
      <w:r w:rsidR="007113E4" w:rsidRPr="00857CDA">
        <w:rPr>
          <w:iCs/>
          <w:lang w:val="ro-RO"/>
        </w:rPr>
        <w:t xml:space="preserve">, </w:t>
      </w:r>
      <w:r w:rsidR="00E6182B" w:rsidRPr="00857CDA">
        <w:rPr>
          <w:iCs/>
          <w:lang w:val="ro-RO"/>
        </w:rPr>
        <w:t>î</w:t>
      </w:r>
      <w:r w:rsidR="00902C44" w:rsidRPr="00857CDA">
        <w:rPr>
          <w:iCs/>
          <w:lang w:val="ro-RO"/>
        </w:rPr>
        <w:t xml:space="preserve">n </w:t>
      </w:r>
      <w:r w:rsidR="00E6182B" w:rsidRPr="00857CDA">
        <w:rPr>
          <w:lang w:val="ro-RO" w:eastAsia="en-GB"/>
        </w:rPr>
        <w:t>o</w:t>
      </w:r>
      <w:r w:rsidR="00830168" w:rsidRPr="00857CDA">
        <w:rPr>
          <w:lang w:val="ro-RO" w:eastAsia="en-GB"/>
        </w:rPr>
        <w:t>bserva</w:t>
      </w:r>
      <w:r w:rsidR="00E6182B" w:rsidRPr="00857CDA">
        <w:rPr>
          <w:lang w:val="ro-RO" w:eastAsia="en-GB"/>
        </w:rPr>
        <w:t>ția</w:t>
      </w:r>
      <w:r w:rsidR="00830168" w:rsidRPr="00857CDA">
        <w:rPr>
          <w:lang w:val="ro-RO" w:eastAsia="en-GB"/>
        </w:rPr>
        <w:t xml:space="preserve"> 2), </w:t>
      </w:r>
      <w:r w:rsidR="00902C44" w:rsidRPr="00857CDA">
        <w:rPr>
          <w:lang w:val="ro-RO" w:eastAsia="en-GB"/>
        </w:rPr>
        <w:t>Se modifică</w:t>
      </w:r>
      <w:r w:rsidR="00830168" w:rsidRPr="00857CDA">
        <w:rPr>
          <w:lang w:val="ro-RO"/>
        </w:rPr>
        <w:t xml:space="preserve"> </w:t>
      </w:r>
      <w:r w:rsidR="009918B0"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9918B0" w:rsidRPr="00857CDA">
        <w:rPr>
          <w:lang w:val="ro-RO"/>
        </w:rPr>
        <w:t>„</w:t>
      </w:r>
      <w:r w:rsidR="002B679C" w:rsidRPr="00857CDA">
        <w:rPr>
          <w:lang w:val="ro-RO"/>
        </w:rPr>
        <w:t>pericol</w:t>
      </w:r>
      <w:r w:rsidR="00660131" w:rsidRPr="00857CDA">
        <w:rPr>
          <w:lang w:val="ro-RO"/>
        </w:rPr>
        <w:t>”</w:t>
      </w:r>
      <w:r w:rsidR="00830168" w:rsidRPr="00857CDA">
        <w:rPr>
          <w:lang w:val="ro-RO"/>
        </w:rPr>
        <w:t>.</w:t>
      </w:r>
    </w:p>
    <w:p w:rsidR="00196C06" w:rsidRPr="00857CDA" w:rsidRDefault="00DA6EAC" w:rsidP="00196C06">
      <w:pPr>
        <w:pStyle w:val="SingleTxtG"/>
        <w:rPr>
          <w:iCs/>
          <w:lang w:val="ro-RO"/>
        </w:rPr>
      </w:pPr>
      <w:r w:rsidRPr="00857CDA">
        <w:rPr>
          <w:lang w:val="ro-RO" w:eastAsia="en-GB"/>
        </w:rPr>
        <w:t>2.2.41.4</w:t>
      </w:r>
      <w:r w:rsidR="007113E4" w:rsidRPr="00857CDA">
        <w:rPr>
          <w:lang w:val="ro-RO" w:eastAsia="en-GB"/>
        </w:rPr>
        <w:tab/>
      </w:r>
      <w:r w:rsidR="00991390" w:rsidRPr="00857CDA">
        <w:rPr>
          <w:iCs/>
          <w:lang w:val="ro-RO"/>
        </w:rPr>
        <w:t>După</w:t>
      </w:r>
      <w:r w:rsidR="00196C06" w:rsidRPr="00857CDA">
        <w:rPr>
          <w:iCs/>
          <w:lang w:val="ro-RO"/>
        </w:rPr>
        <w:t xml:space="preserve"> </w:t>
      </w:r>
      <w:r w:rsidR="00463BBB" w:rsidRPr="00857CDA">
        <w:rPr>
          <w:iCs/>
          <w:lang w:val="ro-RO"/>
        </w:rPr>
        <w:t>tabelul</w:t>
      </w:r>
      <w:r w:rsidR="00196C06" w:rsidRPr="00857CDA">
        <w:rPr>
          <w:iCs/>
          <w:lang w:val="ro-RO"/>
        </w:rPr>
        <w:t xml:space="preserve">, </w:t>
      </w:r>
      <w:r w:rsidR="00902C44" w:rsidRPr="00857CDA">
        <w:rPr>
          <w:iCs/>
          <w:lang w:val="ro-RO"/>
        </w:rPr>
        <w:t>se adaugă</w:t>
      </w:r>
      <w:r w:rsidR="00196C06" w:rsidRPr="00857CDA">
        <w:rPr>
          <w:iCs/>
          <w:lang w:val="ro-RO"/>
        </w:rPr>
        <w:t xml:space="preserve"> </w:t>
      </w:r>
      <w:r w:rsidR="00E6182B" w:rsidRPr="00857CDA">
        <w:rPr>
          <w:iCs/>
          <w:lang w:val="ro-RO"/>
        </w:rPr>
        <w:t>noua observație</w:t>
      </w:r>
      <w:r w:rsidR="00196C06" w:rsidRPr="00857CDA">
        <w:rPr>
          <w:iCs/>
          <w:lang w:val="ro-RO"/>
        </w:rPr>
        <w:t xml:space="preserve"> 10)</w:t>
      </w:r>
      <w:r w:rsidR="00E6182B" w:rsidRPr="00857CDA">
        <w:rPr>
          <w:iCs/>
          <w:lang w:val="ro-RO"/>
        </w:rPr>
        <w:t>, după cum urmează</w:t>
      </w:r>
      <w:r w:rsidR="00196C06" w:rsidRPr="00857CDA">
        <w:rPr>
          <w:iCs/>
          <w:lang w:val="ro-RO"/>
        </w:rPr>
        <w:t>:</w:t>
      </w:r>
    </w:p>
    <w:p w:rsidR="00196C06" w:rsidRPr="00857CDA" w:rsidRDefault="009918B0" w:rsidP="005017BA">
      <w:pPr>
        <w:spacing w:before="120" w:after="120" w:line="240" w:lineRule="auto"/>
        <w:ind w:left="1134" w:right="1134"/>
        <w:jc w:val="both"/>
        <w:rPr>
          <w:lang w:val="ro-RO"/>
        </w:rPr>
      </w:pPr>
      <w:r w:rsidRPr="00857CDA">
        <w:rPr>
          <w:lang w:val="ro-RO"/>
        </w:rPr>
        <w:t>„</w:t>
      </w:r>
      <w:r w:rsidR="00196C06" w:rsidRPr="00857CDA">
        <w:rPr>
          <w:lang w:val="ro-RO"/>
        </w:rPr>
        <w:t>10)</w:t>
      </w:r>
      <w:r w:rsidR="00196C06" w:rsidRPr="00857CDA">
        <w:rPr>
          <w:lang w:val="ro-RO"/>
        </w:rPr>
        <w:tab/>
      </w:r>
      <w:r w:rsidR="005017BA" w:rsidRPr="00857CDA">
        <w:rPr>
          <w:lang w:val="ro-RO"/>
        </w:rPr>
        <w:t>Această rubrică se aplică amestecului tehnic de n-butanol la limitele de concentrație specificate pentru izomer (Z</w:t>
      </w:r>
      <w:r w:rsidR="00196C06" w:rsidRPr="00857CDA">
        <w:rPr>
          <w:lang w:val="ro-RO"/>
        </w:rPr>
        <w:t>).</w:t>
      </w:r>
      <w:r w:rsidR="00660131" w:rsidRPr="00857CDA">
        <w:rPr>
          <w:lang w:val="ro-RO"/>
        </w:rPr>
        <w:t>”</w:t>
      </w:r>
      <w:r w:rsidR="00196C06" w:rsidRPr="00857CDA">
        <w:rPr>
          <w:lang w:val="ro-RO"/>
        </w:rPr>
        <w:t>.</w:t>
      </w:r>
    </w:p>
    <w:p w:rsidR="00DA6EAC" w:rsidRPr="00857CDA" w:rsidRDefault="004215F5" w:rsidP="00196C06">
      <w:pPr>
        <w:pStyle w:val="SingleTxtG"/>
        <w:rPr>
          <w:lang w:val="ro-RO"/>
        </w:rPr>
      </w:pPr>
      <w:r w:rsidRPr="00857CDA">
        <w:rPr>
          <w:lang w:val="ro-RO"/>
        </w:rPr>
        <w:t>2.2.42.1.2</w:t>
      </w:r>
      <w:r w:rsidRPr="00857CDA">
        <w:rPr>
          <w:lang w:val="ro-RO"/>
        </w:rPr>
        <w:tab/>
      </w:r>
      <w:r w:rsidR="002B679C" w:rsidRPr="00857CDA">
        <w:rPr>
          <w:lang w:val="ro-RO"/>
        </w:rPr>
        <w:t>Se modifică</w:t>
      </w:r>
      <w:r w:rsidRPr="00857CDA">
        <w:rPr>
          <w:lang w:val="ro-RO"/>
        </w:rPr>
        <w:t xml:space="preserve"> tit</w:t>
      </w:r>
      <w:r w:rsidR="005017BA" w:rsidRPr="00857CDA">
        <w:rPr>
          <w:lang w:val="ro-RO"/>
        </w:rPr>
        <w:t>lul</w:t>
      </w:r>
      <w:r w:rsidRPr="00857CDA">
        <w:rPr>
          <w:lang w:val="ro-RO"/>
        </w:rPr>
        <w:t xml:space="preserve"> sub</w:t>
      </w:r>
      <w:r w:rsidR="005017BA" w:rsidRPr="00857CDA">
        <w:rPr>
          <w:lang w:val="ro-RO"/>
        </w:rPr>
        <w:t>-</w:t>
      </w:r>
      <w:r w:rsidRPr="00857CDA">
        <w:rPr>
          <w:lang w:val="ro-RO"/>
        </w:rPr>
        <w:t>divi</w:t>
      </w:r>
      <w:r w:rsidR="005017BA" w:rsidRPr="00857CDA">
        <w:rPr>
          <w:lang w:val="ro-RO"/>
        </w:rPr>
        <w:t>ziunii</w:t>
      </w:r>
      <w:r w:rsidRPr="00857CDA">
        <w:rPr>
          <w:lang w:val="ro-RO"/>
        </w:rPr>
        <w:t xml:space="preserve"> </w:t>
      </w:r>
      <w:r w:rsidR="009918B0" w:rsidRPr="00857CDA">
        <w:rPr>
          <w:lang w:val="ro-RO"/>
        </w:rPr>
        <w:t>„</w:t>
      </w:r>
      <w:r w:rsidRPr="00857CDA">
        <w:rPr>
          <w:lang w:val="ro-RO"/>
        </w:rPr>
        <w:t>S</w:t>
      </w:r>
      <w:r w:rsidR="00660131" w:rsidRPr="00857CDA">
        <w:rPr>
          <w:lang w:val="ro-RO"/>
        </w:rPr>
        <w:t>”</w:t>
      </w:r>
      <w:r w:rsidR="005017BA" w:rsidRPr="00857CDA">
        <w:rPr>
          <w:lang w:val="ro-RO"/>
        </w:rPr>
        <w:t>, după cum urmează:</w:t>
      </w:r>
      <w:r w:rsidRPr="00857CDA">
        <w:rPr>
          <w:lang w:val="ro-RO"/>
        </w:rPr>
        <w:t xml:space="preserve"> </w:t>
      </w:r>
      <w:r w:rsidR="009918B0" w:rsidRPr="00857CDA">
        <w:rPr>
          <w:lang w:val="ro-RO"/>
        </w:rPr>
        <w:t>„</w:t>
      </w:r>
      <w:r w:rsidR="005017BA" w:rsidRPr="00857CDA">
        <w:rPr>
          <w:lang w:val="ro-RO"/>
        </w:rPr>
        <w:t>Substanţe predispuse la aprindere spontană, fără pericol secundar</w:t>
      </w:r>
      <w:r w:rsidR="00660131" w:rsidRPr="00857CDA">
        <w:rPr>
          <w:lang w:val="ro-RO"/>
        </w:rPr>
        <w:t>”</w:t>
      </w:r>
      <w:r w:rsidRPr="00857CDA">
        <w:rPr>
          <w:lang w:val="ro-RO"/>
        </w:rPr>
        <w:t>.</w:t>
      </w:r>
    </w:p>
    <w:p w:rsidR="004215F5" w:rsidRPr="00857CDA" w:rsidRDefault="004215F5" w:rsidP="00CD1138">
      <w:pPr>
        <w:pStyle w:val="SingleTxtG"/>
        <w:rPr>
          <w:lang w:val="ro-RO"/>
        </w:rPr>
      </w:pPr>
      <w:r w:rsidRPr="00857CDA">
        <w:rPr>
          <w:lang w:val="ro-RO"/>
        </w:rPr>
        <w:t>2.2.42.1.2</w:t>
      </w:r>
      <w:r w:rsidRPr="00857CDA">
        <w:rPr>
          <w:lang w:val="ro-RO"/>
        </w:rPr>
        <w:tab/>
      </w:r>
      <w:r w:rsidR="00991390" w:rsidRPr="00857CDA">
        <w:rPr>
          <w:lang w:val="ro-RO"/>
        </w:rPr>
        <w:t>Pentru</w:t>
      </w:r>
      <w:r w:rsidRPr="00857CDA">
        <w:rPr>
          <w:lang w:val="ro-RO"/>
        </w:rPr>
        <w:t xml:space="preserve"> </w:t>
      </w:r>
      <w:r w:rsidR="009918B0" w:rsidRPr="00857CDA">
        <w:rPr>
          <w:lang w:val="ro-RO"/>
        </w:rPr>
        <w:t>„</w:t>
      </w:r>
      <w:r w:rsidRPr="00857CDA">
        <w:rPr>
          <w:lang w:val="ro-RO"/>
        </w:rPr>
        <w:t>S </w:t>
      </w:r>
      <w:r w:rsidR="005017BA" w:rsidRPr="00857CDA">
        <w:rPr>
          <w:lang w:val="ro-RO"/>
        </w:rPr>
        <w:t>Substanţe predispuse la aprindere spontană, fără pericol secundar</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nou</w:t>
      </w:r>
      <w:r w:rsidR="005017BA" w:rsidRPr="00857CDA">
        <w:rPr>
          <w:lang w:val="ro-RO"/>
        </w:rPr>
        <w:t>a</w:t>
      </w:r>
      <w:r w:rsidRPr="00857CDA">
        <w:rPr>
          <w:lang w:val="ro-RO"/>
        </w:rPr>
        <w:t xml:space="preserve"> rubri</w:t>
      </w:r>
      <w:r w:rsidR="005017BA" w:rsidRPr="00857CDA">
        <w:rPr>
          <w:lang w:val="ro-RO"/>
        </w:rPr>
        <w:t>că, după cum urmează</w:t>
      </w:r>
      <w:r w:rsidR="00091658" w:rsidRPr="00857CDA">
        <w:rPr>
          <w:lang w:val="ro-RO"/>
        </w:rPr>
        <w:t>:</w:t>
      </w:r>
      <w:r w:rsidRPr="00857CDA">
        <w:rPr>
          <w:lang w:val="ro-RO"/>
        </w:rPr>
        <w:t xml:space="preserve"> </w:t>
      </w:r>
      <w:r w:rsidR="009918B0" w:rsidRPr="00857CDA">
        <w:rPr>
          <w:lang w:val="ro-RO"/>
        </w:rPr>
        <w:t>„</w:t>
      </w:r>
      <w:r w:rsidRPr="00857CDA">
        <w:rPr>
          <w:lang w:val="ro-RO"/>
        </w:rPr>
        <w:t>S6</w:t>
      </w:r>
      <w:r w:rsidRPr="00857CDA">
        <w:rPr>
          <w:lang w:val="ro-RO"/>
        </w:rPr>
        <w:tab/>
      </w:r>
      <w:r w:rsidR="009918B0" w:rsidRPr="00857CDA">
        <w:rPr>
          <w:lang w:val="ro-RO"/>
        </w:rPr>
        <w:tab/>
      </w:r>
      <w:r w:rsidRPr="00857CDA">
        <w:rPr>
          <w:lang w:val="ro-RO"/>
        </w:rPr>
        <w:t>Ob</w:t>
      </w:r>
      <w:r w:rsidR="005017BA" w:rsidRPr="00857CDA">
        <w:rPr>
          <w:lang w:val="ro-RO"/>
        </w:rPr>
        <w:t>iecte</w:t>
      </w:r>
      <w:r w:rsidR="009D5DA2" w:rsidRPr="00857CDA">
        <w:rPr>
          <w:lang w:val="ro-RO"/>
        </w:rPr>
        <w:t>.</w:t>
      </w:r>
      <w:r w:rsidR="00660131" w:rsidRPr="00857CDA">
        <w:rPr>
          <w:lang w:val="ro-RO"/>
        </w:rPr>
        <w:t>”</w:t>
      </w:r>
      <w:r w:rsidRPr="00857CDA">
        <w:rPr>
          <w:lang w:val="ro-RO"/>
        </w:rPr>
        <w:t>.</w:t>
      </w:r>
    </w:p>
    <w:p w:rsidR="004215F5" w:rsidRPr="00857CDA" w:rsidRDefault="004215F5" w:rsidP="004215F5">
      <w:pPr>
        <w:pStyle w:val="SingleTxtG"/>
        <w:rPr>
          <w:lang w:val="ro-RO"/>
        </w:rPr>
      </w:pPr>
      <w:r w:rsidRPr="00857CDA">
        <w:rPr>
          <w:lang w:val="ro-RO"/>
        </w:rPr>
        <w:t>2.2.42.1.5</w:t>
      </w:r>
      <w:r w:rsidRPr="00857CDA">
        <w:rPr>
          <w:lang w:val="ro-RO"/>
        </w:rPr>
        <w:tab/>
      </w:r>
      <w:r w:rsidR="00902C44" w:rsidRPr="00857CDA">
        <w:rPr>
          <w:lang w:val="ro-RO"/>
        </w:rPr>
        <w:t xml:space="preserve">În </w:t>
      </w:r>
      <w:r w:rsidRPr="00857CDA">
        <w:rPr>
          <w:lang w:val="ro-RO"/>
        </w:rPr>
        <w:t xml:space="preserve">Nota 3, </w:t>
      </w:r>
      <w:r w:rsidR="00902C44" w:rsidRPr="00857CDA">
        <w:rPr>
          <w:lang w:val="ro-RO"/>
        </w:rPr>
        <w:t>Se modifică</w:t>
      </w:r>
      <w:r w:rsidRPr="00857CDA">
        <w:rPr>
          <w:lang w:val="ro-RO"/>
        </w:rPr>
        <w:t xml:space="preserve"> </w:t>
      </w:r>
      <w:r w:rsidR="009918B0" w:rsidRPr="00857CDA">
        <w:rPr>
          <w:lang w:val="ro-RO"/>
        </w:rPr>
        <w:t>„</w:t>
      </w:r>
      <w:r w:rsidR="002B679C" w:rsidRPr="00857CDA">
        <w:rPr>
          <w:lang w:val="ro-RO"/>
        </w:rPr>
        <w:t>riscuri</w:t>
      </w:r>
      <w:r w:rsidR="00660131" w:rsidRPr="00857CDA">
        <w:rPr>
          <w:lang w:val="ro-RO"/>
        </w:rPr>
        <w:t>”</w:t>
      </w:r>
      <w:r w:rsidR="00902C44" w:rsidRPr="00857CDA">
        <w:rPr>
          <w:lang w:val="ro-RO"/>
        </w:rPr>
        <w:t xml:space="preserve"> cu </w:t>
      </w:r>
      <w:r w:rsidR="009918B0" w:rsidRPr="00857CDA">
        <w:rPr>
          <w:lang w:val="ro-RO"/>
        </w:rPr>
        <w:t>„</w:t>
      </w:r>
      <w:r w:rsidR="002B679C" w:rsidRPr="00857CDA">
        <w:rPr>
          <w:lang w:val="ro-RO"/>
        </w:rPr>
        <w:t>pericole</w:t>
      </w:r>
      <w:r w:rsidR="00660131" w:rsidRPr="00857CDA">
        <w:rPr>
          <w:lang w:val="ro-RO"/>
        </w:rPr>
        <w:t>”</w:t>
      </w:r>
      <w:r w:rsidRPr="00857CDA">
        <w:rPr>
          <w:lang w:val="ro-RO"/>
        </w:rPr>
        <w:t>.</w:t>
      </w:r>
    </w:p>
    <w:p w:rsidR="004215F5" w:rsidRPr="00857CDA" w:rsidRDefault="004215F5" w:rsidP="004215F5">
      <w:pPr>
        <w:pStyle w:val="SingleTxtG"/>
        <w:rPr>
          <w:lang w:val="ro-RO" w:eastAsia="en-GB"/>
        </w:rPr>
      </w:pPr>
      <w:r w:rsidRPr="00857CDA">
        <w:rPr>
          <w:lang w:val="ro-RO"/>
        </w:rPr>
        <w:t>2.2.42.1.6</w:t>
      </w:r>
      <w:r w:rsidRPr="00857CDA">
        <w:rPr>
          <w:lang w:val="ro-RO"/>
        </w:rPr>
        <w:tab/>
      </w:r>
      <w:r w:rsidR="005017BA" w:rsidRPr="00857CDA">
        <w:rPr>
          <w:lang w:val="ro-RO"/>
        </w:rPr>
        <w:t>La sfârșit, s</w:t>
      </w:r>
      <w:r w:rsidR="005017BA" w:rsidRPr="00857CDA">
        <w:rPr>
          <w:lang w:val="ro-RO" w:eastAsia="en-GB"/>
        </w:rPr>
        <w:t>e modifică</w:t>
      </w:r>
      <w:r w:rsidR="005017BA" w:rsidRPr="00857CDA">
        <w:rPr>
          <w:lang w:val="ro-RO"/>
        </w:rPr>
        <w:t xml:space="preserve"> „periculozităţii lor reale” cu „pericolului lor real”</w:t>
      </w:r>
      <w:r w:rsidR="005017BA" w:rsidRPr="00857CDA">
        <w:rPr>
          <w:lang w:val="ro-RO" w:eastAsia="en-GB"/>
        </w:rPr>
        <w:t>.</w:t>
      </w:r>
    </w:p>
    <w:p w:rsidR="004215F5" w:rsidRPr="00857CDA" w:rsidRDefault="004215F5" w:rsidP="004215F5">
      <w:pPr>
        <w:pStyle w:val="SingleTxtG"/>
        <w:rPr>
          <w:iCs/>
          <w:lang w:val="ro-RO"/>
        </w:rPr>
      </w:pPr>
      <w:r w:rsidRPr="00857CDA">
        <w:rPr>
          <w:lang w:val="ro-RO" w:eastAsia="en-GB"/>
        </w:rPr>
        <w:t>2.2.42.3</w:t>
      </w:r>
      <w:r w:rsidRPr="00857CDA">
        <w:rPr>
          <w:lang w:val="ro-RO" w:eastAsia="en-GB"/>
        </w:rPr>
        <w:tab/>
      </w:r>
      <w:r w:rsidR="00902C44" w:rsidRPr="00857CDA">
        <w:rPr>
          <w:lang w:val="ro-RO" w:eastAsia="en-GB"/>
        </w:rPr>
        <w:t xml:space="preserve">În </w:t>
      </w:r>
      <w:r w:rsidRPr="00857CDA">
        <w:rPr>
          <w:lang w:val="ro-RO" w:eastAsia="en-GB"/>
        </w:rPr>
        <w:t xml:space="preserve">la </w:t>
      </w:r>
      <w:r w:rsidR="009918B0" w:rsidRPr="00857CDA">
        <w:rPr>
          <w:lang w:val="ro-RO"/>
        </w:rPr>
        <w:t>„</w:t>
      </w:r>
      <w:r w:rsidR="007A6DD2" w:rsidRPr="00857CDA">
        <w:rPr>
          <w:iCs/>
          <w:lang w:val="ro-RO"/>
        </w:rPr>
        <w:t>Lista rubricilor colective</w:t>
      </w:r>
      <w:r w:rsidR="00660131" w:rsidRPr="00857CDA">
        <w:rPr>
          <w:iCs/>
          <w:lang w:val="ro-RO"/>
        </w:rPr>
        <w:t>”</w:t>
      </w:r>
      <w:r w:rsidRPr="00857CDA">
        <w:rPr>
          <w:iCs/>
          <w:lang w:val="ro-RO"/>
        </w:rPr>
        <w:t xml:space="preserve">, </w:t>
      </w:r>
      <w:r w:rsidR="00991390" w:rsidRPr="00857CDA">
        <w:rPr>
          <w:iCs/>
          <w:lang w:val="ro-RO"/>
        </w:rPr>
        <w:t>pentru</w:t>
      </w:r>
      <w:r w:rsidRPr="00857CDA">
        <w:rPr>
          <w:iCs/>
          <w:lang w:val="ro-RO"/>
        </w:rPr>
        <w:t xml:space="preserve"> </w:t>
      </w:r>
      <w:r w:rsidR="009918B0" w:rsidRPr="00857CDA">
        <w:rPr>
          <w:lang w:val="ro-RO"/>
        </w:rPr>
        <w:t>„</w:t>
      </w:r>
      <w:r w:rsidRPr="00857CDA">
        <w:rPr>
          <w:iCs/>
          <w:lang w:val="ro-RO"/>
        </w:rPr>
        <w:t>S</w:t>
      </w:r>
      <w:r w:rsidR="00660131" w:rsidRPr="00857CDA">
        <w:rPr>
          <w:iCs/>
          <w:lang w:val="ro-RO"/>
        </w:rPr>
        <w:t>”</w:t>
      </w:r>
      <w:r w:rsidRPr="00857CDA">
        <w:rPr>
          <w:iCs/>
          <w:lang w:val="ro-RO"/>
        </w:rPr>
        <w:t xml:space="preserve">, </w:t>
      </w:r>
      <w:r w:rsidR="00902C44" w:rsidRPr="00857CDA">
        <w:rPr>
          <w:iCs/>
          <w:lang w:val="ro-RO"/>
        </w:rPr>
        <w:t>Se modifică</w:t>
      </w:r>
      <w:r w:rsidRPr="00857CDA">
        <w:rPr>
          <w:iCs/>
          <w:lang w:val="ro-RO"/>
        </w:rPr>
        <w:t xml:space="preserve"> </w:t>
      </w:r>
      <w:r w:rsidR="009918B0" w:rsidRPr="00857CDA">
        <w:rPr>
          <w:lang w:val="ro-RO"/>
        </w:rPr>
        <w:t>„</w:t>
      </w:r>
      <w:r w:rsidR="002B679C" w:rsidRPr="00857CDA">
        <w:rPr>
          <w:iCs/>
          <w:lang w:val="ro-RO"/>
        </w:rPr>
        <w:t>risc</w:t>
      </w:r>
      <w:r w:rsidR="00660131" w:rsidRPr="00857CDA">
        <w:rPr>
          <w:iCs/>
          <w:lang w:val="ro-RO"/>
        </w:rPr>
        <w:t>”</w:t>
      </w:r>
      <w:r w:rsidR="00902C44" w:rsidRPr="00857CDA">
        <w:rPr>
          <w:iCs/>
          <w:lang w:val="ro-RO"/>
        </w:rPr>
        <w:t xml:space="preserve"> cu </w:t>
      </w:r>
      <w:r w:rsidR="009918B0" w:rsidRPr="00857CDA">
        <w:rPr>
          <w:lang w:val="ro-RO"/>
        </w:rPr>
        <w:t>„</w:t>
      </w:r>
      <w:r w:rsidR="002B679C" w:rsidRPr="00857CDA">
        <w:rPr>
          <w:iCs/>
          <w:lang w:val="ro-RO"/>
        </w:rPr>
        <w:t>pericol</w:t>
      </w:r>
      <w:r w:rsidR="00660131" w:rsidRPr="00857CDA">
        <w:rPr>
          <w:iCs/>
          <w:lang w:val="ro-RO"/>
        </w:rPr>
        <w:t>”</w:t>
      </w:r>
      <w:r w:rsidRPr="00857CDA">
        <w:rPr>
          <w:iCs/>
          <w:lang w:val="ro-RO"/>
        </w:rPr>
        <w:t>.</w:t>
      </w:r>
    </w:p>
    <w:p w:rsidR="00730CFA" w:rsidRPr="00857CDA" w:rsidRDefault="004215F5" w:rsidP="00462BFC">
      <w:pPr>
        <w:spacing w:before="120" w:after="120" w:line="240" w:lineRule="auto"/>
        <w:ind w:left="1134" w:right="1134"/>
        <w:jc w:val="both"/>
        <w:rPr>
          <w:lang w:val="ro-RO"/>
        </w:rPr>
      </w:pPr>
      <w:r w:rsidRPr="00857CDA">
        <w:rPr>
          <w:iCs/>
          <w:lang w:val="ro-RO"/>
        </w:rPr>
        <w:t>2.2.42.3</w:t>
      </w:r>
      <w:r w:rsidRPr="00857CDA">
        <w:rPr>
          <w:iCs/>
          <w:lang w:val="ro-RO"/>
        </w:rPr>
        <w:tab/>
      </w:r>
      <w:r w:rsidR="00902C44" w:rsidRPr="00857CDA">
        <w:rPr>
          <w:lang w:val="ro-RO" w:eastAsia="en-GB"/>
        </w:rPr>
        <w:t xml:space="preserve">În </w:t>
      </w:r>
      <w:r w:rsidR="00730CFA" w:rsidRPr="00857CDA">
        <w:rPr>
          <w:lang w:val="ro-RO" w:eastAsia="en-GB"/>
        </w:rPr>
        <w:t xml:space="preserve">la </w:t>
      </w:r>
      <w:r w:rsidR="009918B0" w:rsidRPr="00857CDA">
        <w:rPr>
          <w:lang w:val="ro-RO"/>
        </w:rPr>
        <w:t>„</w:t>
      </w:r>
      <w:r w:rsidR="007A6DD2" w:rsidRPr="00857CDA">
        <w:rPr>
          <w:iCs/>
          <w:lang w:val="ro-RO"/>
        </w:rPr>
        <w:t>Lista rubricilor colective</w:t>
      </w:r>
      <w:r w:rsidR="00660131" w:rsidRPr="00857CDA">
        <w:rPr>
          <w:iCs/>
          <w:lang w:val="ro-RO"/>
        </w:rPr>
        <w:t>”</w:t>
      </w:r>
      <w:r w:rsidR="00730CFA" w:rsidRPr="00857CDA">
        <w:rPr>
          <w:iCs/>
          <w:lang w:val="ro-RO"/>
        </w:rPr>
        <w:t xml:space="preserve">, </w:t>
      </w:r>
      <w:r w:rsidR="00991390" w:rsidRPr="00857CDA">
        <w:rPr>
          <w:iCs/>
          <w:lang w:val="ro-RO"/>
        </w:rPr>
        <w:t>pentru</w:t>
      </w:r>
      <w:r w:rsidR="00730CFA" w:rsidRPr="00857CDA">
        <w:rPr>
          <w:iCs/>
          <w:lang w:val="ro-RO"/>
        </w:rPr>
        <w:t xml:space="preserve"> </w:t>
      </w:r>
      <w:r w:rsidR="009918B0" w:rsidRPr="00857CDA">
        <w:rPr>
          <w:lang w:val="ro-RO"/>
        </w:rPr>
        <w:t>„</w:t>
      </w:r>
      <w:r w:rsidR="00730CFA" w:rsidRPr="00857CDA">
        <w:rPr>
          <w:iCs/>
          <w:lang w:val="ro-RO"/>
        </w:rPr>
        <w:t xml:space="preserve">S </w:t>
      </w:r>
      <w:r w:rsidR="00462BFC" w:rsidRPr="00857CDA">
        <w:rPr>
          <w:lang w:val="ro-RO"/>
        </w:rPr>
        <w:t>Substanţe predispuse la aprindere spontană, fără pericol secundar</w:t>
      </w:r>
      <w:r w:rsidR="00660131" w:rsidRPr="00857CDA">
        <w:rPr>
          <w:iCs/>
          <w:lang w:val="ro-RO"/>
        </w:rPr>
        <w:t>”</w:t>
      </w:r>
      <w:r w:rsidR="0010178E" w:rsidRPr="00857CDA">
        <w:rPr>
          <w:iCs/>
          <w:lang w:val="ro-RO"/>
        </w:rPr>
        <w:t>,</w:t>
      </w:r>
      <w:r w:rsidR="00730CFA" w:rsidRPr="00857CDA">
        <w:rPr>
          <w:iCs/>
          <w:lang w:val="ro-RO"/>
        </w:rPr>
        <w:t xml:space="preserve"> </w:t>
      </w:r>
      <w:r w:rsidR="00462BFC" w:rsidRPr="00857CDA">
        <w:rPr>
          <w:lang w:val="ro-RO"/>
        </w:rPr>
        <w:t>se adaugă o nouă rubrică, după cum urmează</w:t>
      </w:r>
      <w:r w:rsidR="00091658" w:rsidRPr="00857CDA">
        <w:rPr>
          <w:iCs/>
          <w:lang w:val="ro-RO"/>
        </w:rPr>
        <w:t>:</w:t>
      </w:r>
    </w:p>
    <w:tbl>
      <w:tblPr>
        <w:tblW w:w="8505" w:type="dxa"/>
        <w:tblInd w:w="1126" w:type="dxa"/>
        <w:tblCellMar>
          <w:left w:w="120" w:type="dxa"/>
          <w:right w:w="120" w:type="dxa"/>
        </w:tblCellMar>
        <w:tblLook w:val="0000" w:firstRow="0" w:lastRow="0" w:firstColumn="0" w:lastColumn="0" w:noHBand="0" w:noVBand="0"/>
      </w:tblPr>
      <w:tblGrid>
        <w:gridCol w:w="862"/>
        <w:gridCol w:w="452"/>
        <w:gridCol w:w="640"/>
        <w:gridCol w:w="6551"/>
      </w:tblGrid>
      <w:tr w:rsidR="00A074FC" w:rsidRPr="0079052F"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rsidR="00730CFA" w:rsidRPr="00857CDA" w:rsidRDefault="00857CDA" w:rsidP="00FB586C">
            <w:pPr>
              <w:tabs>
                <w:tab w:val="left" w:pos="447"/>
              </w:tabs>
              <w:spacing w:before="20" w:after="20"/>
              <w:rPr>
                <w:lang w:val="ro-RO"/>
              </w:rPr>
            </w:pPr>
            <w:r w:rsidRPr="00857CDA">
              <w:rPr>
                <w:lang w:val="ro-RO"/>
              </w:rPr>
              <w:t>Obiecte</w:t>
            </w:r>
          </w:p>
        </w:tc>
        <w:tc>
          <w:tcPr>
            <w:tcW w:w="0" w:type="auto"/>
            <w:tcBorders>
              <w:top w:val="single" w:sz="6" w:space="0" w:color="auto"/>
              <w:left w:val="single" w:sz="6" w:space="0" w:color="auto"/>
              <w:bottom w:val="single" w:sz="4" w:space="0" w:color="auto"/>
              <w:right w:val="single" w:sz="6" w:space="0" w:color="auto"/>
            </w:tcBorders>
          </w:tcPr>
          <w:p w:rsidR="00730CFA" w:rsidRPr="00857CDA" w:rsidRDefault="00730CFA" w:rsidP="00167465">
            <w:pPr>
              <w:tabs>
                <w:tab w:val="left" w:pos="447"/>
              </w:tabs>
              <w:spacing w:before="20" w:after="20"/>
              <w:rPr>
                <w:lang w:val="ro-RO"/>
              </w:rPr>
            </w:pPr>
            <w:r w:rsidRPr="00857CDA">
              <w:rPr>
                <w:lang w:val="ro-RO"/>
              </w:rPr>
              <w:t>S6</w:t>
            </w:r>
          </w:p>
        </w:tc>
        <w:tc>
          <w:tcPr>
            <w:tcW w:w="0" w:type="auto"/>
            <w:tcBorders>
              <w:top w:val="single" w:sz="6" w:space="0" w:color="auto"/>
              <w:bottom w:val="single" w:sz="4" w:space="0" w:color="auto"/>
            </w:tcBorders>
          </w:tcPr>
          <w:p w:rsidR="00730CFA" w:rsidRPr="00857CDA" w:rsidRDefault="00730CFA" w:rsidP="00167465">
            <w:pPr>
              <w:keepLines/>
              <w:spacing w:before="20" w:after="20"/>
              <w:jc w:val="center"/>
              <w:rPr>
                <w:lang w:val="ro-RO"/>
              </w:rPr>
            </w:pPr>
            <w:r w:rsidRPr="00857CDA">
              <w:rPr>
                <w:lang w:val="ro-RO"/>
              </w:rPr>
              <w:t>3542</w:t>
            </w:r>
          </w:p>
        </w:tc>
        <w:tc>
          <w:tcPr>
            <w:tcW w:w="0" w:type="auto"/>
            <w:tcBorders>
              <w:top w:val="single" w:sz="6" w:space="0" w:color="auto"/>
              <w:bottom w:val="single" w:sz="4" w:space="0" w:color="auto"/>
              <w:right w:val="single" w:sz="6" w:space="0" w:color="auto"/>
            </w:tcBorders>
          </w:tcPr>
          <w:p w:rsidR="00730CFA" w:rsidRPr="00857CDA" w:rsidRDefault="00350067" w:rsidP="00350067">
            <w:pPr>
              <w:keepLines/>
              <w:spacing w:before="20" w:after="20"/>
              <w:ind w:left="138"/>
              <w:rPr>
                <w:lang w:val="ro-RO"/>
              </w:rPr>
            </w:pPr>
            <w:r w:rsidRPr="00857CDA">
              <w:rPr>
                <w:lang w:val="ro-RO"/>
              </w:rPr>
              <w:t>OBIECTE CARE CONȚIN O SUBSTANȚĂ PREDISPUSĂ LA APRINDERE SPONTANĂ, N.S.A.</w:t>
            </w:r>
          </w:p>
        </w:tc>
      </w:tr>
    </w:tbl>
    <w:p w:rsidR="00730CFA" w:rsidRPr="00857CDA" w:rsidRDefault="00730CFA" w:rsidP="001765AF">
      <w:pPr>
        <w:pStyle w:val="SingleTxtG"/>
        <w:spacing w:before="120"/>
        <w:rPr>
          <w:lang w:val="ro-RO"/>
        </w:rPr>
      </w:pPr>
      <w:r w:rsidRPr="00857CDA">
        <w:rPr>
          <w:lang w:val="ro-RO"/>
        </w:rPr>
        <w:t>2.2.43.1.2</w:t>
      </w:r>
      <w:r w:rsidRPr="00857CDA">
        <w:rPr>
          <w:lang w:val="ro-RO"/>
        </w:rPr>
        <w:tab/>
      </w:r>
      <w:r w:rsidR="00902C44" w:rsidRPr="00857CDA">
        <w:rPr>
          <w:lang w:val="ro-RO"/>
        </w:rPr>
        <w:t xml:space="preserve">În </w:t>
      </w:r>
      <w:r w:rsidRPr="00857CDA">
        <w:rPr>
          <w:lang w:val="ro-RO"/>
        </w:rPr>
        <w:t>tit</w:t>
      </w:r>
      <w:r w:rsidR="00462BFC" w:rsidRPr="00857CDA">
        <w:rPr>
          <w:lang w:val="ro-RO"/>
        </w:rPr>
        <w:t>lul</w:t>
      </w:r>
      <w:r w:rsidRPr="00857CDA">
        <w:rPr>
          <w:lang w:val="ro-RO"/>
        </w:rPr>
        <w:t xml:space="preserve"> sub</w:t>
      </w:r>
      <w:r w:rsidR="00462BFC" w:rsidRPr="00857CDA">
        <w:rPr>
          <w:lang w:val="ro-RO"/>
        </w:rPr>
        <w:t>-</w:t>
      </w:r>
      <w:r w:rsidRPr="00857CDA">
        <w:rPr>
          <w:lang w:val="ro-RO"/>
        </w:rPr>
        <w:t>divi</w:t>
      </w:r>
      <w:r w:rsidR="00462BFC" w:rsidRPr="00857CDA">
        <w:rPr>
          <w:lang w:val="ro-RO"/>
        </w:rPr>
        <w:t>ziunii</w:t>
      </w:r>
      <w:r w:rsidRPr="00857CDA">
        <w:rPr>
          <w:lang w:val="ro-RO"/>
        </w:rPr>
        <w:t xml:space="preserve"> </w:t>
      </w:r>
      <w:r w:rsidR="009918B0" w:rsidRPr="00857CDA">
        <w:rPr>
          <w:lang w:val="ro-RO"/>
        </w:rPr>
        <w:t>„</w:t>
      </w:r>
      <w:r w:rsidRPr="00857CDA">
        <w:rPr>
          <w:lang w:val="ro-RO"/>
        </w:rPr>
        <w:t>W</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009918B0" w:rsidRPr="00857CDA">
        <w:rPr>
          <w:iCs/>
          <w:lang w:val="ro-RO"/>
        </w:rPr>
        <w:t>fără</w:t>
      </w:r>
      <w:r w:rsidRPr="00857CDA">
        <w:rPr>
          <w:iCs/>
          <w:lang w:val="ro-RO"/>
        </w:rPr>
        <w:t xml:space="preserve"> </w:t>
      </w:r>
      <w:r w:rsidR="002B679C" w:rsidRPr="00857CDA">
        <w:rPr>
          <w:iCs/>
          <w:lang w:val="ro-RO"/>
        </w:rPr>
        <w:t>risc</w:t>
      </w:r>
      <w:r w:rsidR="00660131" w:rsidRPr="00857CDA">
        <w:rPr>
          <w:iCs/>
          <w:lang w:val="ro-RO"/>
        </w:rPr>
        <w:t>”</w:t>
      </w:r>
      <w:r w:rsidR="00902C44" w:rsidRPr="00857CDA">
        <w:rPr>
          <w:iCs/>
          <w:lang w:val="ro-RO"/>
        </w:rPr>
        <w:t xml:space="preserve"> cu </w:t>
      </w:r>
      <w:r w:rsidR="009918B0" w:rsidRPr="00857CDA">
        <w:rPr>
          <w:lang w:val="ro-RO"/>
        </w:rPr>
        <w:t>„</w:t>
      </w:r>
      <w:r w:rsidR="009918B0" w:rsidRPr="00857CDA">
        <w:rPr>
          <w:iCs/>
          <w:lang w:val="ro-RO"/>
        </w:rPr>
        <w:t>fără</w:t>
      </w:r>
      <w:r w:rsidRPr="00857CDA">
        <w:rPr>
          <w:iCs/>
          <w:lang w:val="ro-RO"/>
        </w:rPr>
        <w:t xml:space="preserve"> </w:t>
      </w:r>
      <w:r w:rsidR="002B679C" w:rsidRPr="00857CDA">
        <w:rPr>
          <w:iCs/>
          <w:lang w:val="ro-RO"/>
        </w:rPr>
        <w:t>pericol</w:t>
      </w:r>
      <w:r w:rsidR="00660131" w:rsidRPr="00857CDA">
        <w:rPr>
          <w:iCs/>
          <w:lang w:val="ro-RO"/>
        </w:rPr>
        <w:t>”</w:t>
      </w:r>
      <w:r w:rsidRPr="00857CDA">
        <w:rPr>
          <w:iCs/>
          <w:lang w:val="ro-RO"/>
        </w:rPr>
        <w:t>.</w:t>
      </w:r>
    </w:p>
    <w:p w:rsidR="00730CFA" w:rsidRPr="00857CDA" w:rsidRDefault="00730CFA" w:rsidP="00730CFA">
      <w:pPr>
        <w:pStyle w:val="SingleTxtG"/>
        <w:rPr>
          <w:lang w:val="ro-RO"/>
        </w:rPr>
      </w:pPr>
      <w:r w:rsidRPr="00857CDA">
        <w:rPr>
          <w:lang w:val="ro-RO"/>
        </w:rPr>
        <w:t>2.2.43.1.5</w:t>
      </w:r>
      <w:r w:rsidRPr="00857CDA">
        <w:rPr>
          <w:lang w:val="ro-RO"/>
        </w:rPr>
        <w:tab/>
      </w:r>
      <w:r w:rsidR="00902C44" w:rsidRPr="00857CDA">
        <w:rPr>
          <w:lang w:val="ro-RO"/>
        </w:rPr>
        <w:t xml:space="preserve">În </w:t>
      </w:r>
      <w:r w:rsidRPr="00857CDA">
        <w:rPr>
          <w:lang w:val="ro-RO"/>
        </w:rPr>
        <w:t>Not</w:t>
      </w:r>
      <w:r w:rsidR="00462BFC" w:rsidRPr="00857CDA">
        <w:rPr>
          <w:lang w:val="ro-RO"/>
        </w:rPr>
        <w:t>ă</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002B679C" w:rsidRPr="00857CDA">
        <w:rPr>
          <w:lang w:val="ro-RO"/>
        </w:rPr>
        <w:t>riscuri</w:t>
      </w:r>
      <w:r w:rsidR="00660131" w:rsidRPr="00857CDA">
        <w:rPr>
          <w:lang w:val="ro-RO"/>
        </w:rPr>
        <w:t>”</w:t>
      </w:r>
      <w:r w:rsidR="00902C44" w:rsidRPr="00857CDA">
        <w:rPr>
          <w:lang w:val="ro-RO"/>
        </w:rPr>
        <w:t xml:space="preserve"> cu </w:t>
      </w:r>
      <w:r w:rsidR="009918B0" w:rsidRPr="00857CDA">
        <w:rPr>
          <w:lang w:val="ro-RO"/>
        </w:rPr>
        <w:t>„</w:t>
      </w:r>
      <w:r w:rsidR="002B679C" w:rsidRPr="00857CDA">
        <w:rPr>
          <w:lang w:val="ro-RO"/>
        </w:rPr>
        <w:t>pericole</w:t>
      </w:r>
      <w:r w:rsidR="00660131" w:rsidRPr="00857CDA">
        <w:rPr>
          <w:lang w:val="ro-RO"/>
        </w:rPr>
        <w:t>”</w:t>
      </w:r>
      <w:r w:rsidRPr="00857CDA">
        <w:rPr>
          <w:lang w:val="ro-RO"/>
        </w:rPr>
        <w:t>.</w:t>
      </w:r>
    </w:p>
    <w:p w:rsidR="00730CFA" w:rsidRPr="00857CDA" w:rsidRDefault="00730CFA" w:rsidP="00730CFA">
      <w:pPr>
        <w:pStyle w:val="SingleTxtG"/>
        <w:rPr>
          <w:lang w:val="ro-RO" w:eastAsia="en-GB"/>
        </w:rPr>
      </w:pPr>
      <w:r w:rsidRPr="00857CDA">
        <w:rPr>
          <w:lang w:val="ro-RO"/>
        </w:rPr>
        <w:t>2.2.43.1.6</w:t>
      </w:r>
      <w:r w:rsidRPr="00857CDA">
        <w:rPr>
          <w:lang w:val="ro-RO"/>
        </w:rPr>
        <w:tab/>
      </w:r>
      <w:r w:rsidR="00256341" w:rsidRPr="00857CDA">
        <w:rPr>
          <w:lang w:val="ro-RO"/>
        </w:rPr>
        <w:t>La sfârșit, s</w:t>
      </w:r>
      <w:r w:rsidR="00256341" w:rsidRPr="00857CDA">
        <w:rPr>
          <w:lang w:val="ro-RO" w:eastAsia="en-GB"/>
        </w:rPr>
        <w:t>e modifică</w:t>
      </w:r>
      <w:r w:rsidR="00256341" w:rsidRPr="00857CDA">
        <w:rPr>
          <w:lang w:val="ro-RO"/>
        </w:rPr>
        <w:t xml:space="preserve"> „pericolului real pe care îl prezintă” cu „pericolului lor real”</w:t>
      </w:r>
      <w:r w:rsidR="00256341" w:rsidRPr="00857CDA">
        <w:rPr>
          <w:lang w:val="ro-RO" w:eastAsia="en-GB"/>
        </w:rPr>
        <w:t>.</w:t>
      </w:r>
    </w:p>
    <w:p w:rsidR="00730CFA" w:rsidRPr="00857CDA" w:rsidRDefault="00730CFA" w:rsidP="00730CFA">
      <w:pPr>
        <w:pStyle w:val="SingleTxtG"/>
        <w:rPr>
          <w:lang w:val="ro-RO"/>
        </w:rPr>
      </w:pPr>
      <w:r w:rsidRPr="00857CDA">
        <w:rPr>
          <w:lang w:val="ro-RO"/>
        </w:rPr>
        <w:t>2.2.43.3</w:t>
      </w:r>
      <w:r w:rsidRPr="00857CDA">
        <w:rPr>
          <w:lang w:val="ro-RO"/>
        </w:rPr>
        <w:tab/>
      </w:r>
      <w:r w:rsidR="00902C44" w:rsidRPr="00857CDA">
        <w:rPr>
          <w:lang w:val="ro-RO" w:eastAsia="en-GB"/>
        </w:rPr>
        <w:t xml:space="preserve">În </w:t>
      </w:r>
      <w:r w:rsidR="009918B0" w:rsidRPr="00857CDA">
        <w:rPr>
          <w:lang w:val="ro-RO"/>
        </w:rPr>
        <w:t>„</w:t>
      </w:r>
      <w:r w:rsidR="007A6DD2" w:rsidRPr="00857CDA">
        <w:rPr>
          <w:iCs/>
          <w:lang w:val="ro-RO"/>
        </w:rPr>
        <w:t>Lista rubricilor colective</w:t>
      </w:r>
      <w:r w:rsidR="00660131" w:rsidRPr="00857CDA">
        <w:rPr>
          <w:iCs/>
          <w:lang w:val="ro-RO"/>
        </w:rPr>
        <w:t>”</w:t>
      </w:r>
      <w:r w:rsidRPr="00857CDA">
        <w:rPr>
          <w:iCs/>
          <w:lang w:val="ro-RO"/>
        </w:rPr>
        <w:t xml:space="preserve">, </w:t>
      </w:r>
      <w:r w:rsidR="00991390" w:rsidRPr="00857CDA">
        <w:rPr>
          <w:iCs/>
          <w:lang w:val="ro-RO"/>
        </w:rPr>
        <w:t>pentru</w:t>
      </w:r>
      <w:r w:rsidRPr="00857CDA">
        <w:rPr>
          <w:iCs/>
          <w:lang w:val="ro-RO"/>
        </w:rPr>
        <w:t xml:space="preserve"> </w:t>
      </w:r>
      <w:r w:rsidR="009918B0" w:rsidRPr="00857CDA">
        <w:rPr>
          <w:lang w:val="ro-RO"/>
        </w:rPr>
        <w:t>„</w:t>
      </w:r>
      <w:r w:rsidRPr="00857CDA">
        <w:rPr>
          <w:lang w:val="ro-RO"/>
        </w:rPr>
        <w:t>W</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9918B0" w:rsidRPr="00857CDA">
        <w:rPr>
          <w:lang w:val="ro-RO"/>
        </w:rPr>
        <w:t>„</w:t>
      </w:r>
      <w:r w:rsidR="002B679C" w:rsidRPr="00857CDA">
        <w:rPr>
          <w:lang w:val="ro-RO"/>
        </w:rPr>
        <w:t>pericol</w:t>
      </w:r>
      <w:r w:rsidR="00660131" w:rsidRPr="00857CDA">
        <w:rPr>
          <w:lang w:val="ro-RO"/>
        </w:rPr>
        <w:t>”</w:t>
      </w:r>
      <w:r w:rsidRPr="00857CDA">
        <w:rPr>
          <w:lang w:val="ro-RO"/>
        </w:rPr>
        <w:t>.</w:t>
      </w:r>
    </w:p>
    <w:p w:rsidR="00730CFA" w:rsidRPr="00857CDA" w:rsidRDefault="00730CFA" w:rsidP="00CD1138">
      <w:pPr>
        <w:pStyle w:val="SingleTxtG"/>
        <w:rPr>
          <w:lang w:val="ro-RO"/>
        </w:rPr>
      </w:pPr>
      <w:r w:rsidRPr="00857CDA">
        <w:rPr>
          <w:lang w:val="ro-RO"/>
        </w:rPr>
        <w:t>2.2.43.3</w:t>
      </w:r>
      <w:r w:rsidRPr="00857CDA">
        <w:rPr>
          <w:lang w:val="ro-RO"/>
        </w:rPr>
        <w:tab/>
      </w:r>
      <w:r w:rsidR="00991390" w:rsidRPr="00857CDA">
        <w:rPr>
          <w:lang w:val="ro-RO"/>
        </w:rPr>
        <w:t>Pentru</w:t>
      </w:r>
      <w:r w:rsidRPr="00857CDA">
        <w:rPr>
          <w:lang w:val="ro-RO"/>
        </w:rPr>
        <w:t xml:space="preserve"> </w:t>
      </w:r>
      <w:r w:rsidR="009918B0" w:rsidRPr="00857CDA">
        <w:rPr>
          <w:lang w:val="ro-RO"/>
        </w:rPr>
        <w:t>„</w:t>
      </w:r>
      <w:r w:rsidR="00256341" w:rsidRPr="00857CDA">
        <w:rPr>
          <w:lang w:val="ro-RO"/>
        </w:rPr>
        <w:t>Substanţe care, în contact cu apa, degajă gaze inflamabile, fără pericol secundar</w:t>
      </w:r>
      <w:r w:rsidR="00660131" w:rsidRPr="00857CDA">
        <w:rPr>
          <w:lang w:val="ro-RO"/>
        </w:rPr>
        <w:t>”</w:t>
      </w:r>
      <w:r w:rsidRPr="00857CDA">
        <w:rPr>
          <w:lang w:val="ro-RO"/>
        </w:rPr>
        <w:t xml:space="preserve">, </w:t>
      </w:r>
      <w:r w:rsidR="00256341" w:rsidRPr="00857CDA">
        <w:rPr>
          <w:lang w:val="ro-RO"/>
        </w:rPr>
        <w:t>la</w:t>
      </w:r>
      <w:r w:rsidRPr="00857CDA">
        <w:rPr>
          <w:lang w:val="ro-RO"/>
        </w:rPr>
        <w:t xml:space="preserve"> </w:t>
      </w:r>
      <w:r w:rsidR="009918B0" w:rsidRPr="00857CDA">
        <w:rPr>
          <w:lang w:val="ro-RO"/>
        </w:rPr>
        <w:t>„</w:t>
      </w:r>
      <w:r w:rsidRPr="00857CDA">
        <w:rPr>
          <w:lang w:val="ro-RO"/>
        </w:rPr>
        <w:t>ob</w:t>
      </w:r>
      <w:r w:rsidR="00256341" w:rsidRPr="00857CDA">
        <w:rPr>
          <w:lang w:val="ro-RO"/>
        </w:rPr>
        <w:t>iecte</w:t>
      </w:r>
      <w:r w:rsidRPr="00857CDA">
        <w:rPr>
          <w:lang w:val="ro-RO"/>
        </w:rPr>
        <w:t xml:space="preserve"> W3</w:t>
      </w:r>
      <w:r w:rsidR="00660131" w:rsidRPr="00857CDA">
        <w:rPr>
          <w:lang w:val="ro-RO"/>
        </w:rPr>
        <w:t>”</w:t>
      </w:r>
      <w:r w:rsidRPr="00857CDA">
        <w:rPr>
          <w:lang w:val="ro-RO"/>
        </w:rPr>
        <w:t xml:space="preserve">, </w:t>
      </w:r>
      <w:r w:rsidR="00902C44" w:rsidRPr="00857CDA">
        <w:rPr>
          <w:iCs/>
          <w:lang w:val="ro-RO"/>
        </w:rPr>
        <w:t>se adaugă</w:t>
      </w:r>
      <w:r w:rsidR="0010178E" w:rsidRPr="00857CDA">
        <w:rPr>
          <w:iCs/>
          <w:lang w:val="ro-RO"/>
        </w:rPr>
        <w:t xml:space="preserve"> </w:t>
      </w:r>
      <w:r w:rsidR="00256341" w:rsidRPr="00857CDA">
        <w:rPr>
          <w:iCs/>
          <w:lang w:val="ro-RO"/>
        </w:rPr>
        <w:t>o nouă rubrică, după cum urmează</w:t>
      </w:r>
      <w:r w:rsidR="00091658" w:rsidRPr="00857CDA">
        <w:rPr>
          <w:iCs/>
          <w:lang w:val="ro-RO"/>
        </w:rPr>
        <w:t>:</w:t>
      </w:r>
    </w:p>
    <w:p w:rsidR="00730CFA" w:rsidRPr="00857CDA" w:rsidRDefault="009918B0" w:rsidP="00730CFA">
      <w:pPr>
        <w:pStyle w:val="SingleTxtG"/>
        <w:rPr>
          <w:lang w:val="ro-RO"/>
        </w:rPr>
      </w:pPr>
      <w:r w:rsidRPr="00857CDA">
        <w:rPr>
          <w:lang w:val="ro-RO"/>
        </w:rPr>
        <w:t>„</w:t>
      </w:r>
      <w:r w:rsidR="00730CFA" w:rsidRPr="00857CDA">
        <w:rPr>
          <w:lang w:val="ro-RO"/>
        </w:rPr>
        <w:t>3543</w:t>
      </w:r>
      <w:r w:rsidR="00730CFA" w:rsidRPr="00857CDA">
        <w:rPr>
          <w:lang w:val="ro-RO"/>
        </w:rPr>
        <w:tab/>
      </w:r>
      <w:r w:rsidR="0010178E" w:rsidRPr="00857CDA">
        <w:rPr>
          <w:lang w:val="ro-RO"/>
        </w:rPr>
        <w:tab/>
      </w:r>
      <w:r w:rsidR="00350067" w:rsidRPr="00857CDA">
        <w:rPr>
          <w:lang w:val="ro-RO"/>
        </w:rPr>
        <w:t>OBIECTE CARE CONȚIN O SUBSTANȚĂ CARE ÎN CONTACT CU APA DEGAJĂ GAZE INFLAMABILE, N.S.A.</w:t>
      </w:r>
      <w:r w:rsidR="0010178E" w:rsidRPr="00857CDA">
        <w:rPr>
          <w:lang w:val="ro-RO"/>
        </w:rPr>
        <w:t>.</w:t>
      </w:r>
      <w:r w:rsidR="00660131" w:rsidRPr="00857CDA">
        <w:rPr>
          <w:lang w:val="ro-RO"/>
        </w:rPr>
        <w:t>”</w:t>
      </w:r>
      <w:r w:rsidR="00730CFA" w:rsidRPr="00857CDA">
        <w:rPr>
          <w:lang w:val="ro-RO"/>
        </w:rPr>
        <w:t>.</w:t>
      </w:r>
    </w:p>
    <w:p w:rsidR="00080BAA" w:rsidRPr="00857CDA" w:rsidRDefault="00080BAA" w:rsidP="00080BAA">
      <w:pPr>
        <w:pStyle w:val="SingleTxtG"/>
        <w:rPr>
          <w:iCs/>
          <w:lang w:val="ro-RO"/>
        </w:rPr>
      </w:pPr>
      <w:r w:rsidRPr="00857CDA">
        <w:rPr>
          <w:lang w:val="ro-RO"/>
        </w:rPr>
        <w:t>2.2.51.1.2</w:t>
      </w:r>
      <w:r w:rsidRPr="00857CDA">
        <w:rPr>
          <w:lang w:val="ro-RO"/>
        </w:rPr>
        <w:tab/>
      </w:r>
      <w:r w:rsidR="00902C44" w:rsidRPr="00857CDA">
        <w:rPr>
          <w:lang w:val="ro-RO"/>
        </w:rPr>
        <w:t xml:space="preserve">În </w:t>
      </w:r>
      <w:r w:rsidRPr="00857CDA">
        <w:rPr>
          <w:lang w:val="ro-RO"/>
        </w:rPr>
        <w:t>tit</w:t>
      </w:r>
      <w:r w:rsidR="00256341" w:rsidRPr="00857CDA">
        <w:rPr>
          <w:lang w:val="ro-RO"/>
        </w:rPr>
        <w:t>lul</w:t>
      </w:r>
      <w:r w:rsidRPr="00857CDA">
        <w:rPr>
          <w:lang w:val="ro-RO"/>
        </w:rPr>
        <w:t xml:space="preserve"> sub</w:t>
      </w:r>
      <w:r w:rsidR="00256341" w:rsidRPr="00857CDA">
        <w:rPr>
          <w:lang w:val="ro-RO"/>
        </w:rPr>
        <w:t>-</w:t>
      </w:r>
      <w:r w:rsidRPr="00857CDA">
        <w:rPr>
          <w:lang w:val="ro-RO"/>
        </w:rPr>
        <w:t>divi</w:t>
      </w:r>
      <w:r w:rsidR="00256341" w:rsidRPr="00857CDA">
        <w:rPr>
          <w:lang w:val="ro-RO"/>
        </w:rPr>
        <w:t>z</w:t>
      </w:r>
      <w:r w:rsidRPr="00857CDA">
        <w:rPr>
          <w:lang w:val="ro-RO"/>
        </w:rPr>
        <w:t>i</w:t>
      </w:r>
      <w:r w:rsidR="00256341" w:rsidRPr="00857CDA">
        <w:rPr>
          <w:lang w:val="ro-RO"/>
        </w:rPr>
        <w:t>u</w:t>
      </w:r>
      <w:r w:rsidRPr="00857CDA">
        <w:rPr>
          <w:lang w:val="ro-RO"/>
        </w:rPr>
        <w:t>n</w:t>
      </w:r>
      <w:r w:rsidR="00256341" w:rsidRPr="00857CDA">
        <w:rPr>
          <w:lang w:val="ro-RO"/>
        </w:rPr>
        <w:t>ii</w:t>
      </w:r>
      <w:r w:rsidRPr="00857CDA">
        <w:rPr>
          <w:lang w:val="ro-RO"/>
        </w:rPr>
        <w:t xml:space="preserve"> </w:t>
      </w:r>
      <w:r w:rsidR="009918B0" w:rsidRPr="00857CDA">
        <w:rPr>
          <w:lang w:val="ro-RO"/>
        </w:rPr>
        <w:t>„</w:t>
      </w:r>
      <w:r w:rsidRPr="00857CDA">
        <w:rPr>
          <w:lang w:val="ro-RO"/>
        </w:rPr>
        <w:t>O</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009918B0" w:rsidRPr="00857CDA">
        <w:rPr>
          <w:iCs/>
          <w:lang w:val="ro-RO"/>
        </w:rPr>
        <w:t>fără</w:t>
      </w:r>
      <w:r w:rsidRPr="00857CDA">
        <w:rPr>
          <w:iCs/>
          <w:lang w:val="ro-RO"/>
        </w:rPr>
        <w:t xml:space="preserve"> </w:t>
      </w:r>
      <w:r w:rsidR="002B679C" w:rsidRPr="00857CDA">
        <w:rPr>
          <w:iCs/>
          <w:lang w:val="ro-RO"/>
        </w:rPr>
        <w:t>risc</w:t>
      </w:r>
      <w:r w:rsidR="00660131" w:rsidRPr="00857CDA">
        <w:rPr>
          <w:iCs/>
          <w:lang w:val="ro-RO"/>
        </w:rPr>
        <w:t>”</w:t>
      </w:r>
      <w:r w:rsidR="00902C44" w:rsidRPr="00857CDA">
        <w:rPr>
          <w:iCs/>
          <w:lang w:val="ro-RO"/>
        </w:rPr>
        <w:t xml:space="preserve"> cu </w:t>
      </w:r>
      <w:r w:rsidR="009918B0" w:rsidRPr="00857CDA">
        <w:rPr>
          <w:lang w:val="ro-RO"/>
        </w:rPr>
        <w:t>„</w:t>
      </w:r>
      <w:r w:rsidR="009918B0" w:rsidRPr="00857CDA">
        <w:rPr>
          <w:iCs/>
          <w:lang w:val="ro-RO"/>
        </w:rPr>
        <w:t>fără</w:t>
      </w:r>
      <w:r w:rsidRPr="00857CDA">
        <w:rPr>
          <w:iCs/>
          <w:lang w:val="ro-RO"/>
        </w:rPr>
        <w:t xml:space="preserve"> </w:t>
      </w:r>
      <w:r w:rsidR="002B679C" w:rsidRPr="00857CDA">
        <w:rPr>
          <w:iCs/>
          <w:lang w:val="ro-RO"/>
        </w:rPr>
        <w:t>pericol</w:t>
      </w:r>
      <w:r w:rsidR="00660131" w:rsidRPr="00857CDA">
        <w:rPr>
          <w:iCs/>
          <w:lang w:val="ro-RO"/>
        </w:rPr>
        <w:t>”</w:t>
      </w:r>
      <w:r w:rsidRPr="00857CDA">
        <w:rPr>
          <w:iCs/>
          <w:lang w:val="ro-RO"/>
        </w:rPr>
        <w:t>.</w:t>
      </w:r>
    </w:p>
    <w:p w:rsidR="00080BAA" w:rsidRPr="00857CDA" w:rsidRDefault="00080BAA" w:rsidP="00080BAA">
      <w:pPr>
        <w:pStyle w:val="SingleTxtG"/>
        <w:rPr>
          <w:lang w:val="ro-RO"/>
        </w:rPr>
      </w:pPr>
      <w:r w:rsidRPr="00857CDA">
        <w:rPr>
          <w:lang w:val="ro-RO"/>
        </w:rPr>
        <w:t>2.2.51.1.3</w:t>
      </w:r>
      <w:r w:rsidR="004C27AD" w:rsidRPr="00857CDA">
        <w:rPr>
          <w:lang w:val="ro-RO"/>
        </w:rPr>
        <w:t xml:space="preserve"> și </w:t>
      </w:r>
      <w:r w:rsidRPr="00857CDA">
        <w:rPr>
          <w:lang w:val="ro-RO"/>
        </w:rPr>
        <w:t>2.2.51.1.5</w:t>
      </w:r>
      <w:r w:rsidRPr="00857CDA">
        <w:rPr>
          <w:lang w:val="ro-RO"/>
        </w:rPr>
        <w:tab/>
      </w:r>
      <w:r w:rsidR="00902C44" w:rsidRPr="00857CDA">
        <w:rPr>
          <w:lang w:val="ro-RO"/>
        </w:rPr>
        <w:t>Se modifică</w:t>
      </w:r>
      <w:r w:rsidRPr="00857CDA">
        <w:rPr>
          <w:lang w:val="ro-RO"/>
        </w:rPr>
        <w:t xml:space="preserve"> </w:t>
      </w:r>
      <w:r w:rsidR="009918B0" w:rsidRPr="00857CDA">
        <w:rPr>
          <w:lang w:val="ro-RO"/>
        </w:rPr>
        <w:t>„</w:t>
      </w:r>
      <w:r w:rsidRPr="00857CDA">
        <w:rPr>
          <w:lang w:val="ro-RO"/>
        </w:rPr>
        <w:t>2.2.51.1.9</w:t>
      </w:r>
      <w:r w:rsidR="00660131" w:rsidRPr="00857CDA">
        <w:rPr>
          <w:lang w:val="ro-RO"/>
        </w:rPr>
        <w:t>”</w:t>
      </w:r>
      <w:r w:rsidR="00902C44" w:rsidRPr="00857CDA">
        <w:rPr>
          <w:lang w:val="ro-RO"/>
        </w:rPr>
        <w:t xml:space="preserve"> cu </w:t>
      </w:r>
      <w:r w:rsidR="009918B0" w:rsidRPr="00857CDA">
        <w:rPr>
          <w:lang w:val="ro-RO"/>
        </w:rPr>
        <w:t>„</w:t>
      </w:r>
      <w:r w:rsidRPr="00857CDA">
        <w:rPr>
          <w:lang w:val="ro-RO"/>
        </w:rPr>
        <w:t>2.2.51.1.10</w:t>
      </w:r>
      <w:r w:rsidR="00660131" w:rsidRPr="00857CDA">
        <w:rPr>
          <w:lang w:val="ro-RO"/>
        </w:rPr>
        <w:t>”</w:t>
      </w:r>
      <w:r w:rsidRPr="00857CDA">
        <w:rPr>
          <w:lang w:val="ro-RO"/>
        </w:rPr>
        <w:t>.</w:t>
      </w:r>
    </w:p>
    <w:p w:rsidR="002E6E05" w:rsidRPr="00857CDA" w:rsidRDefault="002E6E05" w:rsidP="002E6E05">
      <w:pPr>
        <w:pStyle w:val="SingleTxtG"/>
        <w:rPr>
          <w:lang w:val="ro-RO"/>
        </w:rPr>
      </w:pPr>
      <w:r w:rsidRPr="00857CDA">
        <w:rPr>
          <w:lang w:val="ro-RO"/>
        </w:rPr>
        <w:t>2.2.51.1.3</w:t>
      </w:r>
      <w:r w:rsidRPr="00857CDA">
        <w:rPr>
          <w:lang w:val="ro-RO"/>
        </w:rPr>
        <w:tab/>
      </w:r>
      <w:r w:rsidR="00256341" w:rsidRPr="00857CDA">
        <w:rPr>
          <w:lang w:val="ro-RO"/>
        </w:rPr>
        <w:t>La sfârșitul celei de a doua fraze</w:t>
      </w:r>
      <w:r w:rsidRPr="00857CDA">
        <w:rPr>
          <w:lang w:val="ro-RO"/>
        </w:rPr>
        <w:t xml:space="preserve">, </w:t>
      </w:r>
      <w:r w:rsidR="00902C44" w:rsidRPr="00857CDA">
        <w:rPr>
          <w:lang w:val="ro-RO"/>
        </w:rPr>
        <w:t>se adaugă</w:t>
      </w:r>
      <w:r w:rsidRPr="00857CDA">
        <w:rPr>
          <w:lang w:val="ro-RO"/>
        </w:rPr>
        <w:t xml:space="preserve"> </w:t>
      </w:r>
      <w:r w:rsidR="009918B0" w:rsidRPr="00857CDA">
        <w:rPr>
          <w:lang w:val="ro-RO"/>
        </w:rPr>
        <w:t>„</w:t>
      </w:r>
      <w:r w:rsidR="00256341" w:rsidRPr="00857CDA">
        <w:rPr>
          <w:lang w:val="ro-RO"/>
        </w:rPr>
        <w:t>sau, pentru îngrășămintele solide pe bază de nitrat (azotat) de amoniu, secțiunea 39</w:t>
      </w:r>
      <w:r w:rsidR="00C007C6" w:rsidRPr="00857CDA">
        <w:rPr>
          <w:lang w:val="ro-RO"/>
        </w:rPr>
        <w:t xml:space="preserve"> a acestuia</w:t>
      </w:r>
      <w:r w:rsidR="00256341" w:rsidRPr="00857CDA">
        <w:rPr>
          <w:lang w:val="ro-RO"/>
        </w:rPr>
        <w:t xml:space="preserve">, sub rezerva restricțiilor de la alineatul </w:t>
      </w:r>
      <w:r w:rsidR="00E81D2E" w:rsidRPr="00857CDA">
        <w:rPr>
          <w:lang w:val="ro-RO"/>
        </w:rPr>
        <w:t>al treisprezecelea</w:t>
      </w:r>
      <w:r w:rsidR="00256341" w:rsidRPr="00857CDA">
        <w:rPr>
          <w:lang w:val="ro-RO"/>
        </w:rPr>
        <w:t xml:space="preserve"> al paragrafului 2.2.51.2.2</w:t>
      </w:r>
      <w:r w:rsidR="00C007C6" w:rsidRPr="00857CDA">
        <w:rPr>
          <w:lang w:val="ro-RO"/>
        </w:rPr>
        <w:t>”</w:t>
      </w:r>
      <w:r w:rsidR="009918B0" w:rsidRPr="00857CDA">
        <w:rPr>
          <w:lang w:val="ro-RO"/>
        </w:rPr>
        <w:t>.</w:t>
      </w:r>
    </w:p>
    <w:p w:rsidR="00080BAA" w:rsidRPr="00857CDA" w:rsidRDefault="00080BAA" w:rsidP="00540A42">
      <w:pPr>
        <w:pStyle w:val="SingleTxtG"/>
        <w:rPr>
          <w:lang w:val="ro-RO"/>
        </w:rPr>
      </w:pPr>
      <w:r w:rsidRPr="00857CDA">
        <w:rPr>
          <w:lang w:val="ro-RO"/>
        </w:rPr>
        <w:t>2.2.51.1.4</w:t>
      </w:r>
      <w:r w:rsidRPr="00857CDA">
        <w:rPr>
          <w:lang w:val="ro-RO"/>
        </w:rPr>
        <w:tab/>
      </w:r>
      <w:r w:rsidR="00C007C6" w:rsidRPr="00857CDA">
        <w:rPr>
          <w:lang w:val="ro-RO"/>
        </w:rPr>
        <w:t>La sfârșit, s</w:t>
      </w:r>
      <w:r w:rsidR="00C007C6" w:rsidRPr="00857CDA">
        <w:rPr>
          <w:lang w:val="ro-RO" w:eastAsia="en-GB"/>
        </w:rPr>
        <w:t>e modifică</w:t>
      </w:r>
      <w:r w:rsidR="00C007C6" w:rsidRPr="00857CDA">
        <w:rPr>
          <w:lang w:val="ro-RO"/>
        </w:rPr>
        <w:t xml:space="preserve"> „gradului lor real de pericol” cu „pericolului lor real”</w:t>
      </w:r>
      <w:r w:rsidR="00C007C6" w:rsidRPr="00857CDA">
        <w:rPr>
          <w:lang w:val="ro-RO" w:eastAsia="en-GB"/>
        </w:rPr>
        <w:t>.</w:t>
      </w:r>
    </w:p>
    <w:p w:rsidR="002E6E05" w:rsidRPr="00857CDA" w:rsidRDefault="002E6E05" w:rsidP="002E6E05">
      <w:pPr>
        <w:pStyle w:val="SingleTxtG"/>
        <w:rPr>
          <w:lang w:val="ro-RO"/>
        </w:rPr>
      </w:pPr>
      <w:r w:rsidRPr="00857CDA">
        <w:rPr>
          <w:lang w:val="ro-RO"/>
        </w:rPr>
        <w:t>2.2.51.1.5</w:t>
      </w:r>
      <w:r w:rsidRPr="00857CDA">
        <w:rPr>
          <w:lang w:val="ro-RO"/>
        </w:rPr>
        <w:tab/>
      </w:r>
      <w:r w:rsidR="006E1B68" w:rsidRPr="00857CDA">
        <w:rPr>
          <w:lang w:val="ro-RO"/>
        </w:rPr>
        <w:t>Se modifică</w:t>
      </w:r>
      <w:r w:rsidR="00C007C6" w:rsidRPr="00857CDA">
        <w:rPr>
          <w:lang w:val="ro-RO"/>
        </w:rPr>
        <w:t xml:space="preserve"> </w:t>
      </w:r>
      <w:r w:rsidR="00970E20" w:rsidRPr="00857CDA">
        <w:rPr>
          <w:lang w:val="ro-RO"/>
        </w:rPr>
        <w:t>fraz</w:t>
      </w:r>
      <w:r w:rsidR="006E1B68" w:rsidRPr="00857CDA">
        <w:rPr>
          <w:lang w:val="ro-RO"/>
        </w:rPr>
        <w:t>a, d</w:t>
      </w:r>
      <w:r w:rsidR="00991390" w:rsidRPr="00857CDA">
        <w:rPr>
          <w:lang w:val="ro-RO"/>
        </w:rPr>
        <w:t>upă</w:t>
      </w:r>
      <w:r w:rsidRPr="00857CDA">
        <w:rPr>
          <w:lang w:val="ro-RO"/>
        </w:rPr>
        <w:t xml:space="preserve"> </w:t>
      </w:r>
      <w:r w:rsidR="006E1B68" w:rsidRPr="00857CDA">
        <w:rPr>
          <w:lang w:val="ro-RO"/>
        </w:rPr>
        <w:t xml:space="preserve">cum urmează: </w:t>
      </w:r>
      <w:r w:rsidR="009918B0" w:rsidRPr="00857CDA">
        <w:rPr>
          <w:lang w:val="ro-RO"/>
        </w:rPr>
        <w:t>„</w:t>
      </w:r>
      <w:r w:rsidR="006E1B68" w:rsidRPr="00857CDA">
        <w:rPr>
          <w:lang w:val="ro-RO"/>
        </w:rPr>
        <w:t>Pe baza procedurilor de încercare, conform Manualului de Încercări și Criterii, partea a III-a, secţiunea 34.4, sau secțiunea 39 pentru îngrășăminte solide pe bază de nitrat (azotat) de amoniu, precum și a paragrafelor de la 2.2.51.1.6 la 2.2.51.1.10, se poate determina, de asemenea, dacă natura unei substanţe menţionate în tabelul A din capitolul 3.2 este astfel încât respectiva substanţă să nu facă obiectul prescripţiilor prezentei clase.</w:t>
      </w:r>
      <w:r w:rsidR="00660131" w:rsidRPr="00857CDA">
        <w:rPr>
          <w:lang w:val="ro-RO"/>
        </w:rPr>
        <w:t>”</w:t>
      </w:r>
      <w:r w:rsidRPr="00857CDA">
        <w:rPr>
          <w:lang w:val="ro-RO"/>
        </w:rPr>
        <w:t>.</w:t>
      </w:r>
    </w:p>
    <w:p w:rsidR="00196C06" w:rsidRPr="00857CDA" w:rsidRDefault="00902C44" w:rsidP="00196C06">
      <w:pPr>
        <w:spacing w:before="120" w:after="120" w:line="240" w:lineRule="auto"/>
        <w:ind w:left="1134" w:right="1134"/>
        <w:jc w:val="both"/>
        <w:rPr>
          <w:lang w:val="ro-RO"/>
        </w:rPr>
      </w:pPr>
      <w:r w:rsidRPr="00857CDA">
        <w:rPr>
          <w:lang w:val="ro-RO"/>
        </w:rPr>
        <w:t>Se adaugă</w:t>
      </w:r>
      <w:r w:rsidR="00BD056C" w:rsidRPr="00857CDA">
        <w:rPr>
          <w:lang w:val="ro-RO"/>
        </w:rPr>
        <w:t xml:space="preserve"> un nou </w:t>
      </w:r>
      <w:r w:rsidR="005266DE" w:rsidRPr="00857CDA">
        <w:rPr>
          <w:lang w:val="ro-RO"/>
        </w:rPr>
        <w:t xml:space="preserve">paragraf </w:t>
      </w:r>
      <w:r w:rsidR="00080BAA" w:rsidRPr="00857CDA">
        <w:rPr>
          <w:iCs/>
          <w:lang w:val="ro-RO"/>
        </w:rPr>
        <w:t>2.2.51.1.7</w:t>
      </w:r>
      <w:r w:rsidR="002B679C" w:rsidRPr="00857CDA">
        <w:rPr>
          <w:lang w:val="ro-RO"/>
        </w:rPr>
        <w:t>, după cum urmează</w:t>
      </w:r>
      <w:r w:rsidR="004C27AD" w:rsidRPr="00857CDA">
        <w:rPr>
          <w:lang w:val="ro-RO"/>
        </w:rPr>
        <w:t xml:space="preserve"> și </w:t>
      </w:r>
      <w:r w:rsidR="005266DE" w:rsidRPr="00857CDA">
        <w:rPr>
          <w:lang w:val="ro-RO"/>
        </w:rPr>
        <w:t xml:space="preserve">se </w:t>
      </w:r>
      <w:r w:rsidR="00080BAA" w:rsidRPr="00857CDA">
        <w:rPr>
          <w:lang w:val="ro-RO"/>
        </w:rPr>
        <w:t>renumer</w:t>
      </w:r>
      <w:r w:rsidR="005266DE" w:rsidRPr="00857CDA">
        <w:rPr>
          <w:lang w:val="ro-RO"/>
        </w:rPr>
        <w:t>otează</w:t>
      </w:r>
      <w:r w:rsidR="00080BAA" w:rsidRPr="00857CDA">
        <w:rPr>
          <w:lang w:val="ro-RO"/>
        </w:rPr>
        <w:t xml:space="preserve"> </w:t>
      </w:r>
      <w:r w:rsidR="00970E20" w:rsidRPr="00857CDA">
        <w:rPr>
          <w:lang w:val="ro-RO"/>
        </w:rPr>
        <w:t>paragraf</w:t>
      </w:r>
      <w:r w:rsidR="005266DE" w:rsidRPr="00857CDA">
        <w:rPr>
          <w:lang w:val="ro-RO"/>
        </w:rPr>
        <w:t>ele</w:t>
      </w:r>
      <w:r w:rsidR="00080BAA" w:rsidRPr="00857CDA">
        <w:rPr>
          <w:lang w:val="ro-RO"/>
        </w:rPr>
        <w:t xml:space="preserve"> </w:t>
      </w:r>
      <w:r w:rsidR="005266DE" w:rsidRPr="00857CDA">
        <w:rPr>
          <w:lang w:val="ro-RO"/>
        </w:rPr>
        <w:t>existente în consecință</w:t>
      </w:r>
      <w:r w:rsidR="00091658" w:rsidRPr="00857CDA">
        <w:rPr>
          <w:lang w:val="ro-RO"/>
        </w:rPr>
        <w:t>:</w:t>
      </w:r>
    </w:p>
    <w:p w:rsidR="00BD056C" w:rsidRPr="00857CDA" w:rsidRDefault="009918B0" w:rsidP="00196C06">
      <w:pPr>
        <w:spacing w:before="120" w:after="120" w:line="240" w:lineRule="auto"/>
        <w:ind w:left="1134" w:right="1134"/>
        <w:jc w:val="both"/>
        <w:rPr>
          <w:lang w:val="ro-RO"/>
        </w:rPr>
      </w:pPr>
      <w:r w:rsidRPr="00857CDA">
        <w:rPr>
          <w:lang w:val="ro-RO"/>
        </w:rPr>
        <w:t>„</w:t>
      </w:r>
      <w:r w:rsidR="00080BAA" w:rsidRPr="00857CDA">
        <w:rPr>
          <w:iCs/>
          <w:lang w:val="ro-RO"/>
        </w:rPr>
        <w:t>2.2.51.1.7</w:t>
      </w:r>
      <w:r w:rsidR="00BD056C" w:rsidRPr="00857CDA">
        <w:rPr>
          <w:lang w:val="ro-RO"/>
        </w:rPr>
        <w:tab/>
      </w:r>
      <w:r w:rsidR="00E917F1" w:rsidRPr="00857CDA">
        <w:rPr>
          <w:lang w:val="ro-RO"/>
        </w:rPr>
        <w:t>În cazuri excepționale, îngrășămintele solide pe bază de nitrat (azotat) de amoniu sunt clasificate în conformitate cu procedura definită în Manualul de Încercări și Criterii, partea III, secțiunea 39.</w:t>
      </w:r>
      <w:r w:rsidR="00660131" w:rsidRPr="00857CDA">
        <w:rPr>
          <w:lang w:val="ro-RO"/>
        </w:rPr>
        <w:t>”</w:t>
      </w:r>
      <w:r w:rsidR="00BD056C" w:rsidRPr="00857CDA">
        <w:rPr>
          <w:lang w:val="ro-RO"/>
        </w:rPr>
        <w:t>.</w:t>
      </w:r>
    </w:p>
    <w:p w:rsidR="00D45FE8" w:rsidRPr="00857CDA" w:rsidRDefault="00D45FE8" w:rsidP="00D45FE8">
      <w:pPr>
        <w:pStyle w:val="SingleTxtG"/>
        <w:rPr>
          <w:lang w:val="ro-RO"/>
        </w:rPr>
      </w:pPr>
      <w:r w:rsidRPr="00857CDA">
        <w:rPr>
          <w:lang w:val="ro-RO"/>
        </w:rPr>
        <w:t>2.2.51.2.2</w:t>
      </w:r>
      <w:r w:rsidRPr="00857CDA">
        <w:rPr>
          <w:lang w:val="ro-RO"/>
        </w:rPr>
        <w:tab/>
      </w:r>
      <w:r w:rsidR="00902C44" w:rsidRPr="00857CDA">
        <w:rPr>
          <w:lang w:val="ro-RO"/>
        </w:rPr>
        <w:t xml:space="preserve">Se </w:t>
      </w:r>
      <w:r w:rsidR="00FB586C" w:rsidRPr="00857CDA">
        <w:rPr>
          <w:lang w:val="ro-RO"/>
        </w:rPr>
        <w:t>înlocuiește</w:t>
      </w:r>
      <w:r w:rsidRPr="00857CDA">
        <w:rPr>
          <w:lang w:val="ro-RO"/>
        </w:rPr>
        <w:t xml:space="preserve"> </w:t>
      </w:r>
      <w:r w:rsidR="00E917F1" w:rsidRPr="00857CDA">
        <w:rPr>
          <w:lang w:val="ro-RO"/>
        </w:rPr>
        <w:t>alineatul 13 cu următoarele alineate</w:t>
      </w:r>
      <w:r w:rsidR="00091658" w:rsidRPr="00857CDA">
        <w:rPr>
          <w:lang w:val="ro-RO"/>
        </w:rPr>
        <w:t>:</w:t>
      </w:r>
    </w:p>
    <w:p w:rsidR="00D45FE8" w:rsidRPr="00857CDA" w:rsidRDefault="009918B0" w:rsidP="00E917F1">
      <w:pPr>
        <w:pStyle w:val="SingleTxtG"/>
        <w:rPr>
          <w:lang w:val="ro-RO"/>
        </w:rPr>
      </w:pPr>
      <w:r w:rsidRPr="00857CDA">
        <w:rPr>
          <w:lang w:val="ro-RO"/>
        </w:rPr>
        <w:lastRenderedPageBreak/>
        <w:t>„</w:t>
      </w:r>
      <w:r w:rsidR="00D45FE8" w:rsidRPr="00857CDA">
        <w:rPr>
          <w:lang w:val="ro-RO"/>
        </w:rPr>
        <w:t>−</w:t>
      </w:r>
      <w:r w:rsidR="00D45FE8" w:rsidRPr="00857CDA">
        <w:rPr>
          <w:lang w:val="ro-RO"/>
        </w:rPr>
        <w:tab/>
      </w:r>
      <w:r w:rsidR="00E917F1" w:rsidRPr="00857CDA">
        <w:rPr>
          <w:lang w:val="ro-RO"/>
        </w:rPr>
        <w:t>Îngrășămintele pe bază de nitrat (azotat) de amoniu ale căror compoziții conduc  către căsuțele de ieșire 4, 6, 8, 15, 31 sau 33 din diagrama de decizie de la paragraful 39.5.1 din Manualul de Încercări și Criterii, partea III, secțiunea 39, cu excepția cazului în care li s-a atribuit un Nr. ONU corespunzător clasei 1</w:t>
      </w:r>
      <w:r w:rsidR="00D45FE8" w:rsidRPr="00857CDA">
        <w:rPr>
          <w:lang w:val="ro-RO"/>
        </w:rPr>
        <w:t>;</w:t>
      </w:r>
    </w:p>
    <w:p w:rsidR="00D45FE8" w:rsidRPr="00857CDA" w:rsidRDefault="00D45FE8" w:rsidP="00426747">
      <w:pPr>
        <w:pStyle w:val="SingleTxtG"/>
        <w:rPr>
          <w:lang w:val="ro-RO"/>
        </w:rPr>
      </w:pPr>
      <w:r w:rsidRPr="00857CDA">
        <w:rPr>
          <w:lang w:val="ro-RO"/>
        </w:rPr>
        <w:t>−</w:t>
      </w:r>
      <w:r w:rsidRPr="00857CDA">
        <w:rPr>
          <w:lang w:val="ro-RO"/>
        </w:rPr>
        <w:tab/>
      </w:r>
      <w:r w:rsidR="00E917F1" w:rsidRPr="00857CDA">
        <w:rPr>
          <w:lang w:val="ro-RO"/>
        </w:rPr>
        <w:t xml:space="preserve">Îngrășămintele pe bază de nitrat (azotat) de amoniu ale căror compoziții conduc către căsuțele de ieșire 20, 23 sau 39 din diagrama de decizie de la paragraful 39.5.1 din Manualul de Încercări și Criterii, partea III, secțiunea 39, cu excepția cazului în care li s-a atribuit un Nr. ONU corespunzător clasei 1 sau, cu condiția </w:t>
      </w:r>
      <w:r w:rsidR="00426747" w:rsidRPr="00857CDA">
        <w:rPr>
          <w:lang w:val="ro-RO"/>
        </w:rPr>
        <w:t>să se fi demonstrat adecvarea pentru</w:t>
      </w:r>
      <w:r w:rsidR="00E917F1" w:rsidRPr="00857CDA">
        <w:rPr>
          <w:lang w:val="ro-RO"/>
        </w:rPr>
        <w:t xml:space="preserve"> transport și aceasta a fost aprobată de autoritatea competentă, un </w:t>
      </w:r>
      <w:r w:rsidR="00426747" w:rsidRPr="00857CDA">
        <w:rPr>
          <w:lang w:val="ro-RO"/>
        </w:rPr>
        <w:t>Nr.</w:t>
      </w:r>
      <w:r w:rsidR="00E917F1" w:rsidRPr="00857CDA">
        <w:rPr>
          <w:lang w:val="ro-RO"/>
        </w:rPr>
        <w:t xml:space="preserve"> ONU corespunzător din </w:t>
      </w:r>
      <w:r w:rsidR="00426747" w:rsidRPr="00857CDA">
        <w:rPr>
          <w:lang w:val="ro-RO"/>
        </w:rPr>
        <w:t>c</w:t>
      </w:r>
      <w:r w:rsidR="00E917F1" w:rsidRPr="00857CDA">
        <w:rPr>
          <w:lang w:val="ro-RO"/>
        </w:rPr>
        <w:t xml:space="preserve">lasa 5.1, altul decât </w:t>
      </w:r>
      <w:r w:rsidR="00426747" w:rsidRPr="00857CDA">
        <w:rPr>
          <w:lang w:val="ro-RO"/>
        </w:rPr>
        <w:t>Nr.</w:t>
      </w:r>
      <w:r w:rsidR="00E917F1" w:rsidRPr="00857CDA">
        <w:rPr>
          <w:lang w:val="ro-RO"/>
        </w:rPr>
        <w:t xml:space="preserve"> ONU 2067</w:t>
      </w:r>
      <w:r w:rsidRPr="00857CDA">
        <w:rPr>
          <w:lang w:val="ro-RO"/>
        </w:rPr>
        <w:t>;</w:t>
      </w:r>
      <w:r w:rsidR="00660131" w:rsidRPr="00857CDA">
        <w:rPr>
          <w:lang w:val="ro-RO"/>
        </w:rPr>
        <w:t>”</w:t>
      </w:r>
      <w:r w:rsidRPr="00857CDA">
        <w:rPr>
          <w:lang w:val="ro-RO"/>
        </w:rPr>
        <w:t>.</w:t>
      </w:r>
    </w:p>
    <w:p w:rsidR="00BD5558" w:rsidRPr="00857CDA" w:rsidRDefault="00BD5558" w:rsidP="00BD5558">
      <w:pPr>
        <w:pStyle w:val="SingleTxtG"/>
        <w:rPr>
          <w:lang w:val="ro-RO"/>
        </w:rPr>
      </w:pPr>
      <w:r w:rsidRPr="00857CDA">
        <w:rPr>
          <w:lang w:val="ro-RO"/>
        </w:rPr>
        <w:t>2.2.51.3</w:t>
      </w:r>
      <w:r w:rsidRPr="00857CDA">
        <w:rPr>
          <w:lang w:val="ro-RO"/>
        </w:rPr>
        <w:tab/>
      </w:r>
      <w:r w:rsidR="00902C44" w:rsidRPr="00857CDA">
        <w:rPr>
          <w:lang w:val="ro-RO" w:eastAsia="en-GB"/>
        </w:rPr>
        <w:t xml:space="preserve">În </w:t>
      </w:r>
      <w:r w:rsidR="009918B0" w:rsidRPr="00857CDA">
        <w:rPr>
          <w:lang w:val="ro-RO"/>
        </w:rPr>
        <w:t>„</w:t>
      </w:r>
      <w:r w:rsidR="007A6DD2" w:rsidRPr="00857CDA">
        <w:rPr>
          <w:iCs/>
          <w:lang w:val="ro-RO"/>
        </w:rPr>
        <w:t>Lista rubricilor colective</w:t>
      </w:r>
      <w:r w:rsidR="00660131" w:rsidRPr="00857CDA">
        <w:rPr>
          <w:iCs/>
          <w:lang w:val="ro-RO"/>
        </w:rPr>
        <w:t>”</w:t>
      </w:r>
      <w:r w:rsidRPr="00857CDA">
        <w:rPr>
          <w:iCs/>
          <w:lang w:val="ro-RO"/>
        </w:rPr>
        <w:t xml:space="preserve">, </w:t>
      </w:r>
      <w:r w:rsidR="00991390" w:rsidRPr="00857CDA">
        <w:rPr>
          <w:iCs/>
          <w:lang w:val="ro-RO"/>
        </w:rPr>
        <w:t>pentru</w:t>
      </w:r>
      <w:r w:rsidRPr="00857CDA">
        <w:rPr>
          <w:iCs/>
          <w:lang w:val="ro-RO"/>
        </w:rPr>
        <w:t xml:space="preserve"> </w:t>
      </w:r>
      <w:r w:rsidR="009918B0" w:rsidRPr="00857CDA">
        <w:rPr>
          <w:lang w:val="ro-RO"/>
        </w:rPr>
        <w:t>„</w:t>
      </w:r>
      <w:r w:rsidRPr="00857CDA">
        <w:rPr>
          <w:lang w:val="ro-RO"/>
        </w:rPr>
        <w:t>O</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9918B0" w:rsidRPr="00857CDA">
        <w:rPr>
          <w:lang w:val="ro-RO"/>
        </w:rPr>
        <w:t>„</w:t>
      </w:r>
      <w:r w:rsidR="002B679C" w:rsidRPr="00857CDA">
        <w:rPr>
          <w:lang w:val="ro-RO"/>
        </w:rPr>
        <w:t>pericol</w:t>
      </w:r>
      <w:r w:rsidR="00660131" w:rsidRPr="00857CDA">
        <w:rPr>
          <w:lang w:val="ro-RO"/>
        </w:rPr>
        <w:t>”</w:t>
      </w:r>
      <w:r w:rsidRPr="00857CDA">
        <w:rPr>
          <w:lang w:val="ro-RO"/>
        </w:rPr>
        <w:t>.</w:t>
      </w:r>
    </w:p>
    <w:p w:rsidR="00BD5558" w:rsidRPr="00857CDA" w:rsidRDefault="00BD5558" w:rsidP="00CD1138">
      <w:pPr>
        <w:pStyle w:val="SingleTxtG"/>
        <w:rPr>
          <w:lang w:val="ro-RO"/>
        </w:rPr>
      </w:pPr>
      <w:r w:rsidRPr="00857CDA">
        <w:rPr>
          <w:lang w:val="ro-RO"/>
        </w:rPr>
        <w:t>2.2.51.3</w:t>
      </w:r>
      <w:r w:rsidRPr="00857CDA">
        <w:rPr>
          <w:lang w:val="ro-RO"/>
        </w:rPr>
        <w:tab/>
      </w:r>
      <w:r w:rsidR="00991390" w:rsidRPr="00857CDA">
        <w:rPr>
          <w:lang w:val="ro-RO"/>
        </w:rPr>
        <w:t>Pentru</w:t>
      </w:r>
      <w:r w:rsidRPr="00857CDA">
        <w:rPr>
          <w:lang w:val="ro-RO"/>
        </w:rPr>
        <w:t xml:space="preserve"> </w:t>
      </w:r>
      <w:r w:rsidR="009918B0" w:rsidRPr="00857CDA">
        <w:rPr>
          <w:lang w:val="ro-RO"/>
        </w:rPr>
        <w:t>„</w:t>
      </w:r>
      <w:r w:rsidRPr="00857CDA">
        <w:rPr>
          <w:lang w:val="ro-RO"/>
        </w:rPr>
        <w:t xml:space="preserve">O </w:t>
      </w:r>
      <w:r w:rsidR="00703093" w:rsidRPr="00857CDA">
        <w:rPr>
          <w:lang w:val="ro-RO"/>
        </w:rPr>
        <w:t>Substanţe comburante (oxidante) şi obiecte care conţin astfel de substanţe, fără pericol secundar</w:t>
      </w:r>
      <w:r w:rsidR="00660131" w:rsidRPr="00857CDA">
        <w:rPr>
          <w:lang w:val="ro-RO"/>
        </w:rPr>
        <w:t>”</w:t>
      </w:r>
      <w:r w:rsidRPr="00857CDA">
        <w:rPr>
          <w:lang w:val="ro-RO"/>
        </w:rPr>
        <w:t xml:space="preserve">, </w:t>
      </w:r>
      <w:r w:rsidR="00991390" w:rsidRPr="00857CDA">
        <w:rPr>
          <w:lang w:val="ro-RO"/>
        </w:rPr>
        <w:t>pentru</w:t>
      </w:r>
      <w:r w:rsidRPr="00857CDA">
        <w:rPr>
          <w:lang w:val="ro-RO"/>
        </w:rPr>
        <w:t xml:space="preserve"> </w:t>
      </w:r>
      <w:r w:rsidR="009918B0" w:rsidRPr="00857CDA">
        <w:rPr>
          <w:lang w:val="ro-RO"/>
        </w:rPr>
        <w:t>„</w:t>
      </w:r>
      <w:r w:rsidRPr="00857CDA">
        <w:rPr>
          <w:lang w:val="ro-RO"/>
        </w:rPr>
        <w:t>ob</w:t>
      </w:r>
      <w:r w:rsidR="00703093" w:rsidRPr="00857CDA">
        <w:rPr>
          <w:lang w:val="ro-RO"/>
        </w:rPr>
        <w:t>iecte</w:t>
      </w:r>
      <w:r w:rsidRPr="00857CDA">
        <w:rPr>
          <w:lang w:val="ro-RO"/>
        </w:rPr>
        <w:t xml:space="preserve"> O3</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703093" w:rsidRPr="00857CDA">
        <w:rPr>
          <w:lang w:val="ro-RO"/>
        </w:rPr>
        <w:t xml:space="preserve">o nouă rubrică, </w:t>
      </w:r>
      <w:r w:rsidR="006E1B68" w:rsidRPr="00857CDA">
        <w:rPr>
          <w:lang w:val="ro-RO"/>
        </w:rPr>
        <w:t>astfel</w:t>
      </w:r>
      <w:r w:rsidR="00091658" w:rsidRPr="00857CDA">
        <w:rPr>
          <w:lang w:val="ro-RO"/>
        </w:rPr>
        <w:t>:</w:t>
      </w:r>
    </w:p>
    <w:p w:rsidR="00BD5558" w:rsidRPr="00857CDA" w:rsidRDefault="009918B0" w:rsidP="00BD5558">
      <w:pPr>
        <w:pStyle w:val="SingleTxtG"/>
        <w:rPr>
          <w:lang w:val="ro-RO"/>
        </w:rPr>
      </w:pPr>
      <w:r w:rsidRPr="00857CDA">
        <w:rPr>
          <w:lang w:val="ro-RO"/>
        </w:rPr>
        <w:t>„</w:t>
      </w:r>
      <w:r w:rsidR="00BD5558" w:rsidRPr="00857CDA">
        <w:rPr>
          <w:lang w:val="ro-RO"/>
        </w:rPr>
        <w:t>3544</w:t>
      </w:r>
      <w:r w:rsidR="00BD5558" w:rsidRPr="00857CDA">
        <w:rPr>
          <w:lang w:val="ro-RO"/>
        </w:rPr>
        <w:tab/>
      </w:r>
      <w:r w:rsidR="00BD5558" w:rsidRPr="00857CDA">
        <w:rPr>
          <w:lang w:val="ro-RO"/>
        </w:rPr>
        <w:tab/>
      </w:r>
      <w:r w:rsidR="00350067" w:rsidRPr="00857CDA">
        <w:rPr>
          <w:lang w:val="ro-RO"/>
        </w:rPr>
        <w:t>OBIECTE CARE CONȚIN O SUBSTANȚĂ COMBURANTĂ, N.S.A.</w:t>
      </w:r>
      <w:r w:rsidR="00660131" w:rsidRPr="00857CDA">
        <w:rPr>
          <w:lang w:val="ro-RO"/>
        </w:rPr>
        <w:t>”</w:t>
      </w:r>
      <w:r w:rsidR="00BD5558" w:rsidRPr="00857CDA">
        <w:rPr>
          <w:lang w:val="ro-RO"/>
        </w:rPr>
        <w:t>.</w:t>
      </w:r>
    </w:p>
    <w:p w:rsidR="00BD5558" w:rsidRPr="00857CDA" w:rsidRDefault="00BD5558" w:rsidP="00BD5558">
      <w:pPr>
        <w:pStyle w:val="SingleTxtG"/>
        <w:spacing w:before="120"/>
        <w:rPr>
          <w:lang w:val="ro-RO"/>
        </w:rPr>
      </w:pPr>
      <w:r w:rsidRPr="00857CDA">
        <w:rPr>
          <w:lang w:val="ro-RO"/>
        </w:rPr>
        <w:t>2.2.52.1.7</w:t>
      </w:r>
      <w:r w:rsidRPr="00857CDA">
        <w:rPr>
          <w:lang w:val="ro-RO"/>
        </w:rPr>
        <w:tab/>
      </w:r>
      <w:r w:rsidR="00703093" w:rsidRPr="00857CDA">
        <w:rPr>
          <w:lang w:val="ro-RO"/>
        </w:rPr>
        <w:t xml:space="preserve">La sfârșitul </w:t>
      </w:r>
      <w:r w:rsidRPr="00857CDA">
        <w:rPr>
          <w:lang w:val="ro-RO"/>
        </w:rPr>
        <w:t>pr</w:t>
      </w:r>
      <w:r w:rsidR="00703093" w:rsidRPr="00857CDA">
        <w:rPr>
          <w:lang w:val="ro-RO"/>
        </w:rPr>
        <w:t>i</w:t>
      </w:r>
      <w:r w:rsidRPr="00857CDA">
        <w:rPr>
          <w:lang w:val="ro-RO"/>
        </w:rPr>
        <w:t>m</w:t>
      </w:r>
      <w:r w:rsidR="00703093" w:rsidRPr="00857CDA">
        <w:rPr>
          <w:lang w:val="ro-RO"/>
        </w:rPr>
        <w:t>ului</w:t>
      </w:r>
      <w:r w:rsidRPr="00857CDA">
        <w:rPr>
          <w:lang w:val="ro-RO"/>
        </w:rPr>
        <w:t xml:space="preserve"> </w:t>
      </w:r>
      <w:r w:rsidR="00970E20" w:rsidRPr="00857CDA">
        <w:rPr>
          <w:lang w:val="ro-RO"/>
        </w:rPr>
        <w:t>paragraf</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002B679C" w:rsidRPr="00857CDA">
        <w:rPr>
          <w:lang w:val="ro-RO"/>
        </w:rPr>
        <w:t>riscuri</w:t>
      </w:r>
      <w:r w:rsidR="00703093" w:rsidRPr="00857CDA">
        <w:rPr>
          <w:lang w:val="ro-RO"/>
        </w:rPr>
        <w:t>lor</w:t>
      </w:r>
      <w:r w:rsidR="00660131" w:rsidRPr="00857CDA">
        <w:rPr>
          <w:lang w:val="ro-RO"/>
        </w:rPr>
        <w:t>”</w:t>
      </w:r>
      <w:r w:rsidR="00902C44" w:rsidRPr="00857CDA">
        <w:rPr>
          <w:lang w:val="ro-RO"/>
        </w:rPr>
        <w:t xml:space="preserve"> cu </w:t>
      </w:r>
      <w:r w:rsidR="009918B0" w:rsidRPr="00857CDA">
        <w:rPr>
          <w:lang w:val="ro-RO"/>
        </w:rPr>
        <w:t>„</w:t>
      </w:r>
      <w:r w:rsidR="002B679C" w:rsidRPr="00857CDA">
        <w:rPr>
          <w:lang w:val="ro-RO"/>
        </w:rPr>
        <w:t>pericole</w:t>
      </w:r>
      <w:r w:rsidR="00703093" w:rsidRPr="00857CDA">
        <w:rPr>
          <w:lang w:val="ro-RO"/>
        </w:rPr>
        <w:t>lor</w:t>
      </w:r>
      <w:r w:rsidR="00660131" w:rsidRPr="00857CDA">
        <w:rPr>
          <w:lang w:val="ro-RO"/>
        </w:rPr>
        <w:t>”</w:t>
      </w:r>
      <w:r w:rsidRPr="00857CDA">
        <w:rPr>
          <w:lang w:val="ro-RO"/>
        </w:rPr>
        <w:t>.</w:t>
      </w:r>
    </w:p>
    <w:p w:rsidR="00BD5558" w:rsidRPr="00857CDA" w:rsidRDefault="00BD5558" w:rsidP="00CD1138">
      <w:pPr>
        <w:pStyle w:val="SingleTxtG"/>
        <w:spacing w:before="120"/>
        <w:rPr>
          <w:lang w:val="ro-RO"/>
        </w:rPr>
      </w:pPr>
      <w:r w:rsidRPr="00857CDA">
        <w:rPr>
          <w:lang w:val="ro-RO"/>
        </w:rPr>
        <w:t>2.2.52.1.7</w:t>
      </w:r>
      <w:r w:rsidRPr="00857CDA">
        <w:rPr>
          <w:lang w:val="ro-RO"/>
        </w:rPr>
        <w:tab/>
      </w:r>
      <w:r w:rsidR="00703093" w:rsidRPr="00857CDA">
        <w:rPr>
          <w:lang w:val="ro-RO"/>
        </w:rPr>
        <w:t>La cea de a treia liniuță a celui de al doilea alineat</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00703093" w:rsidRPr="00857CDA">
        <w:rPr>
          <w:lang w:val="ro-RO"/>
        </w:rPr>
        <w:t xml:space="preserve">de la </w:t>
      </w:r>
      <w:r w:rsidRPr="00857CDA">
        <w:rPr>
          <w:lang w:val="ro-RO"/>
        </w:rPr>
        <w:t xml:space="preserve">2.2.52.1.15 </w:t>
      </w:r>
      <w:r w:rsidR="00703093" w:rsidRPr="00857CDA">
        <w:rPr>
          <w:lang w:val="ro-RO"/>
        </w:rPr>
        <w:t>la</w:t>
      </w:r>
      <w:r w:rsidRPr="00857CDA">
        <w:rPr>
          <w:lang w:val="ro-RO"/>
        </w:rPr>
        <w:t xml:space="preserve"> 2.2.52.1.18</w:t>
      </w:r>
      <w:r w:rsidR="00660131" w:rsidRPr="00857CDA">
        <w:rPr>
          <w:lang w:val="ro-RO"/>
        </w:rPr>
        <w:t>”</w:t>
      </w:r>
      <w:r w:rsidR="00902C44" w:rsidRPr="00857CDA">
        <w:rPr>
          <w:lang w:val="ro-RO"/>
        </w:rPr>
        <w:t xml:space="preserve"> cu </w:t>
      </w:r>
      <w:r w:rsidR="009918B0" w:rsidRPr="00857CDA">
        <w:rPr>
          <w:lang w:val="ro-RO"/>
        </w:rPr>
        <w:t>„</w:t>
      </w:r>
      <w:r w:rsidRPr="00857CDA">
        <w:rPr>
          <w:lang w:val="ro-RO"/>
        </w:rPr>
        <w:t>2.2.52.1.15</w:t>
      </w:r>
      <w:r w:rsidR="004C27AD" w:rsidRPr="00857CDA">
        <w:rPr>
          <w:lang w:val="ro-RO"/>
        </w:rPr>
        <w:t xml:space="preserve"> și </w:t>
      </w:r>
      <w:r w:rsidRPr="00857CDA">
        <w:rPr>
          <w:lang w:val="ro-RO"/>
        </w:rPr>
        <w:t>2.2.52.1.16</w:t>
      </w:r>
      <w:r w:rsidR="00660131" w:rsidRPr="00857CDA">
        <w:rPr>
          <w:lang w:val="ro-RO"/>
        </w:rPr>
        <w:t>”</w:t>
      </w:r>
      <w:r w:rsidRPr="00857CDA">
        <w:rPr>
          <w:lang w:val="ro-RO"/>
        </w:rPr>
        <w:t>.</w:t>
      </w:r>
    </w:p>
    <w:p w:rsidR="00BD5558" w:rsidRPr="00857CDA" w:rsidRDefault="00BD5558" w:rsidP="00CD1138">
      <w:pPr>
        <w:pStyle w:val="SingleTxtG"/>
        <w:spacing w:before="120"/>
        <w:rPr>
          <w:lang w:val="ro-RO"/>
        </w:rPr>
      </w:pPr>
      <w:r w:rsidRPr="00857CDA">
        <w:rPr>
          <w:lang w:val="ro-RO"/>
        </w:rPr>
        <w:t>2.2.52.1.7</w:t>
      </w:r>
      <w:r w:rsidRPr="00857CDA">
        <w:rPr>
          <w:lang w:val="ro-RO"/>
        </w:rPr>
        <w:tab/>
      </w:r>
      <w:r w:rsidR="00703093" w:rsidRPr="00857CDA">
        <w:rPr>
          <w:lang w:val="ro-RO"/>
        </w:rPr>
        <w:t>La sfârșit</w:t>
      </w:r>
      <w:r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Pr="00857CDA">
        <w:rPr>
          <w:lang w:val="ro-RO"/>
        </w:rPr>
        <w:t>2.2.52.1.16</w:t>
      </w:r>
      <w:r w:rsidR="00660131" w:rsidRPr="00857CDA">
        <w:rPr>
          <w:lang w:val="ro-RO"/>
        </w:rPr>
        <w:t>”</w:t>
      </w:r>
      <w:r w:rsidR="00902C44" w:rsidRPr="00857CDA">
        <w:rPr>
          <w:lang w:val="ro-RO"/>
        </w:rPr>
        <w:t xml:space="preserve"> cu </w:t>
      </w:r>
      <w:r w:rsidR="009918B0" w:rsidRPr="00857CDA">
        <w:rPr>
          <w:lang w:val="ro-RO"/>
        </w:rPr>
        <w:t>„</w:t>
      </w:r>
      <w:r w:rsidRPr="00857CDA">
        <w:rPr>
          <w:lang w:val="ro-RO"/>
        </w:rPr>
        <w:t>7.1.7.3.6</w:t>
      </w:r>
      <w:r w:rsidR="00660131" w:rsidRPr="00857CDA">
        <w:rPr>
          <w:lang w:val="ro-RO"/>
        </w:rPr>
        <w:t>”</w:t>
      </w:r>
      <w:r w:rsidRPr="00857CDA">
        <w:rPr>
          <w:lang w:val="ro-RO"/>
        </w:rPr>
        <w:t>.</w:t>
      </w:r>
    </w:p>
    <w:p w:rsidR="00BD5558" w:rsidRPr="00857CDA" w:rsidRDefault="00BD5558" w:rsidP="00CD1138">
      <w:pPr>
        <w:pStyle w:val="SingleTxtG"/>
        <w:spacing w:before="120"/>
        <w:rPr>
          <w:lang w:val="ro-RO"/>
        </w:rPr>
      </w:pPr>
      <w:r w:rsidRPr="00857CDA">
        <w:rPr>
          <w:lang w:val="ro-RO"/>
        </w:rPr>
        <w:t xml:space="preserve">2.2.52.1.15 </w:t>
      </w:r>
      <w:r w:rsidR="00703093" w:rsidRPr="00857CDA">
        <w:rPr>
          <w:lang w:val="ro-RO"/>
        </w:rPr>
        <w:t>la</w:t>
      </w:r>
      <w:r w:rsidRPr="00857CDA">
        <w:rPr>
          <w:lang w:val="ro-RO"/>
        </w:rPr>
        <w:t xml:space="preserve"> 2.2.52.1.17</w:t>
      </w:r>
      <w:r w:rsidRPr="00857CDA">
        <w:rPr>
          <w:lang w:val="ro-RO"/>
        </w:rPr>
        <w:tab/>
      </w:r>
      <w:r w:rsidR="00703093" w:rsidRPr="00857CDA">
        <w:rPr>
          <w:lang w:val="ro-RO"/>
        </w:rPr>
        <w:t>Se fac următoarele modificări</w:t>
      </w:r>
      <w:r w:rsidR="00091658" w:rsidRPr="00857CDA">
        <w:rPr>
          <w:lang w:val="ro-RO"/>
        </w:rPr>
        <w:t>:</w:t>
      </w:r>
    </w:p>
    <w:p w:rsidR="00BD5558" w:rsidRPr="00857CDA" w:rsidRDefault="00902C44" w:rsidP="00FB586C">
      <w:pPr>
        <w:pStyle w:val="SingleTxtG"/>
        <w:spacing w:before="120"/>
        <w:rPr>
          <w:lang w:val="ro-RO"/>
        </w:rPr>
      </w:pPr>
      <w:r w:rsidRPr="00857CDA">
        <w:rPr>
          <w:lang w:val="ro-RO"/>
        </w:rPr>
        <w:t>Se șterge</w:t>
      </w:r>
      <w:r w:rsidR="00BD5558" w:rsidRPr="00857CDA">
        <w:rPr>
          <w:lang w:val="ro-RO"/>
        </w:rPr>
        <w:t xml:space="preserve"> 2.2.52.1.15</w:t>
      </w:r>
      <w:r w:rsidR="004C27AD" w:rsidRPr="00857CDA">
        <w:rPr>
          <w:lang w:val="ro-RO"/>
        </w:rPr>
        <w:t xml:space="preserve"> și </w:t>
      </w:r>
      <w:r w:rsidR="00BD5558" w:rsidRPr="00857CDA">
        <w:rPr>
          <w:lang w:val="ro-RO"/>
        </w:rPr>
        <w:t xml:space="preserve">2.2.52.1.16. </w:t>
      </w:r>
      <w:r w:rsidR="00703093" w:rsidRPr="00857CDA">
        <w:rPr>
          <w:lang w:val="ro-RO"/>
        </w:rPr>
        <w:t>Se re</w:t>
      </w:r>
      <w:r w:rsidR="00C51F12" w:rsidRPr="00857CDA">
        <w:rPr>
          <w:lang w:val="ro-RO"/>
        </w:rPr>
        <w:t>num</w:t>
      </w:r>
      <w:r w:rsidR="00703093" w:rsidRPr="00857CDA">
        <w:rPr>
          <w:lang w:val="ro-RO"/>
        </w:rPr>
        <w:t>e</w:t>
      </w:r>
      <w:r w:rsidR="00C51F12" w:rsidRPr="00857CDA">
        <w:rPr>
          <w:lang w:val="ro-RO"/>
        </w:rPr>
        <w:t>rote</w:t>
      </w:r>
      <w:r w:rsidR="00703093" w:rsidRPr="00857CDA">
        <w:rPr>
          <w:lang w:val="ro-RO"/>
        </w:rPr>
        <w:t>ază</w:t>
      </w:r>
      <w:r w:rsidR="00BD5558" w:rsidRPr="00857CDA">
        <w:rPr>
          <w:lang w:val="ro-RO"/>
        </w:rPr>
        <w:t xml:space="preserve"> 2.2.52.1.17 </w:t>
      </w:r>
      <w:r w:rsidR="00703093" w:rsidRPr="00857CDA">
        <w:rPr>
          <w:lang w:val="ro-RO"/>
        </w:rPr>
        <w:t>ca</w:t>
      </w:r>
      <w:r w:rsidR="00BD5558" w:rsidRPr="00857CDA">
        <w:rPr>
          <w:lang w:val="ro-RO"/>
        </w:rPr>
        <w:t xml:space="preserve"> 2.2.52.1.15</w:t>
      </w:r>
      <w:r w:rsidR="004C27AD" w:rsidRPr="00857CDA">
        <w:rPr>
          <w:lang w:val="ro-RO"/>
        </w:rPr>
        <w:t xml:space="preserve"> și </w:t>
      </w:r>
      <w:r w:rsidRPr="00857CDA">
        <w:rPr>
          <w:lang w:val="ro-RO"/>
        </w:rPr>
        <w:t>se adaugă</w:t>
      </w:r>
      <w:r w:rsidR="00C51F12" w:rsidRPr="00857CDA">
        <w:rPr>
          <w:lang w:val="ro-RO"/>
        </w:rPr>
        <w:t xml:space="preserve"> </w:t>
      </w:r>
      <w:r w:rsidR="00703093" w:rsidRPr="00857CDA">
        <w:rPr>
          <w:lang w:val="ro-RO"/>
        </w:rPr>
        <w:t>următorul text nou</w:t>
      </w:r>
      <w:r w:rsidR="00C51F12" w:rsidRPr="00857CDA">
        <w:rPr>
          <w:lang w:val="ro-RO"/>
        </w:rPr>
        <w:t xml:space="preserve"> </w:t>
      </w:r>
      <w:r w:rsidR="00991390" w:rsidRPr="00857CDA">
        <w:rPr>
          <w:lang w:val="ro-RO"/>
        </w:rPr>
        <w:t>după</w:t>
      </w:r>
      <w:r w:rsidR="00C51F12" w:rsidRPr="00857CDA">
        <w:rPr>
          <w:lang w:val="ro-RO"/>
        </w:rPr>
        <w:t xml:space="preserve"> Not</w:t>
      </w:r>
      <w:r w:rsidR="00703093" w:rsidRPr="00857CDA">
        <w:rPr>
          <w:lang w:val="ro-RO"/>
        </w:rPr>
        <w:t>ă</w:t>
      </w:r>
      <w:r w:rsidR="00BD5558" w:rsidRPr="00857CDA">
        <w:rPr>
          <w:lang w:val="ro-RO"/>
        </w:rPr>
        <w:t xml:space="preserve">: </w:t>
      </w:r>
      <w:r w:rsidR="009918B0" w:rsidRPr="00857CDA">
        <w:rPr>
          <w:lang w:val="ro-RO"/>
        </w:rPr>
        <w:t>„</w:t>
      </w:r>
      <w:r w:rsidR="0043120D" w:rsidRPr="00857CDA">
        <w:rPr>
          <w:lang w:val="ro-RO"/>
        </w:rPr>
        <w:t>A se vedea</w:t>
      </w:r>
      <w:r w:rsidR="00060F3F" w:rsidRPr="00857CDA">
        <w:rPr>
          <w:lang w:val="ro-RO"/>
        </w:rPr>
        <w:t xml:space="preserve"> 7.1.7.</w:t>
      </w:r>
      <w:r w:rsidR="00660131" w:rsidRPr="00857CDA">
        <w:rPr>
          <w:lang w:val="ro-RO"/>
        </w:rPr>
        <w:t>”</w:t>
      </w:r>
      <w:r w:rsidR="00060F3F" w:rsidRPr="00857CDA">
        <w:rPr>
          <w:lang w:val="ro-RO"/>
        </w:rPr>
        <w:t>.</w:t>
      </w:r>
    </w:p>
    <w:p w:rsidR="00BD5558" w:rsidRPr="00857CDA" w:rsidRDefault="00703093" w:rsidP="00CD1138">
      <w:pPr>
        <w:pStyle w:val="SingleTxtG"/>
        <w:spacing w:before="120"/>
        <w:rPr>
          <w:lang w:val="ro-RO"/>
        </w:rPr>
      </w:pPr>
      <w:r w:rsidRPr="00857CDA">
        <w:rPr>
          <w:lang w:val="ro-RO"/>
        </w:rPr>
        <w:t>Se r</w:t>
      </w:r>
      <w:r w:rsidR="00060F3F" w:rsidRPr="00857CDA">
        <w:rPr>
          <w:lang w:val="ro-RO"/>
        </w:rPr>
        <w:t>enum</w:t>
      </w:r>
      <w:r w:rsidRPr="00857CDA">
        <w:rPr>
          <w:lang w:val="ro-RO"/>
        </w:rPr>
        <w:t>e</w:t>
      </w:r>
      <w:r w:rsidR="00060F3F" w:rsidRPr="00857CDA">
        <w:rPr>
          <w:lang w:val="ro-RO"/>
        </w:rPr>
        <w:t>rote</w:t>
      </w:r>
      <w:r w:rsidRPr="00857CDA">
        <w:rPr>
          <w:lang w:val="ro-RO"/>
        </w:rPr>
        <w:t>ază</w:t>
      </w:r>
      <w:r w:rsidR="00BD5558" w:rsidRPr="00857CDA">
        <w:rPr>
          <w:lang w:val="ro-RO"/>
        </w:rPr>
        <w:t xml:space="preserve"> 2.2.52.1.18 </w:t>
      </w:r>
      <w:r w:rsidRPr="00857CDA">
        <w:rPr>
          <w:lang w:val="ro-RO"/>
        </w:rPr>
        <w:t>ca</w:t>
      </w:r>
      <w:r w:rsidR="00060F3F" w:rsidRPr="00857CDA">
        <w:rPr>
          <w:lang w:val="ro-RO"/>
        </w:rPr>
        <w:t xml:space="preserve"> </w:t>
      </w:r>
      <w:r w:rsidR="00BD5558" w:rsidRPr="00857CDA">
        <w:rPr>
          <w:lang w:val="ro-RO"/>
        </w:rPr>
        <w:t>2.2.52.1.16.</w:t>
      </w:r>
    </w:p>
    <w:p w:rsidR="00BD5558" w:rsidRPr="00857CDA" w:rsidRDefault="00BD5558" w:rsidP="00BD5558">
      <w:pPr>
        <w:pStyle w:val="SingleTxtG"/>
        <w:rPr>
          <w:lang w:val="ro-RO"/>
        </w:rPr>
      </w:pPr>
      <w:r w:rsidRPr="00857CDA">
        <w:rPr>
          <w:lang w:val="ro-RO"/>
        </w:rPr>
        <w:t>2.2.52.3</w:t>
      </w:r>
      <w:r w:rsidRPr="00857CDA">
        <w:rPr>
          <w:lang w:val="ro-RO"/>
        </w:rPr>
        <w:tab/>
      </w:r>
      <w:r w:rsidR="00991390" w:rsidRPr="00857CDA">
        <w:rPr>
          <w:lang w:val="ro-RO"/>
        </w:rPr>
        <w:t>Pentru</w:t>
      </w:r>
      <w:r w:rsidRPr="00857CDA">
        <w:rPr>
          <w:lang w:val="ro-RO"/>
        </w:rPr>
        <w:t xml:space="preserve"> P1</w:t>
      </w:r>
      <w:r w:rsidR="004C27AD" w:rsidRPr="00857CDA">
        <w:rPr>
          <w:lang w:val="ro-RO"/>
        </w:rPr>
        <w:t xml:space="preserve"> și </w:t>
      </w:r>
      <w:r w:rsidRPr="00857CDA">
        <w:rPr>
          <w:lang w:val="ro-RO"/>
        </w:rPr>
        <w:t xml:space="preserve">P2, </w:t>
      </w:r>
      <w:r w:rsidR="00902C44" w:rsidRPr="00857CDA">
        <w:rPr>
          <w:lang w:val="ro-RO"/>
        </w:rPr>
        <w:t>se adaugă</w:t>
      </w:r>
      <w:r w:rsidR="00060F3F" w:rsidRPr="00857CDA">
        <w:rPr>
          <w:lang w:val="ro-RO"/>
        </w:rPr>
        <w:t xml:space="preserve"> </w:t>
      </w:r>
      <w:r w:rsidR="00703093" w:rsidRPr="00857CDA">
        <w:rPr>
          <w:lang w:val="ro-RO"/>
        </w:rPr>
        <w:t>o nouă rubrică, după cum urmează</w:t>
      </w:r>
      <w:r w:rsidR="00091658" w:rsidRPr="00857CDA">
        <w:rPr>
          <w:lang w:val="ro-RO"/>
        </w:rPr>
        <w:t>:</w:t>
      </w:r>
    </w:p>
    <w:p w:rsidR="00BD5558" w:rsidRPr="00857CDA" w:rsidRDefault="009918B0" w:rsidP="00BD5558">
      <w:pPr>
        <w:pStyle w:val="SingleTxtG"/>
        <w:rPr>
          <w:lang w:val="ro-RO"/>
        </w:rPr>
      </w:pPr>
      <w:r w:rsidRPr="00857CDA">
        <w:rPr>
          <w:lang w:val="ro-RO"/>
        </w:rPr>
        <w:t>„</w:t>
      </w:r>
      <w:r w:rsidR="00BD5558" w:rsidRPr="00857CDA">
        <w:rPr>
          <w:lang w:val="ro-RO"/>
        </w:rPr>
        <w:t>3545</w:t>
      </w:r>
      <w:r w:rsidR="00BD5558" w:rsidRPr="00857CDA">
        <w:rPr>
          <w:lang w:val="ro-RO"/>
        </w:rPr>
        <w:tab/>
      </w:r>
      <w:r w:rsidR="00060F3F" w:rsidRPr="00857CDA">
        <w:rPr>
          <w:lang w:val="ro-RO"/>
        </w:rPr>
        <w:tab/>
      </w:r>
      <w:r w:rsidR="00350067" w:rsidRPr="00857CDA">
        <w:rPr>
          <w:lang w:val="ro-RO"/>
        </w:rPr>
        <w:t>OBIECTE CARE CONȚIN PEROXID ORGANIC, N.S.A.</w:t>
      </w:r>
      <w:r w:rsidR="00660131" w:rsidRPr="00857CDA">
        <w:rPr>
          <w:lang w:val="ro-RO"/>
        </w:rPr>
        <w:t>”</w:t>
      </w:r>
      <w:r w:rsidR="00BD5558" w:rsidRPr="00857CDA">
        <w:rPr>
          <w:lang w:val="ro-RO"/>
        </w:rPr>
        <w:t>.</w:t>
      </w:r>
    </w:p>
    <w:p w:rsidR="00196C06" w:rsidRPr="00857CDA" w:rsidRDefault="00167465" w:rsidP="00125861">
      <w:pPr>
        <w:pStyle w:val="SingleTxtG"/>
        <w:spacing w:before="120"/>
        <w:rPr>
          <w:lang w:val="ro-RO"/>
        </w:rPr>
      </w:pPr>
      <w:r w:rsidRPr="00857CDA">
        <w:rPr>
          <w:lang w:val="ro-RO"/>
        </w:rPr>
        <w:t>2.2.52.4</w:t>
      </w:r>
      <w:r w:rsidR="00196C06" w:rsidRPr="00857CDA">
        <w:rPr>
          <w:lang w:val="ro-RO"/>
        </w:rPr>
        <w:tab/>
      </w:r>
      <w:r w:rsidR="00125861" w:rsidRPr="00857CDA">
        <w:rPr>
          <w:lang w:val="ro-RO"/>
        </w:rPr>
        <w:t>La sfârșitul</w:t>
      </w:r>
      <w:r w:rsidR="00196C06" w:rsidRPr="00857CDA">
        <w:rPr>
          <w:lang w:val="ro-RO"/>
        </w:rPr>
        <w:t xml:space="preserve"> pr</w:t>
      </w:r>
      <w:r w:rsidR="00125861" w:rsidRPr="00857CDA">
        <w:rPr>
          <w:lang w:val="ro-RO"/>
        </w:rPr>
        <w:t>i</w:t>
      </w:r>
      <w:r w:rsidR="00196C06" w:rsidRPr="00857CDA">
        <w:rPr>
          <w:lang w:val="ro-RO"/>
        </w:rPr>
        <w:t>m</w:t>
      </w:r>
      <w:r w:rsidR="00125861" w:rsidRPr="00857CDA">
        <w:rPr>
          <w:lang w:val="ro-RO"/>
        </w:rPr>
        <w:t>ului</w:t>
      </w:r>
      <w:r w:rsidR="00196C06" w:rsidRPr="00857CDA">
        <w:rPr>
          <w:lang w:val="ro-RO"/>
        </w:rPr>
        <w:t xml:space="preserve"> </w:t>
      </w:r>
      <w:r w:rsidR="00970E20" w:rsidRPr="00857CDA">
        <w:rPr>
          <w:lang w:val="ro-RO"/>
        </w:rPr>
        <w:t>paragraf</w:t>
      </w:r>
      <w:r w:rsidR="00196C06" w:rsidRPr="00857CDA">
        <w:rPr>
          <w:lang w:val="ro-RO"/>
        </w:rPr>
        <w:t xml:space="preserve">, </w:t>
      </w:r>
      <w:r w:rsidR="00902C44" w:rsidRPr="00857CDA">
        <w:rPr>
          <w:lang w:val="ro-RO"/>
        </w:rPr>
        <w:t>Se modifică</w:t>
      </w:r>
      <w:r w:rsidRPr="00857CDA">
        <w:rPr>
          <w:lang w:val="ro-RO"/>
        </w:rPr>
        <w:t xml:space="preserve"> </w:t>
      </w:r>
      <w:r w:rsidR="009918B0" w:rsidRPr="00857CDA">
        <w:rPr>
          <w:lang w:val="ro-RO"/>
        </w:rPr>
        <w:t>„</w:t>
      </w:r>
      <w:r w:rsidRPr="00857CDA">
        <w:rPr>
          <w:lang w:val="ro-RO"/>
        </w:rPr>
        <w:t>4.2.5.2</w:t>
      </w:r>
      <w:r w:rsidR="00660131" w:rsidRPr="00857CDA">
        <w:rPr>
          <w:lang w:val="ro-RO"/>
        </w:rPr>
        <w:t>”</w:t>
      </w:r>
      <w:r w:rsidR="00902C44" w:rsidRPr="00857CDA">
        <w:rPr>
          <w:lang w:val="ro-RO"/>
        </w:rPr>
        <w:t xml:space="preserve"> cu </w:t>
      </w:r>
      <w:r w:rsidR="009918B0" w:rsidRPr="00857CDA">
        <w:rPr>
          <w:lang w:val="ro-RO"/>
        </w:rPr>
        <w:t>„</w:t>
      </w:r>
      <w:r w:rsidRPr="00857CDA">
        <w:rPr>
          <w:lang w:val="ro-RO"/>
        </w:rPr>
        <w:t>4.2.5.2.6</w:t>
      </w:r>
      <w:r w:rsidR="00660131" w:rsidRPr="00857CDA">
        <w:rPr>
          <w:lang w:val="ro-RO"/>
        </w:rPr>
        <w:t>”</w:t>
      </w:r>
      <w:r w:rsidR="004C27AD" w:rsidRPr="00857CDA">
        <w:rPr>
          <w:lang w:val="ro-RO"/>
        </w:rPr>
        <w:t xml:space="preserve"> și </w:t>
      </w:r>
      <w:r w:rsidR="00902C44" w:rsidRPr="00857CDA">
        <w:rPr>
          <w:lang w:val="ro-RO"/>
        </w:rPr>
        <w:t>se adaugă</w:t>
      </w:r>
      <w:r w:rsidR="00196C06" w:rsidRPr="00857CDA">
        <w:rPr>
          <w:lang w:val="ro-RO"/>
        </w:rPr>
        <w:t xml:space="preserve"> </w:t>
      </w:r>
      <w:r w:rsidR="00125861" w:rsidRPr="00857CDA">
        <w:rPr>
          <w:lang w:val="ro-RO"/>
        </w:rPr>
        <w:t>următoarea frază nouă</w:t>
      </w:r>
      <w:r w:rsidR="00196C06" w:rsidRPr="00857CDA">
        <w:rPr>
          <w:lang w:val="ro-RO"/>
        </w:rPr>
        <w:t xml:space="preserve">: </w:t>
      </w:r>
      <w:r w:rsidR="009918B0" w:rsidRPr="00857CDA">
        <w:rPr>
          <w:lang w:val="ro-RO"/>
        </w:rPr>
        <w:t>„</w:t>
      </w:r>
      <w:r w:rsidR="00125861" w:rsidRPr="00857CDA">
        <w:rPr>
          <w:lang w:val="ro-RO"/>
        </w:rPr>
        <w:t>Preparatele enumerate în instrucțiunea de ambalare IBC520 din 4.1.4.2 și în instrucțiunea de transport în cisterne mobile T23 din 4.2.5.2.6 pot fi transportate, de asemenea, ambalate în conformitate cu metoda de ambalare OP8 din instrucțiunea de ambalare P520 din 4.1.4.1, cu aceleași temperaturi de reglare și critice, după caz</w:t>
      </w:r>
      <w:r w:rsidR="00784605" w:rsidRPr="00857CDA">
        <w:rPr>
          <w:lang w:val="ro-RO"/>
        </w:rPr>
        <w:t>.</w:t>
      </w:r>
      <w:r w:rsidR="00660131" w:rsidRPr="00857CDA">
        <w:rPr>
          <w:lang w:val="ro-RO"/>
        </w:rPr>
        <w:t>”</w:t>
      </w:r>
      <w:r w:rsidR="00784605" w:rsidRPr="00857CDA">
        <w:rPr>
          <w:lang w:val="ro-RO"/>
        </w:rPr>
        <w:t>.</w:t>
      </w:r>
    </w:p>
    <w:p w:rsidR="00167465" w:rsidRPr="00857CDA" w:rsidRDefault="00167465" w:rsidP="00167465">
      <w:pPr>
        <w:spacing w:before="120" w:after="120" w:line="240" w:lineRule="auto"/>
        <w:ind w:left="1134" w:right="1134"/>
        <w:jc w:val="both"/>
        <w:rPr>
          <w:lang w:val="ro-RO" w:eastAsia="en-GB"/>
        </w:rPr>
      </w:pPr>
      <w:r w:rsidRPr="00857CDA">
        <w:rPr>
          <w:lang w:val="ro-RO" w:eastAsia="en-GB"/>
        </w:rPr>
        <w:t>2.2.52.4</w:t>
      </w:r>
      <w:r w:rsidRPr="00857CDA">
        <w:rPr>
          <w:lang w:val="ro-RO" w:eastAsia="en-GB"/>
        </w:rPr>
        <w:tab/>
      </w:r>
      <w:r w:rsidR="002B679C" w:rsidRPr="00857CDA">
        <w:rPr>
          <w:lang w:val="ro-RO"/>
        </w:rPr>
        <w:t>Se modifică</w:t>
      </w:r>
      <w:r w:rsidRPr="00857CDA">
        <w:rPr>
          <w:lang w:val="ro-RO"/>
        </w:rPr>
        <w:t xml:space="preserve"> tit</w:t>
      </w:r>
      <w:r w:rsidR="00125861" w:rsidRPr="00857CDA">
        <w:rPr>
          <w:lang w:val="ro-RO"/>
        </w:rPr>
        <w:t>lul ultimei</w:t>
      </w:r>
      <w:r w:rsidRPr="00857CDA">
        <w:rPr>
          <w:lang w:val="ro-RO"/>
        </w:rPr>
        <w:t xml:space="preserve"> </w:t>
      </w:r>
      <w:r w:rsidR="00121893" w:rsidRPr="00857CDA">
        <w:rPr>
          <w:lang w:val="ro-RO"/>
        </w:rPr>
        <w:t>coloan</w:t>
      </w:r>
      <w:r w:rsidR="00125861" w:rsidRPr="00857CDA">
        <w:rPr>
          <w:lang w:val="ro-RO"/>
        </w:rPr>
        <w:t>e a</w:t>
      </w:r>
      <w:r w:rsidRPr="00857CDA">
        <w:rPr>
          <w:lang w:val="ro-RO"/>
        </w:rPr>
        <w:t xml:space="preserve"> tabe</w:t>
      </w:r>
      <w:r w:rsidR="00125861" w:rsidRPr="00857CDA">
        <w:rPr>
          <w:lang w:val="ro-RO"/>
        </w:rPr>
        <w:t>l</w:t>
      </w:r>
      <w:r w:rsidRPr="00857CDA">
        <w:rPr>
          <w:lang w:val="ro-RO"/>
        </w:rPr>
        <w:t>u</w:t>
      </w:r>
      <w:r w:rsidR="00125861" w:rsidRPr="00857CDA">
        <w:rPr>
          <w:lang w:val="ro-RO"/>
        </w:rPr>
        <w:t>lui, după cum urmează</w:t>
      </w:r>
      <w:r w:rsidRPr="00857CDA">
        <w:rPr>
          <w:lang w:val="ro-RO"/>
        </w:rPr>
        <w:t xml:space="preserve"> </w:t>
      </w:r>
      <w:r w:rsidR="009918B0" w:rsidRPr="00857CDA">
        <w:rPr>
          <w:lang w:val="ro-RO"/>
        </w:rPr>
        <w:t>„</w:t>
      </w:r>
      <w:r w:rsidR="002B679C" w:rsidRPr="00857CDA">
        <w:rPr>
          <w:lang w:val="ro-RO"/>
        </w:rPr>
        <w:t>Pericole</w:t>
      </w:r>
      <w:r w:rsidRPr="00857CDA">
        <w:rPr>
          <w:lang w:val="ro-RO"/>
        </w:rPr>
        <w:t xml:space="preserve"> </w:t>
      </w:r>
      <w:r w:rsidR="00936848" w:rsidRPr="00857CDA">
        <w:rPr>
          <w:lang w:val="ro-RO"/>
        </w:rPr>
        <w:t>secundar</w:t>
      </w:r>
      <w:r w:rsidR="00125861" w:rsidRPr="00857CDA">
        <w:rPr>
          <w:lang w:val="ro-RO"/>
        </w:rPr>
        <w:t>e</w:t>
      </w:r>
      <w:r w:rsidR="004C27AD" w:rsidRPr="00857CDA">
        <w:rPr>
          <w:lang w:val="ro-RO"/>
        </w:rPr>
        <w:t xml:space="preserve"> și </w:t>
      </w:r>
      <w:r w:rsidRPr="00857CDA">
        <w:rPr>
          <w:lang w:val="ro-RO"/>
        </w:rPr>
        <w:t>observa</w:t>
      </w:r>
      <w:r w:rsidR="00125861" w:rsidRPr="00857CDA">
        <w:rPr>
          <w:lang w:val="ro-RO"/>
        </w:rPr>
        <w:t>ții</w:t>
      </w:r>
      <w:r w:rsidR="00660131" w:rsidRPr="00857CDA">
        <w:rPr>
          <w:lang w:val="ro-RO"/>
        </w:rPr>
        <w:t>”</w:t>
      </w:r>
      <w:r w:rsidRPr="00857CDA">
        <w:rPr>
          <w:lang w:val="ro-RO"/>
        </w:rPr>
        <w:t>.</w:t>
      </w:r>
    </w:p>
    <w:p w:rsidR="00196C06" w:rsidRPr="00857CDA" w:rsidRDefault="00167465" w:rsidP="00196C06">
      <w:pPr>
        <w:pStyle w:val="SingleTxtG"/>
        <w:spacing w:before="120"/>
        <w:rPr>
          <w:lang w:val="ro-RO"/>
        </w:rPr>
      </w:pPr>
      <w:r w:rsidRPr="00857CDA">
        <w:rPr>
          <w:lang w:val="ro-RO"/>
        </w:rPr>
        <w:t>2.2.52.4</w:t>
      </w:r>
      <w:r w:rsidR="00196C06" w:rsidRPr="00857CDA">
        <w:rPr>
          <w:lang w:val="ro-RO"/>
        </w:rPr>
        <w:tab/>
      </w:r>
      <w:r w:rsidR="00902C44" w:rsidRPr="00857CDA">
        <w:rPr>
          <w:lang w:val="ro-RO"/>
        </w:rPr>
        <w:t xml:space="preserve">În </w:t>
      </w:r>
      <w:r w:rsidR="00A46E9F" w:rsidRPr="00857CDA">
        <w:rPr>
          <w:lang w:val="ro-RO"/>
        </w:rPr>
        <w:t>tabe</w:t>
      </w:r>
      <w:r w:rsidR="000476F2" w:rsidRPr="00857CDA">
        <w:rPr>
          <w:lang w:val="ro-RO"/>
        </w:rPr>
        <w:t>l</w:t>
      </w:r>
      <w:r w:rsidR="00A46E9F" w:rsidRPr="00857CDA">
        <w:rPr>
          <w:lang w:val="ro-RO"/>
        </w:rPr>
        <w:t xml:space="preserve">, </w:t>
      </w:r>
      <w:r w:rsidR="000022EF" w:rsidRPr="00857CDA">
        <w:rPr>
          <w:lang w:val="ro-RO"/>
        </w:rPr>
        <w:t>se introduc</w:t>
      </w:r>
      <w:r w:rsidR="000476F2" w:rsidRPr="00857CDA">
        <w:rPr>
          <w:lang w:val="ro-RO"/>
        </w:rPr>
        <w:t xml:space="preserve"> următoarele rubrici noi</w:t>
      </w:r>
      <w:r w:rsidR="00196C06" w:rsidRPr="00857CDA">
        <w:rPr>
          <w:lang w:val="ro-RO"/>
        </w:rPr>
        <w:t>:</w:t>
      </w:r>
    </w:p>
    <w:tbl>
      <w:tblPr>
        <w:tblStyle w:val="TableGrid"/>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1E0" w:firstRow="1" w:lastRow="1" w:firstColumn="1" w:lastColumn="1" w:noHBand="0" w:noVBand="0"/>
      </w:tblPr>
      <w:tblGrid>
        <w:gridCol w:w="4395"/>
        <w:gridCol w:w="1701"/>
        <w:gridCol w:w="287"/>
        <w:gridCol w:w="465"/>
        <w:gridCol w:w="287"/>
        <w:gridCol w:w="287"/>
        <w:gridCol w:w="444"/>
        <w:gridCol w:w="451"/>
        <w:gridCol w:w="451"/>
        <w:gridCol w:w="490"/>
        <w:gridCol w:w="381"/>
      </w:tblGrid>
      <w:tr w:rsidR="00A074FC" w:rsidRPr="00857CDA" w:rsidTr="00444D01">
        <w:trPr>
          <w:cantSplit/>
        </w:trPr>
        <w:tc>
          <w:tcPr>
            <w:tcW w:w="4394" w:type="dxa"/>
            <w:tcBorders>
              <w:top w:val="single" w:sz="4" w:space="0" w:color="auto"/>
              <w:bottom w:val="single" w:sz="12" w:space="0" w:color="auto"/>
            </w:tcBorders>
            <w:shd w:val="clear" w:color="auto" w:fill="auto"/>
            <w:vAlign w:val="bottom"/>
          </w:tcPr>
          <w:p w:rsidR="00196C06" w:rsidRPr="00857CDA" w:rsidRDefault="00C23D3B" w:rsidP="006201FD">
            <w:pPr>
              <w:keepNext/>
              <w:keepLines/>
              <w:spacing w:before="80" w:after="80" w:line="200" w:lineRule="exact"/>
              <w:rPr>
                <w:bCs/>
                <w:i/>
                <w:sz w:val="16"/>
                <w:szCs w:val="16"/>
                <w:lang w:val="ro-RO"/>
              </w:rPr>
            </w:pPr>
            <w:r w:rsidRPr="00857CDA">
              <w:rPr>
                <w:bCs/>
                <w:i/>
                <w:sz w:val="16"/>
                <w:szCs w:val="16"/>
                <w:lang w:val="ro-RO"/>
              </w:rPr>
              <w:t>Peroxid organic</w:t>
            </w:r>
          </w:p>
        </w:tc>
        <w:tc>
          <w:tcPr>
            <w:tcW w:w="1701" w:type="dxa"/>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(2)</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(3)</w:t>
            </w:r>
          </w:p>
        </w:tc>
        <w:tc>
          <w:tcPr>
            <w:tcW w:w="465" w:type="dxa"/>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(4)</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(5)</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(6)</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(7)</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(8)</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(9)</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(10)</w:t>
            </w:r>
          </w:p>
        </w:tc>
        <w:tc>
          <w:tcPr>
            <w:tcW w:w="0" w:type="auto"/>
            <w:tcBorders>
              <w:top w:val="single" w:sz="4" w:space="0" w:color="auto"/>
              <w:bottom w:val="single" w:sz="12" w:space="0" w:color="auto"/>
            </w:tcBorders>
            <w:shd w:val="clear" w:color="auto" w:fill="auto"/>
          </w:tcPr>
          <w:p w:rsidR="00196C06" w:rsidRPr="00857CDA" w:rsidRDefault="00196C06" w:rsidP="006201FD">
            <w:pPr>
              <w:keepNext/>
              <w:keepLines/>
              <w:spacing w:before="80" w:after="80" w:line="200" w:lineRule="exact"/>
              <w:rPr>
                <w:bCs/>
                <w:i/>
                <w:sz w:val="16"/>
                <w:szCs w:val="16"/>
                <w:lang w:val="ro-RO"/>
              </w:rPr>
            </w:pPr>
            <w:r w:rsidRPr="00857CDA">
              <w:rPr>
                <w:bCs/>
                <w:i/>
                <w:sz w:val="16"/>
                <w:szCs w:val="16"/>
                <w:lang w:val="ro-RO"/>
              </w:rPr>
              <w:t>(11)</w:t>
            </w:r>
          </w:p>
        </w:tc>
      </w:tr>
      <w:tr w:rsidR="00A074FC" w:rsidRPr="00857CDA" w:rsidTr="00444D01">
        <w:trPr>
          <w:cantSplit/>
          <w:trHeight w:hRule="exact" w:val="113"/>
        </w:trPr>
        <w:tc>
          <w:tcPr>
            <w:tcW w:w="4394" w:type="dxa"/>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1701" w:type="dxa"/>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465" w:type="dxa"/>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c>
          <w:tcPr>
            <w:tcW w:w="0" w:type="auto"/>
            <w:tcBorders>
              <w:top w:val="single" w:sz="12" w:space="0" w:color="auto"/>
            </w:tcBorders>
            <w:shd w:val="clear" w:color="auto" w:fill="auto"/>
          </w:tcPr>
          <w:p w:rsidR="00196C06" w:rsidRPr="00857CDA" w:rsidRDefault="00196C06" w:rsidP="006201FD">
            <w:pPr>
              <w:keepNext/>
              <w:keepLines/>
              <w:jc w:val="center"/>
              <w:rPr>
                <w:b/>
                <w:bCs/>
                <w:sz w:val="18"/>
                <w:szCs w:val="18"/>
                <w:lang w:val="ro-RO"/>
              </w:rPr>
            </w:pPr>
          </w:p>
        </w:tc>
      </w:tr>
      <w:tr w:rsidR="00784605" w:rsidRPr="00857CDA" w:rsidTr="00444D01">
        <w:trPr>
          <w:cantSplit/>
        </w:trPr>
        <w:tc>
          <w:tcPr>
            <w:tcW w:w="4394" w:type="dxa"/>
            <w:shd w:val="clear" w:color="auto" w:fill="auto"/>
          </w:tcPr>
          <w:p w:rsidR="00784605" w:rsidRPr="00857CDA" w:rsidRDefault="00784605" w:rsidP="000476F2">
            <w:pPr>
              <w:keepNext/>
              <w:keepLines/>
              <w:rPr>
                <w:sz w:val="18"/>
                <w:szCs w:val="18"/>
                <w:lang w:val="ro-RO"/>
              </w:rPr>
            </w:pPr>
            <w:r w:rsidRPr="00857CDA">
              <w:rPr>
                <w:sz w:val="18"/>
                <w:szCs w:val="18"/>
                <w:lang w:val="ro-RO"/>
              </w:rPr>
              <w:t>PEROX</w:t>
            </w:r>
            <w:r w:rsidR="000476F2" w:rsidRPr="00857CDA">
              <w:rPr>
                <w:sz w:val="18"/>
                <w:szCs w:val="18"/>
                <w:lang w:val="ro-RO"/>
              </w:rPr>
              <w:t>ID</w:t>
            </w:r>
            <w:r w:rsidRPr="00857CDA">
              <w:rPr>
                <w:sz w:val="18"/>
                <w:szCs w:val="18"/>
                <w:lang w:val="ro-RO"/>
              </w:rPr>
              <w:t xml:space="preserve"> DE DII</w:t>
            </w:r>
            <w:r w:rsidR="000476F2" w:rsidRPr="00857CDA">
              <w:rPr>
                <w:sz w:val="18"/>
                <w:szCs w:val="18"/>
                <w:lang w:val="ro-RO"/>
              </w:rPr>
              <w:t>Z</w:t>
            </w:r>
            <w:r w:rsidRPr="00857CDA">
              <w:rPr>
                <w:sz w:val="18"/>
                <w:szCs w:val="18"/>
                <w:lang w:val="ro-RO"/>
              </w:rPr>
              <w:t>OBUT</w:t>
            </w:r>
            <w:r w:rsidR="000476F2" w:rsidRPr="00857CDA">
              <w:rPr>
                <w:sz w:val="18"/>
                <w:szCs w:val="18"/>
                <w:lang w:val="ro-RO"/>
              </w:rPr>
              <w:t>IRI</w:t>
            </w:r>
            <w:r w:rsidRPr="00857CDA">
              <w:rPr>
                <w:sz w:val="18"/>
                <w:szCs w:val="18"/>
                <w:lang w:val="ro-RO"/>
              </w:rPr>
              <w:t>L</w:t>
            </w:r>
          </w:p>
        </w:tc>
        <w:tc>
          <w:tcPr>
            <w:tcW w:w="1701" w:type="dxa"/>
            <w:shd w:val="clear" w:color="auto" w:fill="auto"/>
          </w:tcPr>
          <w:p w:rsidR="00784605" w:rsidRPr="00857CDA" w:rsidRDefault="00784605" w:rsidP="000476F2">
            <w:pPr>
              <w:keepNext/>
              <w:keepLines/>
              <w:rPr>
                <w:sz w:val="17"/>
                <w:lang w:val="ro-RO"/>
              </w:rPr>
            </w:pPr>
            <w:r w:rsidRPr="00857CDA">
              <w:rPr>
                <w:sz w:val="18"/>
                <w:szCs w:val="18"/>
                <w:lang w:val="ro-RO"/>
              </w:rPr>
              <w:t>≤ 42 (dispersi</w:t>
            </w:r>
            <w:r w:rsidR="000476F2" w:rsidRPr="00857CDA">
              <w:rPr>
                <w:sz w:val="18"/>
                <w:szCs w:val="18"/>
                <w:lang w:val="ro-RO"/>
              </w:rPr>
              <w:t>e stabilă în apă</w:t>
            </w:r>
            <w:r w:rsidRPr="00857CDA">
              <w:rPr>
                <w:sz w:val="18"/>
                <w:szCs w:val="18"/>
                <w:lang w:val="ro-RO"/>
              </w:rPr>
              <w:t>)</w:t>
            </w:r>
          </w:p>
        </w:tc>
        <w:tc>
          <w:tcPr>
            <w:tcW w:w="0" w:type="auto"/>
            <w:shd w:val="clear" w:color="auto" w:fill="auto"/>
          </w:tcPr>
          <w:p w:rsidR="00784605" w:rsidRPr="00857CDA" w:rsidRDefault="00784605" w:rsidP="00784605">
            <w:pPr>
              <w:keepNext/>
              <w:keepLines/>
              <w:rPr>
                <w:sz w:val="18"/>
                <w:szCs w:val="18"/>
                <w:lang w:val="ro-RO"/>
              </w:rPr>
            </w:pPr>
          </w:p>
        </w:tc>
        <w:tc>
          <w:tcPr>
            <w:tcW w:w="465" w:type="dxa"/>
            <w:shd w:val="clear" w:color="auto" w:fill="auto"/>
          </w:tcPr>
          <w:p w:rsidR="00784605" w:rsidRPr="00857CDA" w:rsidRDefault="00784605" w:rsidP="00784605">
            <w:pPr>
              <w:keepNext/>
              <w:keepLines/>
              <w:rPr>
                <w:sz w:val="18"/>
                <w:szCs w:val="18"/>
                <w:lang w:val="ro-RO"/>
              </w:rPr>
            </w:pPr>
          </w:p>
        </w:tc>
        <w:tc>
          <w:tcPr>
            <w:tcW w:w="0" w:type="auto"/>
            <w:shd w:val="clear" w:color="auto" w:fill="auto"/>
          </w:tcPr>
          <w:p w:rsidR="00784605" w:rsidRPr="00857CDA" w:rsidRDefault="00784605" w:rsidP="00784605">
            <w:pPr>
              <w:keepNext/>
              <w:keepLines/>
              <w:rPr>
                <w:sz w:val="18"/>
                <w:szCs w:val="18"/>
                <w:lang w:val="ro-RO"/>
              </w:rPr>
            </w:pPr>
          </w:p>
        </w:tc>
        <w:tc>
          <w:tcPr>
            <w:tcW w:w="0" w:type="auto"/>
            <w:shd w:val="clear" w:color="auto" w:fill="auto"/>
          </w:tcPr>
          <w:p w:rsidR="00784605" w:rsidRPr="00857CDA" w:rsidRDefault="00784605" w:rsidP="00784605">
            <w:pPr>
              <w:keepNext/>
              <w:keepLines/>
              <w:rPr>
                <w:sz w:val="18"/>
                <w:szCs w:val="18"/>
                <w:lang w:val="ro-RO"/>
              </w:rPr>
            </w:pPr>
          </w:p>
        </w:tc>
        <w:tc>
          <w:tcPr>
            <w:tcW w:w="0" w:type="auto"/>
            <w:shd w:val="clear" w:color="auto" w:fill="auto"/>
          </w:tcPr>
          <w:p w:rsidR="00784605" w:rsidRPr="00857CDA" w:rsidRDefault="00784605" w:rsidP="00784605">
            <w:pPr>
              <w:keepNext/>
              <w:keepLines/>
              <w:rPr>
                <w:sz w:val="17"/>
                <w:lang w:val="ro-RO"/>
              </w:rPr>
            </w:pPr>
            <w:r w:rsidRPr="00857CDA">
              <w:rPr>
                <w:sz w:val="18"/>
                <w:szCs w:val="18"/>
                <w:lang w:val="ro-RO"/>
              </w:rPr>
              <w:t>OP8</w:t>
            </w:r>
          </w:p>
        </w:tc>
        <w:tc>
          <w:tcPr>
            <w:tcW w:w="0" w:type="auto"/>
            <w:shd w:val="clear" w:color="auto" w:fill="auto"/>
          </w:tcPr>
          <w:p w:rsidR="00784605" w:rsidRPr="00857CDA" w:rsidRDefault="00784605" w:rsidP="00784605">
            <w:pPr>
              <w:keepNext/>
              <w:keepLines/>
              <w:rPr>
                <w:sz w:val="18"/>
                <w:szCs w:val="18"/>
                <w:lang w:val="ro-RO"/>
              </w:rPr>
            </w:pPr>
            <w:r w:rsidRPr="00857CDA">
              <w:rPr>
                <w:sz w:val="18"/>
                <w:szCs w:val="18"/>
                <w:lang w:val="ro-RO"/>
              </w:rPr>
              <w:t>- 20</w:t>
            </w:r>
          </w:p>
        </w:tc>
        <w:tc>
          <w:tcPr>
            <w:tcW w:w="0" w:type="auto"/>
            <w:shd w:val="clear" w:color="auto" w:fill="auto"/>
          </w:tcPr>
          <w:p w:rsidR="00784605" w:rsidRPr="00857CDA" w:rsidRDefault="00784605" w:rsidP="00784605">
            <w:pPr>
              <w:keepNext/>
              <w:keepLines/>
              <w:rPr>
                <w:sz w:val="18"/>
                <w:szCs w:val="18"/>
                <w:lang w:val="ro-RO"/>
              </w:rPr>
            </w:pPr>
            <w:r w:rsidRPr="00857CDA">
              <w:rPr>
                <w:sz w:val="18"/>
                <w:szCs w:val="18"/>
                <w:lang w:val="ro-RO"/>
              </w:rPr>
              <w:t>- 10</w:t>
            </w:r>
          </w:p>
        </w:tc>
        <w:tc>
          <w:tcPr>
            <w:tcW w:w="0" w:type="auto"/>
            <w:shd w:val="clear" w:color="auto" w:fill="auto"/>
          </w:tcPr>
          <w:p w:rsidR="00784605" w:rsidRPr="00857CDA" w:rsidRDefault="00784605" w:rsidP="00784605">
            <w:pPr>
              <w:keepNext/>
              <w:keepLines/>
              <w:rPr>
                <w:sz w:val="18"/>
                <w:szCs w:val="18"/>
                <w:lang w:val="ro-RO"/>
              </w:rPr>
            </w:pPr>
            <w:r w:rsidRPr="00857CDA">
              <w:rPr>
                <w:sz w:val="18"/>
                <w:szCs w:val="18"/>
                <w:lang w:val="ro-RO"/>
              </w:rPr>
              <w:t>3119</w:t>
            </w:r>
          </w:p>
        </w:tc>
        <w:tc>
          <w:tcPr>
            <w:tcW w:w="0" w:type="auto"/>
            <w:shd w:val="clear" w:color="auto" w:fill="auto"/>
          </w:tcPr>
          <w:p w:rsidR="00784605" w:rsidRPr="00857CDA" w:rsidDel="00A9632D" w:rsidRDefault="00784605" w:rsidP="00784605">
            <w:pPr>
              <w:keepNext/>
              <w:keepLines/>
              <w:rPr>
                <w:sz w:val="18"/>
                <w:szCs w:val="18"/>
                <w:lang w:val="ro-RO"/>
              </w:rPr>
            </w:pPr>
          </w:p>
        </w:tc>
      </w:tr>
      <w:tr w:rsidR="00784605" w:rsidRPr="00857CDA" w:rsidTr="00444D01">
        <w:trPr>
          <w:cantSplit/>
        </w:trPr>
        <w:tc>
          <w:tcPr>
            <w:tcW w:w="4394" w:type="dxa"/>
            <w:shd w:val="clear" w:color="auto" w:fill="auto"/>
          </w:tcPr>
          <w:p w:rsidR="00784605" w:rsidRPr="00857CDA" w:rsidRDefault="00B71233" w:rsidP="00350067">
            <w:pPr>
              <w:keepNext/>
              <w:keepLines/>
              <w:rPr>
                <w:sz w:val="18"/>
                <w:szCs w:val="18"/>
                <w:lang w:val="ro-RO"/>
              </w:rPr>
            </w:pPr>
            <w:r w:rsidRPr="00857CDA">
              <w:rPr>
                <w:sz w:val="18"/>
                <w:szCs w:val="18"/>
                <w:lang w:val="ro-RO"/>
              </w:rPr>
              <w:t>PEROXIDICARBONAT DE DI (terţ-BUTIL-4 CICLOHEXIL)</w:t>
            </w:r>
          </w:p>
        </w:tc>
        <w:tc>
          <w:tcPr>
            <w:tcW w:w="1701" w:type="dxa"/>
            <w:shd w:val="clear" w:color="auto" w:fill="auto"/>
          </w:tcPr>
          <w:p w:rsidR="00784605" w:rsidRPr="00857CDA" w:rsidRDefault="00784605" w:rsidP="000476F2">
            <w:pPr>
              <w:keepNext/>
              <w:keepLines/>
              <w:rPr>
                <w:sz w:val="18"/>
                <w:szCs w:val="18"/>
                <w:lang w:val="ro-RO"/>
              </w:rPr>
            </w:pPr>
            <w:r w:rsidRPr="00857CDA">
              <w:rPr>
                <w:sz w:val="18"/>
                <w:szCs w:val="18"/>
                <w:lang w:val="ro-RO"/>
              </w:rPr>
              <w:t>≤</w:t>
            </w:r>
            <w:r w:rsidR="008E686B" w:rsidRPr="00857CDA">
              <w:rPr>
                <w:sz w:val="18"/>
                <w:szCs w:val="18"/>
                <w:lang w:val="ro-RO"/>
              </w:rPr>
              <w:t xml:space="preserve"> </w:t>
            </w:r>
            <w:r w:rsidRPr="00857CDA">
              <w:rPr>
                <w:sz w:val="18"/>
                <w:szCs w:val="18"/>
                <w:lang w:val="ro-RO"/>
              </w:rPr>
              <w:t>42 (p</w:t>
            </w:r>
            <w:r w:rsidR="000476F2" w:rsidRPr="00857CDA">
              <w:rPr>
                <w:sz w:val="18"/>
                <w:szCs w:val="18"/>
                <w:lang w:val="ro-RO"/>
              </w:rPr>
              <w:t>astă</w:t>
            </w:r>
            <w:r w:rsidRPr="00857CDA">
              <w:rPr>
                <w:sz w:val="18"/>
                <w:szCs w:val="18"/>
                <w:lang w:val="ro-RO"/>
              </w:rPr>
              <w:t>)</w:t>
            </w:r>
          </w:p>
        </w:tc>
        <w:tc>
          <w:tcPr>
            <w:tcW w:w="0" w:type="auto"/>
            <w:shd w:val="clear" w:color="auto" w:fill="auto"/>
          </w:tcPr>
          <w:p w:rsidR="00784605" w:rsidRPr="00857CDA" w:rsidRDefault="00784605" w:rsidP="00784605">
            <w:pPr>
              <w:keepNext/>
              <w:keepLines/>
              <w:rPr>
                <w:sz w:val="18"/>
                <w:szCs w:val="18"/>
                <w:lang w:val="ro-RO"/>
              </w:rPr>
            </w:pPr>
          </w:p>
        </w:tc>
        <w:tc>
          <w:tcPr>
            <w:tcW w:w="465" w:type="dxa"/>
            <w:shd w:val="clear" w:color="auto" w:fill="auto"/>
          </w:tcPr>
          <w:p w:rsidR="00784605" w:rsidRPr="00857CDA" w:rsidRDefault="00784605" w:rsidP="00784605">
            <w:pPr>
              <w:keepNext/>
              <w:keepLines/>
              <w:rPr>
                <w:sz w:val="18"/>
                <w:szCs w:val="18"/>
                <w:lang w:val="ro-RO"/>
              </w:rPr>
            </w:pPr>
          </w:p>
        </w:tc>
        <w:tc>
          <w:tcPr>
            <w:tcW w:w="0" w:type="auto"/>
            <w:shd w:val="clear" w:color="auto" w:fill="auto"/>
          </w:tcPr>
          <w:p w:rsidR="00784605" w:rsidRPr="00857CDA" w:rsidRDefault="00784605" w:rsidP="00784605">
            <w:pPr>
              <w:keepNext/>
              <w:keepLines/>
              <w:rPr>
                <w:sz w:val="18"/>
                <w:szCs w:val="18"/>
                <w:lang w:val="ro-RO"/>
              </w:rPr>
            </w:pPr>
          </w:p>
        </w:tc>
        <w:tc>
          <w:tcPr>
            <w:tcW w:w="0" w:type="auto"/>
            <w:shd w:val="clear" w:color="auto" w:fill="auto"/>
          </w:tcPr>
          <w:p w:rsidR="00784605" w:rsidRPr="00857CDA" w:rsidRDefault="00784605" w:rsidP="00784605">
            <w:pPr>
              <w:keepNext/>
              <w:keepLines/>
              <w:rPr>
                <w:sz w:val="18"/>
                <w:szCs w:val="18"/>
                <w:lang w:val="ro-RO"/>
              </w:rPr>
            </w:pPr>
          </w:p>
        </w:tc>
        <w:tc>
          <w:tcPr>
            <w:tcW w:w="0" w:type="auto"/>
            <w:shd w:val="clear" w:color="auto" w:fill="auto"/>
          </w:tcPr>
          <w:p w:rsidR="00784605" w:rsidRPr="00857CDA" w:rsidRDefault="00784605" w:rsidP="00784605">
            <w:pPr>
              <w:keepNext/>
              <w:keepLines/>
              <w:rPr>
                <w:sz w:val="18"/>
                <w:szCs w:val="18"/>
                <w:lang w:val="ro-RO"/>
              </w:rPr>
            </w:pPr>
            <w:r w:rsidRPr="00857CDA">
              <w:rPr>
                <w:sz w:val="18"/>
                <w:szCs w:val="18"/>
                <w:lang w:val="ro-RO"/>
              </w:rPr>
              <w:t>OP7</w:t>
            </w:r>
          </w:p>
        </w:tc>
        <w:tc>
          <w:tcPr>
            <w:tcW w:w="0" w:type="auto"/>
            <w:shd w:val="clear" w:color="auto" w:fill="auto"/>
          </w:tcPr>
          <w:p w:rsidR="00784605" w:rsidRPr="00857CDA" w:rsidRDefault="00784605" w:rsidP="00784605">
            <w:pPr>
              <w:keepNext/>
              <w:keepLines/>
              <w:rPr>
                <w:sz w:val="18"/>
                <w:szCs w:val="18"/>
                <w:lang w:val="ro-RO"/>
              </w:rPr>
            </w:pPr>
            <w:r w:rsidRPr="00857CDA">
              <w:rPr>
                <w:sz w:val="18"/>
                <w:szCs w:val="18"/>
                <w:lang w:val="ro-RO"/>
              </w:rPr>
              <w:t>+ 35</w:t>
            </w:r>
          </w:p>
        </w:tc>
        <w:tc>
          <w:tcPr>
            <w:tcW w:w="0" w:type="auto"/>
            <w:shd w:val="clear" w:color="auto" w:fill="auto"/>
          </w:tcPr>
          <w:p w:rsidR="00784605" w:rsidRPr="00857CDA" w:rsidRDefault="00784605" w:rsidP="00784605">
            <w:pPr>
              <w:keepNext/>
              <w:keepLines/>
              <w:rPr>
                <w:sz w:val="18"/>
                <w:szCs w:val="18"/>
                <w:lang w:val="ro-RO"/>
              </w:rPr>
            </w:pPr>
            <w:r w:rsidRPr="00857CDA">
              <w:rPr>
                <w:sz w:val="18"/>
                <w:szCs w:val="18"/>
                <w:lang w:val="ro-RO"/>
              </w:rPr>
              <w:t>+ 40</w:t>
            </w:r>
          </w:p>
        </w:tc>
        <w:tc>
          <w:tcPr>
            <w:tcW w:w="0" w:type="auto"/>
            <w:shd w:val="clear" w:color="auto" w:fill="auto"/>
          </w:tcPr>
          <w:p w:rsidR="00784605" w:rsidRPr="00857CDA" w:rsidRDefault="00784605" w:rsidP="00784605">
            <w:pPr>
              <w:keepNext/>
              <w:keepLines/>
              <w:rPr>
                <w:sz w:val="18"/>
                <w:szCs w:val="18"/>
                <w:lang w:val="ro-RO"/>
              </w:rPr>
            </w:pPr>
            <w:r w:rsidRPr="00857CDA">
              <w:rPr>
                <w:sz w:val="18"/>
                <w:szCs w:val="18"/>
                <w:lang w:val="ro-RO"/>
              </w:rPr>
              <w:t>3116</w:t>
            </w:r>
          </w:p>
        </w:tc>
        <w:tc>
          <w:tcPr>
            <w:tcW w:w="0" w:type="auto"/>
            <w:shd w:val="clear" w:color="auto" w:fill="auto"/>
          </w:tcPr>
          <w:p w:rsidR="00784605" w:rsidRPr="00857CDA" w:rsidDel="00A9632D" w:rsidRDefault="00784605" w:rsidP="00784605">
            <w:pPr>
              <w:keepNext/>
              <w:keepLines/>
              <w:rPr>
                <w:sz w:val="18"/>
                <w:szCs w:val="18"/>
                <w:lang w:val="ro-RO"/>
              </w:rPr>
            </w:pPr>
          </w:p>
        </w:tc>
      </w:tr>
      <w:tr w:rsidR="00784605" w:rsidRPr="00857CDA" w:rsidTr="00444D01">
        <w:trPr>
          <w:cantSplit/>
        </w:trPr>
        <w:tc>
          <w:tcPr>
            <w:tcW w:w="4394" w:type="dxa"/>
            <w:tcBorders>
              <w:bottom w:val="single" w:sz="4" w:space="0" w:color="auto"/>
            </w:tcBorders>
            <w:shd w:val="clear" w:color="auto" w:fill="auto"/>
          </w:tcPr>
          <w:p w:rsidR="00784605" w:rsidRPr="00857CDA" w:rsidRDefault="00784605" w:rsidP="000476F2">
            <w:pPr>
              <w:keepNext/>
              <w:keepLines/>
              <w:rPr>
                <w:sz w:val="18"/>
                <w:szCs w:val="18"/>
                <w:lang w:val="ro-RO"/>
              </w:rPr>
            </w:pPr>
            <w:r w:rsidRPr="00857CDA">
              <w:rPr>
                <w:sz w:val="18"/>
                <w:szCs w:val="18"/>
                <w:lang w:val="ro-RO"/>
              </w:rPr>
              <w:t>H</w:t>
            </w:r>
            <w:r w:rsidR="000476F2" w:rsidRPr="00857CDA">
              <w:rPr>
                <w:sz w:val="18"/>
                <w:szCs w:val="18"/>
                <w:lang w:val="ro-RO"/>
              </w:rPr>
              <w:t>I</w:t>
            </w:r>
            <w:r w:rsidRPr="00857CDA">
              <w:rPr>
                <w:sz w:val="18"/>
                <w:szCs w:val="18"/>
                <w:lang w:val="ro-RO"/>
              </w:rPr>
              <w:t>DROPEROX</w:t>
            </w:r>
            <w:r w:rsidR="000476F2" w:rsidRPr="00857CDA">
              <w:rPr>
                <w:sz w:val="18"/>
                <w:szCs w:val="18"/>
                <w:lang w:val="ro-RO"/>
              </w:rPr>
              <w:t>I</w:t>
            </w:r>
            <w:r w:rsidRPr="00857CDA">
              <w:rPr>
                <w:sz w:val="18"/>
                <w:szCs w:val="18"/>
                <w:lang w:val="ro-RO"/>
              </w:rPr>
              <w:t xml:space="preserve">D </w:t>
            </w:r>
            <w:r w:rsidRPr="00857CDA">
              <w:rPr>
                <w:sz w:val="18"/>
                <w:szCs w:val="18"/>
                <w:lang w:val="ro-RO"/>
              </w:rPr>
              <w:br/>
              <w:t>DE 1-</w:t>
            </w:r>
            <w:r w:rsidR="000476F2" w:rsidRPr="00857CDA">
              <w:rPr>
                <w:sz w:val="18"/>
                <w:szCs w:val="18"/>
                <w:lang w:val="ro-RO"/>
              </w:rPr>
              <w:t>FE</w:t>
            </w:r>
            <w:r w:rsidRPr="00857CDA">
              <w:rPr>
                <w:sz w:val="18"/>
                <w:szCs w:val="18"/>
                <w:lang w:val="ro-RO"/>
              </w:rPr>
              <w:t>N</w:t>
            </w:r>
            <w:r w:rsidR="000476F2" w:rsidRPr="00857CDA">
              <w:rPr>
                <w:sz w:val="18"/>
                <w:szCs w:val="18"/>
                <w:lang w:val="ro-RO"/>
              </w:rPr>
              <w:t>I</w:t>
            </w:r>
            <w:r w:rsidRPr="00857CDA">
              <w:rPr>
                <w:sz w:val="18"/>
                <w:szCs w:val="18"/>
                <w:lang w:val="ro-RO"/>
              </w:rPr>
              <w:t>L</w:t>
            </w:r>
            <w:r w:rsidR="000476F2" w:rsidRPr="00857CDA">
              <w:rPr>
                <w:sz w:val="18"/>
                <w:szCs w:val="18"/>
                <w:lang w:val="ro-RO"/>
              </w:rPr>
              <w:t>E</w:t>
            </w:r>
            <w:r w:rsidRPr="00857CDA">
              <w:rPr>
                <w:sz w:val="18"/>
                <w:szCs w:val="18"/>
                <w:lang w:val="ro-RO"/>
              </w:rPr>
              <w:t>T</w:t>
            </w:r>
            <w:r w:rsidR="000476F2" w:rsidRPr="00857CDA">
              <w:rPr>
                <w:sz w:val="18"/>
                <w:szCs w:val="18"/>
                <w:lang w:val="ro-RO"/>
              </w:rPr>
              <w:t>I</w:t>
            </w:r>
            <w:r w:rsidRPr="00857CDA">
              <w:rPr>
                <w:sz w:val="18"/>
                <w:szCs w:val="18"/>
                <w:lang w:val="ro-RO"/>
              </w:rPr>
              <w:t>L</w:t>
            </w:r>
          </w:p>
        </w:tc>
        <w:tc>
          <w:tcPr>
            <w:tcW w:w="1701" w:type="dxa"/>
            <w:tcBorders>
              <w:bottom w:val="single" w:sz="4" w:space="0" w:color="auto"/>
            </w:tcBorders>
            <w:shd w:val="clear" w:color="auto" w:fill="auto"/>
          </w:tcPr>
          <w:p w:rsidR="00784605" w:rsidRPr="00857CDA" w:rsidRDefault="00784605" w:rsidP="00784605">
            <w:pPr>
              <w:keepNext/>
              <w:keepLines/>
              <w:rPr>
                <w:sz w:val="18"/>
                <w:szCs w:val="18"/>
                <w:lang w:val="ro-RO"/>
              </w:rPr>
            </w:pPr>
            <w:r w:rsidRPr="00857CDA">
              <w:rPr>
                <w:sz w:val="18"/>
                <w:szCs w:val="18"/>
                <w:lang w:val="ro-RO"/>
              </w:rPr>
              <w:t>≤</w:t>
            </w:r>
            <w:r w:rsidR="008E686B" w:rsidRPr="00857CDA">
              <w:rPr>
                <w:sz w:val="18"/>
                <w:szCs w:val="18"/>
                <w:lang w:val="ro-RO"/>
              </w:rPr>
              <w:t xml:space="preserve"> </w:t>
            </w:r>
            <w:r w:rsidRPr="00857CDA">
              <w:rPr>
                <w:sz w:val="18"/>
                <w:szCs w:val="18"/>
                <w:lang w:val="ro-RO"/>
              </w:rPr>
              <w:t>38</w:t>
            </w:r>
          </w:p>
        </w:tc>
        <w:tc>
          <w:tcPr>
            <w:tcW w:w="0" w:type="auto"/>
            <w:tcBorders>
              <w:bottom w:val="single" w:sz="4" w:space="0" w:color="auto"/>
            </w:tcBorders>
            <w:shd w:val="clear" w:color="auto" w:fill="auto"/>
          </w:tcPr>
          <w:p w:rsidR="00784605" w:rsidRPr="00857CDA" w:rsidRDefault="00784605" w:rsidP="00784605">
            <w:pPr>
              <w:keepNext/>
              <w:keepLines/>
              <w:rPr>
                <w:sz w:val="18"/>
                <w:szCs w:val="18"/>
                <w:lang w:val="ro-RO"/>
              </w:rPr>
            </w:pPr>
          </w:p>
        </w:tc>
        <w:tc>
          <w:tcPr>
            <w:tcW w:w="465" w:type="dxa"/>
            <w:tcBorders>
              <w:bottom w:val="single" w:sz="4" w:space="0" w:color="auto"/>
            </w:tcBorders>
            <w:shd w:val="clear" w:color="auto" w:fill="auto"/>
          </w:tcPr>
          <w:p w:rsidR="00784605" w:rsidRPr="00857CDA" w:rsidRDefault="00784605" w:rsidP="00784605">
            <w:pPr>
              <w:keepNext/>
              <w:keepLines/>
              <w:rPr>
                <w:sz w:val="18"/>
                <w:szCs w:val="18"/>
                <w:lang w:val="ro-RO"/>
              </w:rPr>
            </w:pPr>
            <w:r w:rsidRPr="00857CDA">
              <w:rPr>
                <w:sz w:val="18"/>
                <w:szCs w:val="18"/>
                <w:lang w:val="ro-RO"/>
              </w:rPr>
              <w:t>≥</w:t>
            </w:r>
            <w:r w:rsidR="008E686B" w:rsidRPr="00857CDA">
              <w:rPr>
                <w:sz w:val="18"/>
                <w:szCs w:val="18"/>
                <w:lang w:val="ro-RO"/>
              </w:rPr>
              <w:t xml:space="preserve"> </w:t>
            </w:r>
            <w:r w:rsidRPr="00857CDA">
              <w:rPr>
                <w:sz w:val="18"/>
                <w:szCs w:val="18"/>
                <w:lang w:val="ro-RO"/>
              </w:rPr>
              <w:t>62</w:t>
            </w:r>
          </w:p>
        </w:tc>
        <w:tc>
          <w:tcPr>
            <w:tcW w:w="0" w:type="auto"/>
            <w:tcBorders>
              <w:bottom w:val="single" w:sz="4" w:space="0" w:color="auto"/>
            </w:tcBorders>
            <w:shd w:val="clear" w:color="auto" w:fill="auto"/>
          </w:tcPr>
          <w:p w:rsidR="00784605" w:rsidRPr="00857CDA" w:rsidRDefault="00784605" w:rsidP="00784605">
            <w:pPr>
              <w:keepNext/>
              <w:keepLines/>
              <w:rPr>
                <w:sz w:val="18"/>
                <w:szCs w:val="18"/>
                <w:lang w:val="ro-RO"/>
              </w:rPr>
            </w:pPr>
          </w:p>
        </w:tc>
        <w:tc>
          <w:tcPr>
            <w:tcW w:w="0" w:type="auto"/>
            <w:tcBorders>
              <w:bottom w:val="single" w:sz="4" w:space="0" w:color="auto"/>
            </w:tcBorders>
            <w:shd w:val="clear" w:color="auto" w:fill="auto"/>
          </w:tcPr>
          <w:p w:rsidR="00784605" w:rsidRPr="00857CDA" w:rsidRDefault="00784605" w:rsidP="00784605">
            <w:pPr>
              <w:keepNext/>
              <w:keepLines/>
              <w:rPr>
                <w:sz w:val="18"/>
                <w:szCs w:val="18"/>
                <w:lang w:val="ro-RO"/>
              </w:rPr>
            </w:pPr>
          </w:p>
        </w:tc>
        <w:tc>
          <w:tcPr>
            <w:tcW w:w="0" w:type="auto"/>
            <w:tcBorders>
              <w:bottom w:val="single" w:sz="4" w:space="0" w:color="auto"/>
            </w:tcBorders>
            <w:shd w:val="clear" w:color="auto" w:fill="auto"/>
          </w:tcPr>
          <w:p w:rsidR="00784605" w:rsidRPr="00857CDA" w:rsidRDefault="00784605" w:rsidP="00784605">
            <w:pPr>
              <w:keepNext/>
              <w:keepLines/>
              <w:rPr>
                <w:sz w:val="18"/>
                <w:szCs w:val="18"/>
                <w:lang w:val="ro-RO"/>
              </w:rPr>
            </w:pPr>
            <w:r w:rsidRPr="00857CDA">
              <w:rPr>
                <w:sz w:val="18"/>
                <w:szCs w:val="18"/>
                <w:lang w:val="ro-RO"/>
              </w:rPr>
              <w:t>OP8</w:t>
            </w:r>
          </w:p>
        </w:tc>
        <w:tc>
          <w:tcPr>
            <w:tcW w:w="0" w:type="auto"/>
            <w:tcBorders>
              <w:bottom w:val="single" w:sz="4" w:space="0" w:color="auto"/>
            </w:tcBorders>
            <w:shd w:val="clear" w:color="auto" w:fill="auto"/>
          </w:tcPr>
          <w:p w:rsidR="00784605" w:rsidRPr="00857CDA" w:rsidRDefault="00784605" w:rsidP="00784605">
            <w:pPr>
              <w:keepNext/>
              <w:keepLines/>
              <w:rPr>
                <w:sz w:val="18"/>
                <w:szCs w:val="18"/>
                <w:lang w:val="ro-RO"/>
              </w:rPr>
            </w:pPr>
          </w:p>
        </w:tc>
        <w:tc>
          <w:tcPr>
            <w:tcW w:w="0" w:type="auto"/>
            <w:tcBorders>
              <w:bottom w:val="single" w:sz="4" w:space="0" w:color="auto"/>
            </w:tcBorders>
            <w:shd w:val="clear" w:color="auto" w:fill="auto"/>
          </w:tcPr>
          <w:p w:rsidR="00784605" w:rsidRPr="00857CDA" w:rsidRDefault="00784605" w:rsidP="00784605">
            <w:pPr>
              <w:keepNext/>
              <w:keepLines/>
              <w:rPr>
                <w:sz w:val="18"/>
                <w:szCs w:val="18"/>
                <w:lang w:val="ro-RO"/>
              </w:rPr>
            </w:pPr>
          </w:p>
        </w:tc>
        <w:tc>
          <w:tcPr>
            <w:tcW w:w="0" w:type="auto"/>
            <w:tcBorders>
              <w:bottom w:val="single" w:sz="4" w:space="0" w:color="auto"/>
            </w:tcBorders>
            <w:shd w:val="clear" w:color="auto" w:fill="auto"/>
          </w:tcPr>
          <w:p w:rsidR="00784605" w:rsidRPr="00857CDA" w:rsidRDefault="00784605" w:rsidP="00784605">
            <w:pPr>
              <w:keepNext/>
              <w:keepLines/>
              <w:rPr>
                <w:sz w:val="18"/>
                <w:szCs w:val="18"/>
                <w:lang w:val="ro-RO"/>
              </w:rPr>
            </w:pPr>
            <w:r w:rsidRPr="00857CDA">
              <w:rPr>
                <w:sz w:val="18"/>
                <w:szCs w:val="18"/>
                <w:lang w:val="ro-RO"/>
              </w:rPr>
              <w:t>3109</w:t>
            </w:r>
          </w:p>
        </w:tc>
        <w:tc>
          <w:tcPr>
            <w:tcW w:w="0" w:type="auto"/>
            <w:tcBorders>
              <w:bottom w:val="single" w:sz="4" w:space="0" w:color="auto"/>
            </w:tcBorders>
            <w:shd w:val="clear" w:color="auto" w:fill="auto"/>
          </w:tcPr>
          <w:p w:rsidR="00784605" w:rsidRPr="00857CDA" w:rsidDel="00A9632D" w:rsidRDefault="00784605" w:rsidP="00784605">
            <w:pPr>
              <w:keepNext/>
              <w:keepLines/>
              <w:rPr>
                <w:sz w:val="18"/>
                <w:szCs w:val="18"/>
                <w:lang w:val="ro-RO"/>
              </w:rPr>
            </w:pPr>
          </w:p>
        </w:tc>
      </w:tr>
    </w:tbl>
    <w:p w:rsidR="00167465" w:rsidRPr="00857CDA" w:rsidRDefault="00167465" w:rsidP="00167465">
      <w:pPr>
        <w:spacing w:line="240" w:lineRule="auto"/>
        <w:ind w:left="1134" w:right="1134"/>
        <w:jc w:val="both"/>
        <w:rPr>
          <w:lang w:val="ro-RO"/>
        </w:rPr>
      </w:pPr>
      <w:r w:rsidRPr="00857CDA">
        <w:rPr>
          <w:lang w:val="ro-RO"/>
        </w:rPr>
        <w:t>2.2.52.4</w:t>
      </w:r>
      <w:r w:rsidRPr="00857CDA">
        <w:rPr>
          <w:lang w:val="ro-RO"/>
        </w:rPr>
        <w:tab/>
      </w:r>
      <w:r w:rsidR="00902C44" w:rsidRPr="00857CDA">
        <w:rPr>
          <w:lang w:val="ro-RO"/>
        </w:rPr>
        <w:t>În</w:t>
      </w:r>
      <w:r w:rsidRPr="00857CDA">
        <w:rPr>
          <w:lang w:val="ro-RO"/>
        </w:rPr>
        <w:t xml:space="preserve"> note</w:t>
      </w:r>
      <w:r w:rsidR="00125861" w:rsidRPr="00857CDA">
        <w:rPr>
          <w:lang w:val="ro-RO"/>
        </w:rPr>
        <w:t xml:space="preserve">le </w:t>
      </w:r>
      <w:r w:rsidRPr="00857CDA">
        <w:rPr>
          <w:lang w:val="ro-RO"/>
        </w:rPr>
        <w:t xml:space="preserve">de </w:t>
      </w:r>
      <w:r w:rsidR="00125861" w:rsidRPr="00857CDA">
        <w:rPr>
          <w:lang w:val="ro-RO"/>
        </w:rPr>
        <w:t>sub</w:t>
      </w:r>
      <w:r w:rsidRPr="00857CDA">
        <w:rPr>
          <w:lang w:val="ro-RO"/>
        </w:rPr>
        <w:t xml:space="preserve"> tabl</w:t>
      </w:r>
      <w:r w:rsidR="00125861" w:rsidRPr="00857CDA">
        <w:rPr>
          <w:lang w:val="ro-RO"/>
        </w:rPr>
        <w:t>ou</w:t>
      </w:r>
      <w:r w:rsidRPr="00857CDA">
        <w:rPr>
          <w:lang w:val="ro-RO"/>
        </w:rPr>
        <w:t xml:space="preserve"> 3, 13, 18</w:t>
      </w:r>
      <w:r w:rsidR="004C27AD" w:rsidRPr="00857CDA">
        <w:rPr>
          <w:lang w:val="ro-RO"/>
        </w:rPr>
        <w:t xml:space="preserve"> și </w:t>
      </w:r>
      <w:r w:rsidRPr="00857CDA">
        <w:rPr>
          <w:lang w:val="ro-RO"/>
        </w:rPr>
        <w:t xml:space="preserve">27, </w:t>
      </w:r>
      <w:r w:rsidR="00902C44" w:rsidRPr="00857CDA">
        <w:rPr>
          <w:lang w:val="ro-RO" w:eastAsia="en-GB"/>
        </w:rPr>
        <w:t>Se modifică</w:t>
      </w:r>
      <w:r w:rsidRPr="00857CDA">
        <w:rPr>
          <w:lang w:val="ro-RO"/>
        </w:rPr>
        <w:t xml:space="preserve"> </w:t>
      </w:r>
      <w:r w:rsidR="009918B0"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9918B0" w:rsidRPr="00857CDA">
        <w:rPr>
          <w:lang w:val="ro-RO"/>
        </w:rPr>
        <w:t>„</w:t>
      </w:r>
      <w:r w:rsidR="002B679C" w:rsidRPr="00857CDA">
        <w:rPr>
          <w:lang w:val="ro-RO"/>
        </w:rPr>
        <w:t>pericol</w:t>
      </w:r>
      <w:r w:rsidR="00660131" w:rsidRPr="00857CDA">
        <w:rPr>
          <w:lang w:val="ro-RO"/>
        </w:rPr>
        <w:t>”</w:t>
      </w:r>
      <w:r w:rsidRPr="00857CDA">
        <w:rPr>
          <w:lang w:val="ro-RO"/>
        </w:rPr>
        <w:t>.</w:t>
      </w:r>
    </w:p>
    <w:p w:rsidR="00CD1138" w:rsidRPr="00857CDA" w:rsidRDefault="0089765D" w:rsidP="00CD1138">
      <w:pPr>
        <w:pStyle w:val="SingleTxtG"/>
        <w:rPr>
          <w:i/>
          <w:lang w:val="ro-RO"/>
        </w:rPr>
      </w:pPr>
      <w:r w:rsidRPr="00857CDA">
        <w:rPr>
          <w:lang w:val="ro-RO"/>
        </w:rPr>
        <w:t>2.2.61.1.2</w:t>
      </w:r>
      <w:r w:rsidRPr="00857CDA">
        <w:rPr>
          <w:lang w:val="ro-RO"/>
        </w:rPr>
        <w:tab/>
      </w:r>
      <w:r w:rsidR="00902C44" w:rsidRPr="00857CDA">
        <w:rPr>
          <w:lang w:val="ro-RO"/>
        </w:rPr>
        <w:t xml:space="preserve">În </w:t>
      </w:r>
      <w:r w:rsidR="00753DB4" w:rsidRPr="00857CDA">
        <w:rPr>
          <w:lang w:val="ro-RO"/>
        </w:rPr>
        <w:t>tit</w:t>
      </w:r>
      <w:r w:rsidR="00125861" w:rsidRPr="00857CDA">
        <w:rPr>
          <w:lang w:val="ro-RO"/>
        </w:rPr>
        <w:t>lul</w:t>
      </w:r>
      <w:r w:rsidR="00753DB4" w:rsidRPr="00857CDA">
        <w:rPr>
          <w:lang w:val="ro-RO"/>
        </w:rPr>
        <w:t xml:space="preserve"> sub</w:t>
      </w:r>
      <w:r w:rsidR="00125861" w:rsidRPr="00857CDA">
        <w:rPr>
          <w:lang w:val="ro-RO"/>
        </w:rPr>
        <w:t>-</w:t>
      </w:r>
      <w:r w:rsidR="00753DB4" w:rsidRPr="00857CDA">
        <w:rPr>
          <w:lang w:val="ro-RO"/>
        </w:rPr>
        <w:t>divi</w:t>
      </w:r>
      <w:r w:rsidR="00125861" w:rsidRPr="00857CDA">
        <w:rPr>
          <w:lang w:val="ro-RO"/>
        </w:rPr>
        <w:t>ziunii</w:t>
      </w:r>
      <w:r w:rsidR="00753DB4" w:rsidRPr="00857CDA">
        <w:rPr>
          <w:lang w:val="ro-RO"/>
        </w:rPr>
        <w:t xml:space="preserve"> </w:t>
      </w:r>
      <w:r w:rsidR="007A5286" w:rsidRPr="00857CDA">
        <w:rPr>
          <w:lang w:val="ro-RO"/>
        </w:rPr>
        <w:t>„</w:t>
      </w:r>
      <w:r w:rsidR="00753DB4" w:rsidRPr="00857CDA">
        <w:rPr>
          <w:lang w:val="ro-RO"/>
        </w:rPr>
        <w:t>T</w:t>
      </w:r>
      <w:r w:rsidR="00660131" w:rsidRPr="00857CDA">
        <w:rPr>
          <w:lang w:val="ro-RO"/>
        </w:rPr>
        <w:t>”</w:t>
      </w:r>
      <w:r w:rsidR="00125861" w:rsidRPr="00857CDA">
        <w:rPr>
          <w:lang w:val="ro-RO"/>
        </w:rPr>
        <w:t>,</w:t>
      </w:r>
      <w:r w:rsidR="00753DB4" w:rsidRPr="00857CDA">
        <w:rPr>
          <w:lang w:val="ro-RO"/>
        </w:rPr>
        <w:t xml:space="preserve"> </w:t>
      </w:r>
      <w:r w:rsidR="00902C44" w:rsidRPr="00857CDA">
        <w:rPr>
          <w:lang w:val="ro-RO"/>
        </w:rPr>
        <w:t>Se modifică</w:t>
      </w:r>
      <w:r w:rsidR="00753DB4" w:rsidRPr="00857CDA">
        <w:rPr>
          <w:lang w:val="ro-RO"/>
        </w:rPr>
        <w:t xml:space="preserve"> </w:t>
      </w:r>
      <w:r w:rsidR="007A5286" w:rsidRPr="00857CDA">
        <w:rPr>
          <w:lang w:val="ro-RO"/>
        </w:rPr>
        <w:t>„</w:t>
      </w:r>
      <w:r w:rsidR="007A5286" w:rsidRPr="00857CDA">
        <w:rPr>
          <w:iCs/>
          <w:lang w:val="ro-RO"/>
        </w:rPr>
        <w:t>fără</w:t>
      </w:r>
      <w:r w:rsidR="00753DB4" w:rsidRPr="00857CDA">
        <w:rPr>
          <w:iCs/>
          <w:lang w:val="ro-RO"/>
        </w:rPr>
        <w:t xml:space="preserve"> </w:t>
      </w:r>
      <w:r w:rsidR="002B679C" w:rsidRPr="00857CDA">
        <w:rPr>
          <w:iCs/>
          <w:lang w:val="ro-RO"/>
        </w:rPr>
        <w:t>risc</w:t>
      </w:r>
      <w:r w:rsidR="00753DB4" w:rsidRPr="00857CDA">
        <w:rPr>
          <w:iCs/>
          <w:lang w:val="ro-RO"/>
        </w:rPr>
        <w:t xml:space="preserve"> </w:t>
      </w:r>
      <w:r w:rsidR="00936848" w:rsidRPr="00857CDA">
        <w:rPr>
          <w:iCs/>
          <w:lang w:val="ro-RO"/>
        </w:rPr>
        <w:t>secundar</w:t>
      </w:r>
      <w:r w:rsidR="00660131" w:rsidRPr="00857CDA">
        <w:rPr>
          <w:iCs/>
          <w:lang w:val="ro-RO"/>
        </w:rPr>
        <w:t>”</w:t>
      </w:r>
      <w:r w:rsidR="00902C44" w:rsidRPr="00857CDA">
        <w:rPr>
          <w:iCs/>
          <w:lang w:val="ro-RO"/>
        </w:rPr>
        <w:t xml:space="preserve"> cu </w:t>
      </w:r>
      <w:r w:rsidR="007A5286" w:rsidRPr="00857CDA">
        <w:rPr>
          <w:lang w:val="ro-RO"/>
        </w:rPr>
        <w:t>„</w:t>
      </w:r>
      <w:r w:rsidR="007A5286" w:rsidRPr="00857CDA">
        <w:rPr>
          <w:iCs/>
          <w:lang w:val="ro-RO"/>
        </w:rPr>
        <w:t>fără</w:t>
      </w:r>
      <w:r w:rsidR="00753DB4" w:rsidRPr="00857CDA">
        <w:rPr>
          <w:iCs/>
          <w:lang w:val="ro-RO"/>
        </w:rPr>
        <w:t xml:space="preserve"> </w:t>
      </w:r>
      <w:r w:rsidR="002B679C" w:rsidRPr="00857CDA">
        <w:rPr>
          <w:iCs/>
          <w:lang w:val="ro-RO"/>
        </w:rPr>
        <w:t>pericol</w:t>
      </w:r>
      <w:r w:rsidR="00753DB4" w:rsidRPr="00857CDA">
        <w:rPr>
          <w:iCs/>
          <w:lang w:val="ro-RO"/>
        </w:rPr>
        <w:t xml:space="preserve"> </w:t>
      </w:r>
      <w:r w:rsidR="00936848" w:rsidRPr="00857CDA">
        <w:rPr>
          <w:iCs/>
          <w:lang w:val="ro-RO"/>
        </w:rPr>
        <w:t>secundar</w:t>
      </w:r>
      <w:r w:rsidR="00660131" w:rsidRPr="00857CDA">
        <w:rPr>
          <w:iCs/>
          <w:lang w:val="ro-RO"/>
        </w:rPr>
        <w:t>”</w:t>
      </w:r>
      <w:r w:rsidR="00753DB4" w:rsidRPr="00857CDA">
        <w:rPr>
          <w:iCs/>
          <w:lang w:val="ro-RO"/>
        </w:rPr>
        <w:t>.</w:t>
      </w:r>
      <w:r w:rsidR="00CD1138" w:rsidRPr="00857CDA">
        <w:rPr>
          <w:i/>
          <w:lang w:val="ro-RO"/>
        </w:rPr>
        <w:t xml:space="preserve"> </w:t>
      </w:r>
    </w:p>
    <w:p w:rsidR="0089765D" w:rsidRPr="00857CDA" w:rsidRDefault="0089765D" w:rsidP="007C4A3C">
      <w:pPr>
        <w:pStyle w:val="SingleTxtG"/>
        <w:spacing w:before="120"/>
        <w:rPr>
          <w:lang w:val="ro-RO"/>
        </w:rPr>
      </w:pPr>
      <w:r w:rsidRPr="00857CDA">
        <w:rPr>
          <w:lang w:val="ro-RO"/>
        </w:rPr>
        <w:lastRenderedPageBreak/>
        <w:t>2.2.61.1.2</w:t>
      </w:r>
      <w:r w:rsidRPr="00857CDA">
        <w:rPr>
          <w:lang w:val="ro-RO"/>
        </w:rPr>
        <w:tab/>
      </w:r>
      <w:r w:rsidR="00991390" w:rsidRPr="00857CDA">
        <w:rPr>
          <w:lang w:val="ro-RO"/>
        </w:rPr>
        <w:t>Pentru</w:t>
      </w:r>
      <w:r w:rsidRPr="00857CDA">
        <w:rPr>
          <w:lang w:val="ro-RO"/>
        </w:rPr>
        <w:t xml:space="preserve"> </w:t>
      </w:r>
      <w:r w:rsidR="007A5286" w:rsidRPr="00857CDA">
        <w:rPr>
          <w:lang w:val="ro-RO"/>
        </w:rPr>
        <w:t>„</w:t>
      </w:r>
      <w:r w:rsidR="00125861" w:rsidRPr="00857CDA">
        <w:rPr>
          <w:lang w:val="ro-RO"/>
        </w:rPr>
        <w:t>Substanţe toxice fără pericol secundar</w:t>
      </w:r>
      <w:r w:rsidR="00660131" w:rsidRPr="00857CDA">
        <w:rPr>
          <w:lang w:val="ro-RO"/>
        </w:rPr>
        <w:t>”</w:t>
      </w:r>
      <w:r w:rsidRPr="00857CDA">
        <w:rPr>
          <w:lang w:val="ro-RO"/>
        </w:rPr>
        <w:t xml:space="preserve"> </w:t>
      </w:r>
      <w:r w:rsidR="00902C44" w:rsidRPr="00857CDA">
        <w:rPr>
          <w:lang w:val="ro-RO"/>
        </w:rPr>
        <w:t>se adaugă</w:t>
      </w:r>
      <w:r w:rsidR="00753DB4" w:rsidRPr="00857CDA">
        <w:rPr>
          <w:lang w:val="ro-RO"/>
        </w:rPr>
        <w:t xml:space="preserve"> nou</w:t>
      </w:r>
      <w:r w:rsidR="00125861" w:rsidRPr="00857CDA">
        <w:rPr>
          <w:lang w:val="ro-RO"/>
        </w:rPr>
        <w:t>a</w:t>
      </w:r>
      <w:r w:rsidRPr="00857CDA">
        <w:rPr>
          <w:lang w:val="ro-RO"/>
        </w:rPr>
        <w:t xml:space="preserve"> sub</w:t>
      </w:r>
      <w:r w:rsidR="00125861" w:rsidRPr="00857CDA">
        <w:rPr>
          <w:lang w:val="ro-RO"/>
        </w:rPr>
        <w:t>-</w:t>
      </w:r>
      <w:r w:rsidRPr="00857CDA">
        <w:rPr>
          <w:lang w:val="ro-RO"/>
        </w:rPr>
        <w:t>divi</w:t>
      </w:r>
      <w:r w:rsidR="00125861" w:rsidRPr="00857CDA">
        <w:rPr>
          <w:lang w:val="ro-RO"/>
        </w:rPr>
        <w:t>ziune</w:t>
      </w:r>
      <w:r w:rsidR="00091658" w:rsidRPr="00857CDA">
        <w:rPr>
          <w:lang w:val="ro-RO"/>
        </w:rPr>
        <w:t>:</w:t>
      </w:r>
      <w:r w:rsidR="007C4A3C" w:rsidRPr="00857CDA">
        <w:rPr>
          <w:lang w:val="ro-RO"/>
        </w:rPr>
        <w:tab/>
      </w:r>
      <w:r w:rsidR="007C4A3C" w:rsidRPr="00857CDA">
        <w:rPr>
          <w:lang w:val="ro-RO"/>
        </w:rPr>
        <w:tab/>
      </w:r>
      <w:r w:rsidR="007A5286" w:rsidRPr="00857CDA">
        <w:rPr>
          <w:lang w:val="ro-RO"/>
        </w:rPr>
        <w:t>„</w:t>
      </w:r>
      <w:r w:rsidRPr="00857CDA">
        <w:rPr>
          <w:lang w:val="ro-RO"/>
        </w:rPr>
        <w:t>T10</w:t>
      </w:r>
      <w:r w:rsidRPr="00857CDA">
        <w:rPr>
          <w:lang w:val="ro-RO"/>
        </w:rPr>
        <w:tab/>
      </w:r>
      <w:r w:rsidR="00857CDA" w:rsidRPr="00857CDA">
        <w:rPr>
          <w:lang w:val="ro-RO"/>
        </w:rPr>
        <w:t>Obiecte</w:t>
      </w:r>
      <w:r w:rsidR="00A713AE" w:rsidRPr="00857CDA">
        <w:rPr>
          <w:lang w:val="ro-RO"/>
        </w:rPr>
        <w:t>.</w:t>
      </w:r>
      <w:r w:rsidR="00660131" w:rsidRPr="00857CDA">
        <w:rPr>
          <w:lang w:val="ro-RO"/>
        </w:rPr>
        <w:t>”</w:t>
      </w:r>
      <w:r w:rsidRPr="00857CDA">
        <w:rPr>
          <w:lang w:val="ro-RO"/>
        </w:rPr>
        <w:t>.</w:t>
      </w:r>
    </w:p>
    <w:p w:rsidR="0089765D" w:rsidRPr="00857CDA" w:rsidRDefault="0089765D" w:rsidP="0089765D">
      <w:pPr>
        <w:pStyle w:val="SingleTxtG"/>
        <w:rPr>
          <w:lang w:val="ro-RO"/>
        </w:rPr>
      </w:pPr>
      <w:r w:rsidRPr="00857CDA">
        <w:rPr>
          <w:lang w:val="ro-RO"/>
        </w:rPr>
        <w:t>2.2.61.1.7.2</w:t>
      </w:r>
      <w:r w:rsidRPr="00857CDA">
        <w:rPr>
          <w:lang w:val="ro-RO"/>
        </w:rPr>
        <w:tab/>
      </w:r>
      <w:r w:rsidR="00902C44" w:rsidRPr="00857CDA">
        <w:rPr>
          <w:lang w:val="ro-RO"/>
        </w:rPr>
        <w:t>Se modifică</w:t>
      </w:r>
      <w:r w:rsidRPr="00857CDA">
        <w:rPr>
          <w:lang w:val="ro-RO"/>
        </w:rPr>
        <w:t xml:space="preserve"> </w:t>
      </w:r>
      <w:r w:rsidR="007A5286" w:rsidRPr="00857CDA">
        <w:rPr>
          <w:lang w:val="ro-RO"/>
        </w:rPr>
        <w:t xml:space="preserve">„ </w:t>
      </w:r>
      <w:r w:rsidRPr="00857CDA">
        <w:rPr>
          <w:lang w:val="ro-RO"/>
        </w:rPr>
        <w:t>(</w:t>
      </w:r>
      <w:r w:rsidR="00125861" w:rsidRPr="00857CDA">
        <w:rPr>
          <w:lang w:val="ro-RO"/>
        </w:rPr>
        <w:t>a se vedea nota de subsol 6 de la 2.2.8.1.4</w:t>
      </w:r>
      <w:r w:rsidRPr="00857CDA">
        <w:rPr>
          <w:lang w:val="ro-RO"/>
        </w:rPr>
        <w:t>)</w:t>
      </w:r>
      <w:r w:rsidR="00660131" w:rsidRPr="00857CDA">
        <w:rPr>
          <w:lang w:val="ro-RO"/>
        </w:rPr>
        <w:t>”</w:t>
      </w:r>
      <w:r w:rsidR="00902C44" w:rsidRPr="00857CDA">
        <w:rPr>
          <w:lang w:val="ro-RO"/>
        </w:rPr>
        <w:t xml:space="preserve"> cu </w:t>
      </w:r>
      <w:r w:rsidR="00660131" w:rsidRPr="00857CDA">
        <w:rPr>
          <w:lang w:val="ro-RO"/>
        </w:rPr>
        <w:t>“</w:t>
      </w:r>
      <w:r w:rsidRPr="00857CDA">
        <w:rPr>
          <w:lang w:val="ro-RO"/>
        </w:rPr>
        <w:t>(</w:t>
      </w:r>
      <w:r w:rsidR="007A5286" w:rsidRPr="00857CDA">
        <w:rPr>
          <w:lang w:val="ro-RO"/>
        </w:rPr>
        <w:t>a se vedea</w:t>
      </w:r>
      <w:r w:rsidRPr="00857CDA">
        <w:rPr>
          <w:lang w:val="ro-RO"/>
        </w:rPr>
        <w:t xml:space="preserve"> 2.2.8.1.4.5)</w:t>
      </w:r>
      <w:r w:rsidR="00660131" w:rsidRPr="00857CDA">
        <w:rPr>
          <w:lang w:val="ro-RO"/>
        </w:rPr>
        <w:t>”</w:t>
      </w:r>
      <w:r w:rsidRPr="00857CDA">
        <w:rPr>
          <w:lang w:val="ro-RO"/>
        </w:rPr>
        <w:t>.</w:t>
      </w:r>
    </w:p>
    <w:p w:rsidR="0089765D" w:rsidRPr="00857CDA" w:rsidRDefault="0089765D" w:rsidP="0089765D">
      <w:pPr>
        <w:pStyle w:val="SingleTxtG"/>
        <w:rPr>
          <w:lang w:val="ro-RO"/>
        </w:rPr>
      </w:pPr>
      <w:r w:rsidRPr="00857CDA">
        <w:rPr>
          <w:lang w:val="ro-RO"/>
        </w:rPr>
        <w:t>2.2.61.1.11</w:t>
      </w:r>
      <w:r w:rsidRPr="00857CDA">
        <w:rPr>
          <w:lang w:val="ro-RO"/>
        </w:rPr>
        <w:tab/>
      </w:r>
      <w:r w:rsidR="00902C44" w:rsidRPr="00857CDA">
        <w:rPr>
          <w:lang w:val="ro-RO"/>
        </w:rPr>
        <w:t xml:space="preserve">În </w:t>
      </w:r>
      <w:r w:rsidR="00970E20" w:rsidRPr="00857CDA">
        <w:rPr>
          <w:lang w:val="ro-RO"/>
        </w:rPr>
        <w:t>a doua frază</w:t>
      </w:r>
      <w:r w:rsidR="00753DB4" w:rsidRPr="00857CDA">
        <w:rPr>
          <w:lang w:val="ro-RO"/>
        </w:rPr>
        <w:t xml:space="preserve">, </w:t>
      </w:r>
      <w:r w:rsidR="00902C44" w:rsidRPr="00857CDA">
        <w:rPr>
          <w:lang w:val="ro-RO"/>
        </w:rPr>
        <w:t>Se modifică</w:t>
      </w:r>
      <w:r w:rsidR="00753DB4" w:rsidRPr="00857CDA">
        <w:rPr>
          <w:lang w:val="ro-RO"/>
        </w:rPr>
        <w:t xml:space="preserve"> </w:t>
      </w:r>
      <w:r w:rsidR="007A5286" w:rsidRPr="00857CDA">
        <w:rPr>
          <w:lang w:val="ro-RO"/>
        </w:rPr>
        <w:t>„</w:t>
      </w:r>
      <w:r w:rsidR="002B679C" w:rsidRPr="00857CDA">
        <w:rPr>
          <w:lang w:val="ro-RO"/>
        </w:rPr>
        <w:t>riscuri</w:t>
      </w:r>
      <w:r w:rsidR="00660131" w:rsidRPr="00857CDA">
        <w:rPr>
          <w:lang w:val="ro-RO"/>
        </w:rPr>
        <w:t>”</w:t>
      </w:r>
      <w:r w:rsidR="00902C44" w:rsidRPr="00857CDA">
        <w:rPr>
          <w:lang w:val="ro-RO"/>
        </w:rPr>
        <w:t xml:space="preserve"> cu </w:t>
      </w:r>
      <w:r w:rsidR="007A5286" w:rsidRPr="00857CDA">
        <w:rPr>
          <w:lang w:val="ro-RO"/>
        </w:rPr>
        <w:t>„</w:t>
      </w:r>
      <w:r w:rsidR="002B679C" w:rsidRPr="00857CDA">
        <w:rPr>
          <w:lang w:val="ro-RO"/>
        </w:rPr>
        <w:t>pericole</w:t>
      </w:r>
      <w:r w:rsidR="00660131" w:rsidRPr="00857CDA">
        <w:rPr>
          <w:lang w:val="ro-RO"/>
        </w:rPr>
        <w:t>”</w:t>
      </w:r>
      <w:r w:rsidR="00753DB4" w:rsidRPr="00857CDA">
        <w:rPr>
          <w:lang w:val="ro-RO"/>
        </w:rPr>
        <w:t>.</w:t>
      </w:r>
    </w:p>
    <w:p w:rsidR="0089765D" w:rsidRPr="00857CDA" w:rsidRDefault="0089765D" w:rsidP="0089765D">
      <w:pPr>
        <w:pStyle w:val="SingleTxtG"/>
        <w:rPr>
          <w:lang w:val="ro-RO"/>
        </w:rPr>
      </w:pPr>
      <w:r w:rsidRPr="00857CDA">
        <w:rPr>
          <w:lang w:val="ro-RO"/>
        </w:rPr>
        <w:t>2.2.61.1.11.2</w:t>
      </w:r>
      <w:r w:rsidRPr="00857CDA">
        <w:rPr>
          <w:lang w:val="ro-RO"/>
        </w:rPr>
        <w:tab/>
      </w:r>
      <w:r w:rsidR="00902C44" w:rsidRPr="00857CDA">
        <w:rPr>
          <w:lang w:val="ro-RO"/>
        </w:rPr>
        <w:t>Se modifică</w:t>
      </w:r>
      <w:r w:rsidR="00753DB4" w:rsidRPr="00857CDA">
        <w:rPr>
          <w:lang w:val="ro-RO"/>
        </w:rPr>
        <w:t xml:space="preserve"> </w:t>
      </w:r>
      <w:r w:rsidR="007A5286"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7A5286" w:rsidRPr="00857CDA">
        <w:rPr>
          <w:lang w:val="ro-RO"/>
        </w:rPr>
        <w:t>„</w:t>
      </w:r>
      <w:r w:rsidR="002B679C" w:rsidRPr="00857CDA">
        <w:rPr>
          <w:lang w:val="ro-RO"/>
        </w:rPr>
        <w:t>pericol</w:t>
      </w:r>
      <w:r w:rsidR="00660131" w:rsidRPr="00857CDA">
        <w:rPr>
          <w:lang w:val="ro-RO"/>
        </w:rPr>
        <w:t>”</w:t>
      </w:r>
      <w:r w:rsidR="00753DB4" w:rsidRPr="00857CDA">
        <w:rPr>
          <w:lang w:val="ro-RO"/>
        </w:rPr>
        <w:t>.</w:t>
      </w:r>
    </w:p>
    <w:p w:rsidR="0089765D" w:rsidRPr="00857CDA" w:rsidRDefault="0089765D" w:rsidP="0089765D">
      <w:pPr>
        <w:pStyle w:val="SingleTxtG"/>
        <w:rPr>
          <w:lang w:val="ro-RO"/>
        </w:rPr>
      </w:pPr>
      <w:r w:rsidRPr="00857CDA">
        <w:rPr>
          <w:lang w:val="ro-RO"/>
        </w:rPr>
        <w:t>2.2.61.3</w:t>
      </w:r>
      <w:r w:rsidRPr="00857CDA">
        <w:rPr>
          <w:lang w:val="ro-RO"/>
        </w:rPr>
        <w:tab/>
      </w:r>
      <w:r w:rsidR="00902C44" w:rsidRPr="00857CDA">
        <w:rPr>
          <w:lang w:val="ro-RO" w:eastAsia="en-GB"/>
        </w:rPr>
        <w:t xml:space="preserve">În </w:t>
      </w:r>
      <w:r w:rsidR="007A5286" w:rsidRPr="00857CDA">
        <w:rPr>
          <w:lang w:val="ro-RO"/>
        </w:rPr>
        <w:t>„</w:t>
      </w:r>
      <w:r w:rsidR="007A6DD2" w:rsidRPr="00857CDA">
        <w:rPr>
          <w:iCs/>
          <w:lang w:val="ro-RO"/>
        </w:rPr>
        <w:t>Lista rubricilor colective</w:t>
      </w:r>
      <w:r w:rsidR="00660131" w:rsidRPr="00857CDA">
        <w:rPr>
          <w:iCs/>
          <w:lang w:val="ro-RO"/>
        </w:rPr>
        <w:t>”</w:t>
      </w:r>
      <w:r w:rsidR="00753DB4" w:rsidRPr="00857CDA">
        <w:rPr>
          <w:iCs/>
          <w:lang w:val="ro-RO"/>
        </w:rPr>
        <w:t>,</w:t>
      </w:r>
      <w:r w:rsidR="00753DB4" w:rsidRPr="00857CDA">
        <w:rPr>
          <w:lang w:val="ro-RO"/>
        </w:rPr>
        <w:t xml:space="preserve"> </w:t>
      </w:r>
      <w:r w:rsidR="00902C44" w:rsidRPr="00857CDA">
        <w:rPr>
          <w:lang w:val="ro-RO"/>
        </w:rPr>
        <w:t>Se modifică</w:t>
      </w:r>
      <w:r w:rsidR="00753DB4" w:rsidRPr="00857CDA">
        <w:rPr>
          <w:lang w:val="ro-RO"/>
        </w:rPr>
        <w:t xml:space="preserve"> </w:t>
      </w:r>
      <w:r w:rsidR="007A5286"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7A5286" w:rsidRPr="00857CDA">
        <w:rPr>
          <w:lang w:val="ro-RO"/>
        </w:rPr>
        <w:t>„</w:t>
      </w:r>
      <w:r w:rsidR="002B679C" w:rsidRPr="00857CDA">
        <w:rPr>
          <w:lang w:val="ro-RO"/>
        </w:rPr>
        <w:t>pericol</w:t>
      </w:r>
      <w:r w:rsidR="00660131" w:rsidRPr="00857CDA">
        <w:rPr>
          <w:lang w:val="ro-RO"/>
        </w:rPr>
        <w:t>”</w:t>
      </w:r>
      <w:r w:rsidR="00753DB4" w:rsidRPr="00857CDA">
        <w:rPr>
          <w:lang w:val="ro-RO"/>
        </w:rPr>
        <w:t xml:space="preserve"> </w:t>
      </w:r>
      <w:r w:rsidR="00287924" w:rsidRPr="00857CDA">
        <w:rPr>
          <w:lang w:val="ro-RO"/>
        </w:rPr>
        <w:t>și „risc(uri) ” cu „pericol(e)” î</w:t>
      </w:r>
      <w:r w:rsidR="00902C44" w:rsidRPr="00857CDA">
        <w:rPr>
          <w:lang w:val="ro-RO"/>
        </w:rPr>
        <w:t>n</w:t>
      </w:r>
      <w:r w:rsidR="00287924" w:rsidRPr="00857CDA">
        <w:rPr>
          <w:lang w:val="ro-RO"/>
        </w:rPr>
        <w:t xml:space="preserve"> toate</w:t>
      </w:r>
      <w:r w:rsidR="00753DB4" w:rsidRPr="00857CDA">
        <w:rPr>
          <w:lang w:val="ro-RO"/>
        </w:rPr>
        <w:t xml:space="preserve"> ti</w:t>
      </w:r>
      <w:r w:rsidR="00287924" w:rsidRPr="00857CDA">
        <w:rPr>
          <w:lang w:val="ro-RO"/>
        </w:rPr>
        <w:t>tlurile, după caz</w:t>
      </w:r>
      <w:r w:rsidR="00753DB4" w:rsidRPr="00857CDA">
        <w:rPr>
          <w:lang w:val="ro-RO"/>
        </w:rPr>
        <w:t>.</w:t>
      </w:r>
    </w:p>
    <w:p w:rsidR="0089765D" w:rsidRPr="00857CDA" w:rsidRDefault="0089765D" w:rsidP="00CD1138">
      <w:pPr>
        <w:pStyle w:val="SingleTxtG"/>
        <w:rPr>
          <w:lang w:val="ro-RO"/>
        </w:rPr>
      </w:pPr>
      <w:r w:rsidRPr="00857CDA">
        <w:rPr>
          <w:lang w:val="ro-RO"/>
        </w:rPr>
        <w:t>2.2.61.3</w:t>
      </w:r>
      <w:r w:rsidRPr="00857CDA">
        <w:rPr>
          <w:lang w:val="ro-RO"/>
        </w:rPr>
        <w:tab/>
      </w:r>
      <w:r w:rsidR="00902C44" w:rsidRPr="00857CDA">
        <w:rPr>
          <w:lang w:val="ro-RO" w:eastAsia="en-GB"/>
        </w:rPr>
        <w:t>În</w:t>
      </w:r>
      <w:r w:rsidR="00753DB4" w:rsidRPr="00857CDA">
        <w:rPr>
          <w:lang w:val="ro-RO" w:eastAsia="en-GB"/>
        </w:rPr>
        <w:t xml:space="preserve"> </w:t>
      </w:r>
      <w:r w:rsidR="007A5286" w:rsidRPr="00857CDA">
        <w:rPr>
          <w:lang w:val="ro-RO"/>
        </w:rPr>
        <w:t>„</w:t>
      </w:r>
      <w:r w:rsidR="007A6DD2" w:rsidRPr="00857CDA">
        <w:rPr>
          <w:iCs/>
          <w:lang w:val="ro-RO"/>
        </w:rPr>
        <w:t>Lista rubricilor colective</w:t>
      </w:r>
      <w:r w:rsidR="00660131" w:rsidRPr="00857CDA">
        <w:rPr>
          <w:iCs/>
          <w:lang w:val="ro-RO"/>
        </w:rPr>
        <w:t>”</w:t>
      </w:r>
      <w:r w:rsidR="00753DB4" w:rsidRPr="00857CDA">
        <w:rPr>
          <w:iCs/>
          <w:lang w:val="ro-RO"/>
        </w:rPr>
        <w:t>,</w:t>
      </w:r>
      <w:r w:rsidR="00753DB4" w:rsidRPr="00857CDA">
        <w:rPr>
          <w:lang w:val="ro-RO"/>
        </w:rPr>
        <w:t xml:space="preserve"> </w:t>
      </w:r>
      <w:r w:rsidR="00991390" w:rsidRPr="00857CDA">
        <w:rPr>
          <w:lang w:val="ro-RO"/>
        </w:rPr>
        <w:t>pentru</w:t>
      </w:r>
      <w:r w:rsidR="00753DB4" w:rsidRPr="00857CDA">
        <w:rPr>
          <w:lang w:val="ro-RO"/>
        </w:rPr>
        <w:t xml:space="preserve"> </w:t>
      </w:r>
      <w:r w:rsidR="007A5286" w:rsidRPr="00857CDA">
        <w:rPr>
          <w:lang w:val="ro-RO"/>
        </w:rPr>
        <w:t>„</w:t>
      </w:r>
      <w:r w:rsidR="00287924" w:rsidRPr="00857CDA">
        <w:rPr>
          <w:lang w:val="ro-RO"/>
        </w:rPr>
        <w:t>Substanțe</w:t>
      </w:r>
      <w:r w:rsidR="005A21B5" w:rsidRPr="00857CDA">
        <w:rPr>
          <w:lang w:val="ro-RO"/>
        </w:rPr>
        <w:t xml:space="preserve"> toxi</w:t>
      </w:r>
      <w:r w:rsidR="00287924" w:rsidRPr="00857CDA">
        <w:rPr>
          <w:lang w:val="ro-RO"/>
        </w:rPr>
        <w:t>c</w:t>
      </w:r>
      <w:r w:rsidR="005A21B5" w:rsidRPr="00857CDA">
        <w:rPr>
          <w:lang w:val="ro-RO"/>
        </w:rPr>
        <w:t>e</w:t>
      </w:r>
      <w:r w:rsidR="00287924" w:rsidRPr="00857CDA">
        <w:rPr>
          <w:lang w:val="ro-RO"/>
        </w:rPr>
        <w:t xml:space="preserve"> fără pericol </w:t>
      </w:r>
      <w:r w:rsidR="00936848" w:rsidRPr="00857CDA">
        <w:rPr>
          <w:lang w:val="ro-RO"/>
        </w:rPr>
        <w:t>secundar</w:t>
      </w:r>
      <w:r w:rsidR="00660131" w:rsidRPr="00857CDA">
        <w:rPr>
          <w:lang w:val="ro-RO"/>
        </w:rPr>
        <w:t>”</w:t>
      </w:r>
      <w:r w:rsidRPr="00857CDA">
        <w:rPr>
          <w:lang w:val="ro-RO"/>
        </w:rPr>
        <w:t xml:space="preserve">, </w:t>
      </w:r>
      <w:r w:rsidR="00287924" w:rsidRPr="00857CDA">
        <w:rPr>
          <w:lang w:val="ro-RO"/>
        </w:rPr>
        <w:t>se adaugă o nouă rubrică, după cum urmează</w:t>
      </w:r>
      <w:r w:rsidRPr="00857CDA">
        <w:rPr>
          <w:lang w:val="ro-RO"/>
        </w:rPr>
        <w:t>:</w:t>
      </w:r>
    </w:p>
    <w:tbl>
      <w:tblPr>
        <w:tblW w:w="0" w:type="auto"/>
        <w:tblInd w:w="1126" w:type="dxa"/>
        <w:tblCellMar>
          <w:left w:w="120" w:type="dxa"/>
          <w:right w:w="120" w:type="dxa"/>
        </w:tblCellMar>
        <w:tblLook w:val="0000" w:firstRow="0" w:lastRow="0" w:firstColumn="0" w:lastColumn="0" w:noHBand="0" w:noVBand="0"/>
      </w:tblPr>
      <w:tblGrid>
        <w:gridCol w:w="862"/>
        <w:gridCol w:w="1010"/>
        <w:gridCol w:w="640"/>
        <w:gridCol w:w="5352"/>
      </w:tblGrid>
      <w:tr w:rsidR="00A074FC" w:rsidRPr="00DF3A58" w:rsidTr="00845C7A">
        <w:trPr>
          <w:cantSplit/>
          <w:trHeight w:val="40"/>
        </w:trPr>
        <w:tc>
          <w:tcPr>
            <w:tcW w:w="0" w:type="auto"/>
            <w:tcBorders>
              <w:top w:val="single" w:sz="6" w:space="0" w:color="auto"/>
              <w:left w:val="single" w:sz="6" w:space="0" w:color="auto"/>
              <w:bottom w:val="single" w:sz="4" w:space="0" w:color="auto"/>
              <w:right w:val="single" w:sz="6" w:space="0" w:color="auto"/>
            </w:tcBorders>
          </w:tcPr>
          <w:p w:rsidR="0089765D" w:rsidRPr="00857CDA" w:rsidRDefault="00857CDA" w:rsidP="00FB586C">
            <w:pPr>
              <w:tabs>
                <w:tab w:val="left" w:pos="447"/>
              </w:tabs>
              <w:spacing w:before="20" w:after="20"/>
              <w:rPr>
                <w:lang w:val="ro-RO"/>
              </w:rPr>
            </w:pPr>
            <w:r w:rsidRPr="00857CDA">
              <w:rPr>
                <w:lang w:val="ro-RO"/>
              </w:rPr>
              <w:t>Obiecte</w:t>
            </w:r>
          </w:p>
        </w:tc>
        <w:tc>
          <w:tcPr>
            <w:tcW w:w="0" w:type="auto"/>
            <w:tcBorders>
              <w:top w:val="single" w:sz="6" w:space="0" w:color="auto"/>
              <w:left w:val="single" w:sz="6" w:space="0" w:color="auto"/>
              <w:bottom w:val="single" w:sz="4" w:space="0" w:color="auto"/>
              <w:right w:val="single" w:sz="6" w:space="0" w:color="auto"/>
            </w:tcBorders>
          </w:tcPr>
          <w:p w:rsidR="0089765D" w:rsidRPr="00857CDA" w:rsidRDefault="0089765D" w:rsidP="00845C7A">
            <w:pPr>
              <w:tabs>
                <w:tab w:val="left" w:pos="447"/>
              </w:tabs>
              <w:spacing w:before="20" w:after="20"/>
              <w:rPr>
                <w:lang w:val="ro-RO"/>
              </w:rPr>
            </w:pPr>
            <w:r w:rsidRPr="00857CDA">
              <w:rPr>
                <w:lang w:val="ro-RO"/>
              </w:rPr>
              <w:tab/>
              <w:t>T10</w:t>
            </w:r>
          </w:p>
        </w:tc>
        <w:tc>
          <w:tcPr>
            <w:tcW w:w="0" w:type="auto"/>
            <w:tcBorders>
              <w:top w:val="single" w:sz="6" w:space="0" w:color="auto"/>
              <w:bottom w:val="single" w:sz="4" w:space="0" w:color="auto"/>
            </w:tcBorders>
          </w:tcPr>
          <w:p w:rsidR="0089765D" w:rsidRPr="00857CDA" w:rsidRDefault="0089765D" w:rsidP="00845C7A">
            <w:pPr>
              <w:keepLines/>
              <w:spacing w:before="20" w:after="20"/>
              <w:jc w:val="center"/>
              <w:rPr>
                <w:lang w:val="ro-RO"/>
              </w:rPr>
            </w:pPr>
            <w:r w:rsidRPr="00857CDA">
              <w:rPr>
                <w:lang w:val="ro-RO"/>
              </w:rPr>
              <w:t>3546</w:t>
            </w:r>
          </w:p>
        </w:tc>
        <w:tc>
          <w:tcPr>
            <w:tcW w:w="0" w:type="auto"/>
            <w:tcBorders>
              <w:top w:val="single" w:sz="6" w:space="0" w:color="auto"/>
              <w:bottom w:val="single" w:sz="4" w:space="0" w:color="auto"/>
              <w:right w:val="single" w:sz="6" w:space="0" w:color="auto"/>
            </w:tcBorders>
          </w:tcPr>
          <w:p w:rsidR="0089765D" w:rsidRPr="00857CDA" w:rsidRDefault="000476F2" w:rsidP="00845C7A">
            <w:pPr>
              <w:keepLines/>
              <w:spacing w:before="20" w:after="20"/>
              <w:ind w:left="164" w:hanging="164"/>
              <w:rPr>
                <w:lang w:val="ro-RO"/>
              </w:rPr>
            </w:pPr>
            <w:r w:rsidRPr="00857CDA">
              <w:rPr>
                <w:lang w:val="ro-RO"/>
              </w:rPr>
              <w:t>OBIECTE CARE CONȚIN O SUBSTANȚĂ TOXICĂ, N.S.A.</w:t>
            </w:r>
          </w:p>
        </w:tc>
      </w:tr>
    </w:tbl>
    <w:p w:rsidR="005A21B5" w:rsidRPr="00857CDA" w:rsidRDefault="0089765D" w:rsidP="0089765D">
      <w:pPr>
        <w:pStyle w:val="SingleTxtG"/>
        <w:spacing w:before="120"/>
        <w:rPr>
          <w:lang w:val="ro-RO"/>
        </w:rPr>
      </w:pPr>
      <w:r w:rsidRPr="00857CDA">
        <w:rPr>
          <w:lang w:val="ro-RO"/>
        </w:rPr>
        <w:t>2.2.61.3</w:t>
      </w:r>
      <w:r w:rsidRPr="00857CDA">
        <w:rPr>
          <w:lang w:val="ro-RO"/>
        </w:rPr>
        <w:tab/>
      </w:r>
      <w:r w:rsidR="00902C44" w:rsidRPr="00857CDA">
        <w:rPr>
          <w:lang w:val="ro-RO" w:eastAsia="en-GB"/>
        </w:rPr>
        <w:t xml:space="preserve">În </w:t>
      </w:r>
      <w:r w:rsidR="00824EFF" w:rsidRPr="00857CDA">
        <w:rPr>
          <w:lang w:val="ro-RO"/>
        </w:rPr>
        <w:t>„</w:t>
      </w:r>
      <w:r w:rsidR="005A21B5" w:rsidRPr="00857CDA">
        <w:rPr>
          <w:iCs/>
          <w:lang w:val="ro-RO"/>
        </w:rPr>
        <w:t>List</w:t>
      </w:r>
      <w:r w:rsidR="00287924" w:rsidRPr="00857CDA">
        <w:rPr>
          <w:iCs/>
          <w:lang w:val="ro-RO"/>
        </w:rPr>
        <w:t>a rubricilor colective</w:t>
      </w:r>
      <w:r w:rsidR="00660131" w:rsidRPr="00857CDA">
        <w:rPr>
          <w:iCs/>
          <w:lang w:val="ro-RO"/>
        </w:rPr>
        <w:t>”</w:t>
      </w:r>
      <w:r w:rsidR="005A21B5" w:rsidRPr="00857CDA">
        <w:rPr>
          <w:iCs/>
          <w:lang w:val="ro-RO"/>
        </w:rPr>
        <w:t>,</w:t>
      </w:r>
      <w:r w:rsidR="005A21B5" w:rsidRPr="00857CDA">
        <w:rPr>
          <w:lang w:val="ro-RO"/>
        </w:rPr>
        <w:t xml:space="preserve"> </w:t>
      </w:r>
      <w:r w:rsidR="00991390" w:rsidRPr="00857CDA">
        <w:rPr>
          <w:lang w:val="ro-RO"/>
        </w:rPr>
        <w:t>pentru</w:t>
      </w:r>
      <w:r w:rsidR="005A21B5" w:rsidRPr="00857CDA">
        <w:rPr>
          <w:lang w:val="ro-RO"/>
        </w:rPr>
        <w:t xml:space="preserve"> </w:t>
      </w:r>
      <w:r w:rsidR="00824EFF" w:rsidRPr="00857CDA">
        <w:rPr>
          <w:lang w:val="ro-RO"/>
        </w:rPr>
        <w:t>„</w:t>
      </w:r>
      <w:r w:rsidR="00287924" w:rsidRPr="00857CDA">
        <w:rPr>
          <w:lang w:val="ro-RO"/>
        </w:rPr>
        <w:t>Substanțe toxice fără pericol(e) secundar(e)</w:t>
      </w:r>
      <w:r w:rsidR="00660131" w:rsidRPr="00857CDA">
        <w:rPr>
          <w:lang w:val="ro-RO"/>
        </w:rPr>
        <w:t>”</w:t>
      </w:r>
      <w:r w:rsidR="004F4841" w:rsidRPr="00857CDA">
        <w:rPr>
          <w:lang w:val="ro-RO"/>
        </w:rPr>
        <w:t>,</w:t>
      </w:r>
      <w:r w:rsidRPr="00857CDA">
        <w:rPr>
          <w:lang w:val="ro-RO"/>
        </w:rPr>
        <w:t xml:space="preserve"> </w:t>
      </w:r>
      <w:r w:rsidR="00991390" w:rsidRPr="00857CDA">
        <w:rPr>
          <w:lang w:val="ro-RO"/>
        </w:rPr>
        <w:t>pentru</w:t>
      </w:r>
      <w:r w:rsidR="005A21B5" w:rsidRPr="00857CDA">
        <w:rPr>
          <w:lang w:val="ro-RO"/>
        </w:rPr>
        <w:t xml:space="preserve"> </w:t>
      </w:r>
      <w:r w:rsidR="00824EFF" w:rsidRPr="00857CDA">
        <w:rPr>
          <w:lang w:val="ro-RO"/>
        </w:rPr>
        <w:t>„</w:t>
      </w:r>
      <w:r w:rsidRPr="00857CDA">
        <w:rPr>
          <w:lang w:val="ro-RO"/>
        </w:rPr>
        <w:t>TF3</w:t>
      </w:r>
      <w:r w:rsidR="00660131" w:rsidRPr="00857CDA">
        <w:rPr>
          <w:lang w:val="ro-RO"/>
        </w:rPr>
        <w:t>”</w:t>
      </w:r>
      <w:r w:rsidRPr="00857CDA">
        <w:rPr>
          <w:lang w:val="ro-RO"/>
        </w:rPr>
        <w:t xml:space="preserve">, </w:t>
      </w:r>
      <w:r w:rsidR="00287924" w:rsidRPr="00857CDA">
        <w:rPr>
          <w:lang w:val="ro-RO"/>
        </w:rPr>
        <w:t>se adaugă o nouă rubrică, după cum urmează</w:t>
      </w:r>
      <w:r w:rsidR="00091658" w:rsidRPr="00857CDA">
        <w:rPr>
          <w:lang w:val="ro-RO"/>
        </w:rPr>
        <w:t>:</w:t>
      </w:r>
    </w:p>
    <w:p w:rsidR="0089765D" w:rsidRPr="00857CDA" w:rsidRDefault="00824EFF" w:rsidP="0089765D">
      <w:pPr>
        <w:pStyle w:val="SingleTxtG"/>
        <w:spacing w:before="120"/>
        <w:rPr>
          <w:lang w:val="ro-RO"/>
        </w:rPr>
      </w:pPr>
      <w:r w:rsidRPr="00857CDA">
        <w:rPr>
          <w:lang w:val="ro-RO"/>
        </w:rPr>
        <w:t>„</w:t>
      </w:r>
      <w:r w:rsidR="0089765D" w:rsidRPr="00857CDA">
        <w:rPr>
          <w:lang w:val="ro-RO"/>
        </w:rPr>
        <w:t>3535</w:t>
      </w:r>
      <w:r w:rsidR="0089765D" w:rsidRPr="00857CDA">
        <w:rPr>
          <w:lang w:val="ro-RO"/>
        </w:rPr>
        <w:tab/>
      </w:r>
      <w:r w:rsidR="005A21B5" w:rsidRPr="00857CDA">
        <w:rPr>
          <w:lang w:val="ro-RO"/>
        </w:rPr>
        <w:tab/>
      </w:r>
      <w:r w:rsidR="000476F2" w:rsidRPr="00857CDA">
        <w:rPr>
          <w:lang w:val="ro-RO" w:eastAsia="zh-CN"/>
        </w:rPr>
        <w:t>SOLID ANORGANIC TOXIC, INFLAMABIL, N.S.A.</w:t>
      </w:r>
      <w:r w:rsidR="00660131" w:rsidRPr="00857CDA">
        <w:rPr>
          <w:lang w:val="ro-RO"/>
        </w:rPr>
        <w:t>”</w:t>
      </w:r>
      <w:r w:rsidR="0089765D" w:rsidRPr="00857CDA">
        <w:rPr>
          <w:lang w:val="ro-RO"/>
        </w:rPr>
        <w:t>.</w:t>
      </w:r>
    </w:p>
    <w:p w:rsidR="006646BC" w:rsidRPr="00857CDA" w:rsidRDefault="005A21B5" w:rsidP="006646BC">
      <w:pPr>
        <w:pStyle w:val="SingleTxtG"/>
        <w:rPr>
          <w:lang w:val="ro-RO"/>
        </w:rPr>
      </w:pPr>
      <w:r w:rsidRPr="00857CDA">
        <w:rPr>
          <w:lang w:val="ro-RO"/>
        </w:rPr>
        <w:t>2.2.62.1.3</w:t>
      </w:r>
      <w:r w:rsidR="006646BC" w:rsidRPr="00857CDA">
        <w:rPr>
          <w:lang w:val="ro-RO"/>
        </w:rPr>
        <w:tab/>
      </w:r>
      <w:r w:rsidR="00287924" w:rsidRPr="00857CDA">
        <w:rPr>
          <w:lang w:val="ro-RO"/>
        </w:rPr>
        <w:t>La începutul definiției „</w:t>
      </w:r>
      <w:r w:rsidR="00287924" w:rsidRPr="00857CDA">
        <w:rPr>
          <w:i/>
          <w:lang w:val="ro-RO"/>
        </w:rPr>
        <w:t>Eșantioane prelevate de la pacienţi</w:t>
      </w:r>
      <w:r w:rsidR="00287924" w:rsidRPr="00857CDA">
        <w:rPr>
          <w:iCs/>
          <w:lang w:val="ro-RO"/>
        </w:rPr>
        <w:t>”</w:t>
      </w:r>
      <w:r w:rsidR="006646BC" w:rsidRPr="00857CDA">
        <w:rPr>
          <w:lang w:val="ro-RO"/>
        </w:rPr>
        <w:t xml:space="preserve">, </w:t>
      </w:r>
      <w:r w:rsidR="00902C44" w:rsidRPr="00857CDA">
        <w:rPr>
          <w:lang w:val="ro-RO"/>
        </w:rPr>
        <w:t>Se modifică</w:t>
      </w:r>
      <w:r w:rsidR="006646BC" w:rsidRPr="00857CDA">
        <w:rPr>
          <w:lang w:val="ro-RO"/>
        </w:rPr>
        <w:t xml:space="preserve"> </w:t>
      </w:r>
      <w:r w:rsidR="00824EFF" w:rsidRPr="00857CDA">
        <w:rPr>
          <w:lang w:val="ro-RO"/>
        </w:rPr>
        <w:t>„</w:t>
      </w:r>
      <w:r w:rsidR="001943F4" w:rsidRPr="00857CDA">
        <w:rPr>
          <w:lang w:val="ro-RO"/>
        </w:rPr>
        <w:t>materiale de origine umană sau animală</w:t>
      </w:r>
      <w:r w:rsidR="00660131" w:rsidRPr="00857CDA">
        <w:rPr>
          <w:lang w:val="ro-RO"/>
        </w:rPr>
        <w:t>”</w:t>
      </w:r>
      <w:r w:rsidR="00902C44" w:rsidRPr="00857CDA">
        <w:rPr>
          <w:lang w:val="ro-RO"/>
        </w:rPr>
        <w:t xml:space="preserve"> cu </w:t>
      </w:r>
      <w:r w:rsidR="00824EFF" w:rsidRPr="00857CDA">
        <w:rPr>
          <w:lang w:val="ro-RO"/>
        </w:rPr>
        <w:t>„</w:t>
      </w:r>
      <w:r w:rsidR="001943F4" w:rsidRPr="00857CDA">
        <w:rPr>
          <w:lang w:val="ro-RO"/>
        </w:rPr>
        <w:t>acele eșantioane</w:t>
      </w:r>
      <w:r w:rsidR="00660131" w:rsidRPr="00857CDA">
        <w:rPr>
          <w:lang w:val="ro-RO"/>
        </w:rPr>
        <w:t>”</w:t>
      </w:r>
      <w:r w:rsidR="006646BC" w:rsidRPr="00857CDA">
        <w:rPr>
          <w:lang w:val="ro-RO"/>
        </w:rPr>
        <w:t>.</w:t>
      </w:r>
    </w:p>
    <w:p w:rsidR="006646BC" w:rsidRPr="00857CDA" w:rsidRDefault="005A21B5" w:rsidP="006646BC">
      <w:pPr>
        <w:pStyle w:val="SingleTxtG"/>
        <w:rPr>
          <w:lang w:val="ro-RO"/>
        </w:rPr>
      </w:pPr>
      <w:r w:rsidRPr="00857CDA">
        <w:rPr>
          <w:lang w:val="ro-RO"/>
        </w:rPr>
        <w:t>2.2.62.1.12.2</w:t>
      </w:r>
      <w:r w:rsidR="006646BC" w:rsidRPr="00857CDA">
        <w:rPr>
          <w:lang w:val="ro-RO"/>
        </w:rPr>
        <w:tab/>
      </w:r>
      <w:r w:rsidR="00902C44" w:rsidRPr="00857CDA">
        <w:rPr>
          <w:lang w:val="ro-RO"/>
        </w:rPr>
        <w:t>Se șterge</w:t>
      </w:r>
      <w:r w:rsidR="004C27AD" w:rsidRPr="00857CDA">
        <w:rPr>
          <w:lang w:val="ro-RO"/>
        </w:rPr>
        <w:t xml:space="preserve"> și </w:t>
      </w:r>
      <w:r w:rsidR="00902C44" w:rsidRPr="00857CDA">
        <w:rPr>
          <w:lang w:val="ro-RO"/>
        </w:rPr>
        <w:t>se adaugă</w:t>
      </w:r>
      <w:r w:rsidR="006646BC" w:rsidRPr="00857CDA">
        <w:rPr>
          <w:lang w:val="ro-RO"/>
        </w:rPr>
        <w:t xml:space="preserve"> </w:t>
      </w:r>
      <w:r w:rsidR="00824EFF" w:rsidRPr="00857CDA">
        <w:rPr>
          <w:lang w:val="ro-RO"/>
        </w:rPr>
        <w:t>„</w:t>
      </w:r>
      <w:r w:rsidR="00983114" w:rsidRPr="00857CDA">
        <w:rPr>
          <w:lang w:val="ro-RO"/>
        </w:rPr>
        <w:t>2.2.62.1.12.2</w:t>
      </w:r>
      <w:r w:rsidR="006646BC" w:rsidRPr="00857CDA">
        <w:rPr>
          <w:lang w:val="ro-RO"/>
        </w:rPr>
        <w:tab/>
      </w:r>
      <w:r w:rsidRPr="00857CDA">
        <w:rPr>
          <w:i/>
          <w:lang w:val="ro-RO"/>
        </w:rPr>
        <w:t>(</w:t>
      </w:r>
      <w:r w:rsidR="004C27AD" w:rsidRPr="00857CDA">
        <w:rPr>
          <w:i/>
          <w:iCs/>
          <w:szCs w:val="24"/>
          <w:lang w:val="ro-RO"/>
        </w:rPr>
        <w:t>Șters</w:t>
      </w:r>
      <w:r w:rsidRPr="00857CDA">
        <w:rPr>
          <w:i/>
          <w:iCs/>
          <w:szCs w:val="24"/>
          <w:lang w:val="ro-RO"/>
        </w:rPr>
        <w:t>)</w:t>
      </w:r>
      <w:r w:rsidR="00660131" w:rsidRPr="00857CDA">
        <w:rPr>
          <w:lang w:val="ro-RO"/>
        </w:rPr>
        <w:t>”</w:t>
      </w:r>
      <w:r w:rsidR="006646BC" w:rsidRPr="00857CDA">
        <w:rPr>
          <w:lang w:val="ro-RO"/>
        </w:rPr>
        <w:t>.</w:t>
      </w:r>
    </w:p>
    <w:p w:rsidR="00196C06" w:rsidRPr="00857CDA" w:rsidRDefault="002B679C" w:rsidP="00196C06">
      <w:pPr>
        <w:spacing w:before="120" w:after="120" w:line="240" w:lineRule="auto"/>
        <w:ind w:left="1134" w:right="1134"/>
        <w:jc w:val="both"/>
        <w:rPr>
          <w:lang w:val="ro-RO"/>
        </w:rPr>
      </w:pPr>
      <w:r w:rsidRPr="00857CDA">
        <w:rPr>
          <w:lang w:val="ro-RO"/>
        </w:rPr>
        <w:t>Se modifică</w:t>
      </w:r>
      <w:r w:rsidR="00196C06" w:rsidRPr="00857CDA">
        <w:rPr>
          <w:lang w:val="ro-RO"/>
        </w:rPr>
        <w:t xml:space="preserve"> </w:t>
      </w:r>
      <w:r w:rsidR="005A21B5" w:rsidRPr="00857CDA">
        <w:rPr>
          <w:lang w:val="ro-RO"/>
        </w:rPr>
        <w:t>sec</w:t>
      </w:r>
      <w:r w:rsidR="001943F4" w:rsidRPr="00857CDA">
        <w:rPr>
          <w:lang w:val="ro-RO"/>
        </w:rPr>
        <w:t>țiunea</w:t>
      </w:r>
      <w:r w:rsidR="005A21B5" w:rsidRPr="00857CDA">
        <w:rPr>
          <w:lang w:val="ro-RO"/>
        </w:rPr>
        <w:t xml:space="preserve"> 2.2.8</w:t>
      </w:r>
      <w:r w:rsidRPr="00857CDA">
        <w:rPr>
          <w:lang w:val="ro-RO"/>
        </w:rPr>
        <w:t>, după cum urmează</w:t>
      </w:r>
      <w:r w:rsidR="00196C06" w:rsidRPr="00857CDA">
        <w:rPr>
          <w:lang w:val="ro-RO"/>
        </w:rPr>
        <w:t>:</w:t>
      </w:r>
    </w:p>
    <w:p w:rsidR="001A0EB0" w:rsidRPr="00857CDA" w:rsidRDefault="00824EFF" w:rsidP="001A0EB0">
      <w:pPr>
        <w:spacing w:before="120" w:after="120" w:line="240" w:lineRule="auto"/>
        <w:ind w:left="1134" w:right="1134"/>
        <w:jc w:val="both"/>
        <w:rPr>
          <w:b/>
          <w:lang w:val="ro-RO"/>
        </w:rPr>
      </w:pPr>
      <w:r w:rsidRPr="00857CDA">
        <w:rPr>
          <w:lang w:val="ro-RO"/>
        </w:rPr>
        <w:t>„</w:t>
      </w:r>
      <w:r w:rsidR="005A21B5" w:rsidRPr="00857CDA">
        <w:rPr>
          <w:b/>
          <w:lang w:val="ro-RO"/>
        </w:rPr>
        <w:t xml:space="preserve">2.2.8 </w:t>
      </w:r>
      <w:r w:rsidR="000476F2" w:rsidRPr="00857CDA">
        <w:rPr>
          <w:b/>
          <w:lang w:val="ro-RO"/>
        </w:rPr>
        <w:tab/>
      </w:r>
      <w:r w:rsidR="000476F2" w:rsidRPr="00857CDA">
        <w:rPr>
          <w:b/>
          <w:lang w:val="ro-RO"/>
        </w:rPr>
        <w:tab/>
      </w:r>
      <w:r w:rsidR="002B679C" w:rsidRPr="00857CDA">
        <w:rPr>
          <w:b/>
          <w:lang w:val="ro-RO"/>
        </w:rPr>
        <w:t>CLASA</w:t>
      </w:r>
      <w:r w:rsidR="001A0EB0" w:rsidRPr="00857CDA">
        <w:rPr>
          <w:b/>
          <w:lang w:val="ro-RO"/>
        </w:rPr>
        <w:t xml:space="preserve"> 8 </w:t>
      </w:r>
      <w:r w:rsidR="005A21B5" w:rsidRPr="00857CDA">
        <w:rPr>
          <w:b/>
          <w:lang w:val="ro-RO"/>
        </w:rPr>
        <w:tab/>
        <w:t xml:space="preserve"> </w:t>
      </w:r>
      <w:r w:rsidR="001943F4" w:rsidRPr="00857CDA">
        <w:rPr>
          <w:b/>
          <w:bCs/>
          <w:lang w:val="ro-RO"/>
        </w:rPr>
        <w:t>Substanțe corosive</w:t>
      </w:r>
    </w:p>
    <w:p w:rsidR="00784605" w:rsidRPr="00857CDA" w:rsidRDefault="00784605" w:rsidP="00784605">
      <w:pPr>
        <w:spacing w:before="120" w:after="120" w:line="240" w:lineRule="auto"/>
        <w:ind w:left="1134" w:right="1134"/>
        <w:jc w:val="both"/>
        <w:rPr>
          <w:b/>
          <w:i/>
          <w:u w:val="single"/>
          <w:lang w:val="ro-RO"/>
        </w:rPr>
      </w:pPr>
      <w:r w:rsidRPr="00857CDA">
        <w:rPr>
          <w:b/>
          <w:lang w:val="ro-RO"/>
        </w:rPr>
        <w:t>2.2.8.1</w:t>
      </w:r>
      <w:r w:rsidRPr="00857CDA">
        <w:rPr>
          <w:b/>
          <w:lang w:val="ro-RO"/>
        </w:rPr>
        <w:tab/>
      </w:r>
      <w:r w:rsidRPr="00857CDA">
        <w:rPr>
          <w:b/>
          <w:lang w:val="ro-RO"/>
        </w:rPr>
        <w:tab/>
      </w:r>
      <w:r w:rsidRPr="00857CDA">
        <w:rPr>
          <w:b/>
          <w:i/>
          <w:lang w:val="ro-RO"/>
        </w:rPr>
        <w:t>D</w:t>
      </w:r>
      <w:r w:rsidR="002F4C68" w:rsidRPr="00857CDA">
        <w:rPr>
          <w:b/>
          <w:i/>
          <w:lang w:val="ro-RO"/>
        </w:rPr>
        <w:t>e</w:t>
      </w:r>
      <w:r w:rsidRPr="00857CDA">
        <w:rPr>
          <w:b/>
          <w:i/>
          <w:lang w:val="ro-RO"/>
        </w:rPr>
        <w:t>fini</w:t>
      </w:r>
      <w:r w:rsidR="002F4C68" w:rsidRPr="00857CDA">
        <w:rPr>
          <w:b/>
          <w:i/>
          <w:lang w:val="ro-RO"/>
        </w:rPr>
        <w:t>ție</w:t>
      </w:r>
      <w:r w:rsidRPr="00857CDA">
        <w:rPr>
          <w:b/>
          <w:i/>
          <w:lang w:val="ro-RO"/>
        </w:rPr>
        <w:t>, dispo</w:t>
      </w:r>
      <w:r w:rsidR="002F4C68" w:rsidRPr="00857CDA">
        <w:rPr>
          <w:b/>
          <w:i/>
          <w:lang w:val="ro-RO"/>
        </w:rPr>
        <w:t>ziții generale</w:t>
      </w:r>
      <w:r w:rsidR="004C27AD" w:rsidRPr="00857CDA">
        <w:rPr>
          <w:b/>
          <w:i/>
          <w:lang w:val="ro-RO"/>
        </w:rPr>
        <w:t xml:space="preserve"> și </w:t>
      </w:r>
      <w:r w:rsidRPr="00857CDA">
        <w:rPr>
          <w:b/>
          <w:i/>
          <w:lang w:val="ro-RO"/>
        </w:rPr>
        <w:t>crit</w:t>
      </w:r>
      <w:r w:rsidR="002F4C68" w:rsidRPr="00857CDA">
        <w:rPr>
          <w:b/>
          <w:i/>
          <w:lang w:val="ro-RO"/>
        </w:rPr>
        <w:t>e</w:t>
      </w:r>
      <w:r w:rsidRPr="00857CDA">
        <w:rPr>
          <w:b/>
          <w:i/>
          <w:lang w:val="ro-RO"/>
        </w:rPr>
        <w:t>r</w:t>
      </w:r>
      <w:r w:rsidR="002F4C68" w:rsidRPr="00857CDA">
        <w:rPr>
          <w:b/>
          <w:i/>
          <w:lang w:val="ro-RO"/>
        </w:rPr>
        <w:t>ii</w:t>
      </w:r>
    </w:p>
    <w:p w:rsidR="007714AF" w:rsidRPr="00857CDA" w:rsidRDefault="005A21B5" w:rsidP="001A0EB0">
      <w:pPr>
        <w:spacing w:before="120" w:after="120" w:line="240" w:lineRule="auto"/>
        <w:ind w:left="1134" w:right="1134"/>
        <w:jc w:val="both"/>
        <w:rPr>
          <w:lang w:val="ro-RO"/>
        </w:rPr>
      </w:pPr>
      <w:r w:rsidRPr="00857CDA">
        <w:rPr>
          <w:lang w:val="ro-RO"/>
        </w:rPr>
        <w:t>2.</w:t>
      </w:r>
      <w:r w:rsidR="001A0EB0" w:rsidRPr="00857CDA">
        <w:rPr>
          <w:lang w:val="ro-RO"/>
        </w:rPr>
        <w:t>2.8.1.1</w:t>
      </w:r>
      <w:r w:rsidR="001A0EB0" w:rsidRPr="00857CDA">
        <w:rPr>
          <w:i/>
          <w:lang w:val="ro-RO"/>
        </w:rPr>
        <w:tab/>
      </w:r>
      <w:r w:rsidR="007714AF" w:rsidRPr="00857CDA">
        <w:rPr>
          <w:lang w:val="ro-RO"/>
        </w:rPr>
        <w:t>Substanțele c</w:t>
      </w:r>
      <w:r w:rsidR="002F4C68" w:rsidRPr="00857CDA">
        <w:rPr>
          <w:lang w:val="ro-RO"/>
        </w:rPr>
        <w:t>oro</w:t>
      </w:r>
      <w:r w:rsidR="007714AF" w:rsidRPr="00857CDA">
        <w:rPr>
          <w:lang w:val="ro-RO"/>
        </w:rPr>
        <w:t>sive</w:t>
      </w:r>
      <w:r w:rsidR="002F4C68" w:rsidRPr="00857CDA">
        <w:rPr>
          <w:lang w:val="ro-RO"/>
        </w:rPr>
        <w:t xml:space="preserve"> sunt </w:t>
      </w:r>
      <w:r w:rsidR="007714AF" w:rsidRPr="00857CDA">
        <w:rPr>
          <w:lang w:val="ro-RO"/>
        </w:rPr>
        <w:t>substanțe</w:t>
      </w:r>
      <w:r w:rsidR="002F4C68" w:rsidRPr="00857CDA">
        <w:rPr>
          <w:lang w:val="ro-RO"/>
        </w:rPr>
        <w:t xml:space="preserve"> care, prin acțiunea chimică, cauzează deteriorări ireversibile ale pielii sau care, în caz de scurgere, pot deteriora grav sau chiar distruge</w:t>
      </w:r>
      <w:r w:rsidR="007714AF" w:rsidRPr="00857CDA">
        <w:rPr>
          <w:lang w:val="ro-RO"/>
        </w:rPr>
        <w:t xml:space="preserve"> alte mărfuri sau mijloacele de transport</w:t>
      </w:r>
      <w:r w:rsidR="002F4C68" w:rsidRPr="00857CDA">
        <w:rPr>
          <w:lang w:val="ro-RO"/>
        </w:rPr>
        <w:t xml:space="preserve">. </w:t>
      </w:r>
      <w:r w:rsidR="007714AF" w:rsidRPr="00857CDA">
        <w:rPr>
          <w:lang w:val="ro-RO"/>
        </w:rPr>
        <w:t>Denumirea acestei clase acoperă, de asemenea, și alte substanțe care formează o substanță corosivă lichidă, dar numai în prezența apei sau care, în prezența umidității naturale a aerului, produc vapori sau ceață corosivă.</w:t>
      </w:r>
    </w:p>
    <w:p w:rsidR="00705C56" w:rsidRPr="00857CDA" w:rsidRDefault="005A21B5" w:rsidP="001A0EB0">
      <w:pPr>
        <w:spacing w:before="120" w:after="120" w:line="240" w:lineRule="auto"/>
        <w:ind w:left="1134" w:right="1134"/>
        <w:jc w:val="both"/>
        <w:rPr>
          <w:lang w:val="ro-RO"/>
        </w:rPr>
      </w:pPr>
      <w:r w:rsidRPr="00857CDA">
        <w:rPr>
          <w:lang w:val="ro-RO"/>
        </w:rPr>
        <w:t>2.</w:t>
      </w:r>
      <w:r w:rsidR="001A0EB0" w:rsidRPr="00857CDA">
        <w:rPr>
          <w:lang w:val="ro-RO"/>
        </w:rPr>
        <w:t>2.8.1.2</w:t>
      </w:r>
      <w:r w:rsidR="001A0EB0" w:rsidRPr="00857CDA">
        <w:rPr>
          <w:lang w:val="ro-RO"/>
        </w:rPr>
        <w:tab/>
      </w:r>
      <w:r w:rsidR="00705C56" w:rsidRPr="00857CDA">
        <w:rPr>
          <w:lang w:val="ro-RO"/>
        </w:rPr>
        <w:t xml:space="preserve">Dispozițiile privind clasificarea substanțelor corosive pentru piele sunt prezentate la 2.2.8.1.4. Corosiunea cutanată se referă la leziuni ireversibile ale pielii, </w:t>
      </w:r>
      <w:r w:rsidR="005E47F6" w:rsidRPr="00857CDA">
        <w:rPr>
          <w:lang w:val="ro-RO"/>
        </w:rPr>
        <w:t>și anume</w:t>
      </w:r>
      <w:r w:rsidR="00705C56" w:rsidRPr="00857CDA">
        <w:rPr>
          <w:lang w:val="ro-RO"/>
        </w:rPr>
        <w:t xml:space="preserve"> necroza</w:t>
      </w:r>
      <w:r w:rsidR="005E47F6" w:rsidRPr="00857CDA">
        <w:rPr>
          <w:lang w:val="ro-RO"/>
        </w:rPr>
        <w:t>rea</w:t>
      </w:r>
      <w:r w:rsidR="00705C56" w:rsidRPr="00857CDA">
        <w:rPr>
          <w:lang w:val="ro-RO"/>
        </w:rPr>
        <w:t xml:space="preserve"> vizibilă prin epidermă și în dermă care </w:t>
      </w:r>
      <w:r w:rsidR="005E47F6" w:rsidRPr="00857CDA">
        <w:rPr>
          <w:lang w:val="ro-RO"/>
        </w:rPr>
        <w:t>apar</w:t>
      </w:r>
      <w:r w:rsidR="00705C56" w:rsidRPr="00857CDA">
        <w:rPr>
          <w:lang w:val="ro-RO"/>
        </w:rPr>
        <w:t xml:space="preserve"> după</w:t>
      </w:r>
      <w:r w:rsidR="005E47F6" w:rsidRPr="00857CDA">
        <w:rPr>
          <w:lang w:val="ro-RO"/>
        </w:rPr>
        <w:t xml:space="preserve"> expunerea la</w:t>
      </w:r>
      <w:r w:rsidR="00705C56" w:rsidRPr="00857CDA">
        <w:rPr>
          <w:lang w:val="ro-RO"/>
        </w:rPr>
        <w:t xml:space="preserve"> substanță.</w:t>
      </w:r>
    </w:p>
    <w:p w:rsidR="005E47F6" w:rsidRPr="00857CDA" w:rsidRDefault="005A21B5" w:rsidP="001A0EB0">
      <w:pPr>
        <w:spacing w:before="120" w:after="120" w:line="240" w:lineRule="auto"/>
        <w:ind w:left="1134" w:right="1134"/>
        <w:jc w:val="both"/>
        <w:rPr>
          <w:lang w:val="ro-RO"/>
        </w:rPr>
      </w:pPr>
      <w:r w:rsidRPr="00857CDA">
        <w:rPr>
          <w:lang w:val="ro-RO"/>
        </w:rPr>
        <w:t>2.</w:t>
      </w:r>
      <w:r w:rsidR="001A0EB0" w:rsidRPr="00857CDA">
        <w:rPr>
          <w:lang w:val="ro-RO"/>
        </w:rPr>
        <w:t xml:space="preserve">2.8.1.3 </w:t>
      </w:r>
      <w:r w:rsidR="001A0EB0" w:rsidRPr="00857CDA">
        <w:rPr>
          <w:lang w:val="ro-RO"/>
        </w:rPr>
        <w:tab/>
      </w:r>
      <w:r w:rsidR="005E47F6" w:rsidRPr="00857CDA">
        <w:rPr>
          <w:lang w:val="ro-RO"/>
        </w:rPr>
        <w:t>Substanțele lichide și solide care se pot topi în timpul transportului și care nu sunt considerate coro</w:t>
      </w:r>
      <w:r w:rsidR="00043305" w:rsidRPr="00857CDA">
        <w:rPr>
          <w:lang w:val="ro-RO"/>
        </w:rPr>
        <w:t>s</w:t>
      </w:r>
      <w:r w:rsidR="005E47F6" w:rsidRPr="00857CDA">
        <w:rPr>
          <w:lang w:val="ro-RO"/>
        </w:rPr>
        <w:t>ive pentru piele, trebuie considerate ca fiind potențial coro</w:t>
      </w:r>
      <w:r w:rsidR="00043305" w:rsidRPr="00857CDA">
        <w:rPr>
          <w:lang w:val="ro-RO"/>
        </w:rPr>
        <w:t>s</w:t>
      </w:r>
      <w:r w:rsidR="005E47F6" w:rsidRPr="00857CDA">
        <w:rPr>
          <w:lang w:val="ro-RO"/>
        </w:rPr>
        <w:t>ive pentru anumite suprafețe metalice, în conformitate cu criteriile de la 2.2.8.1.5.3 c) ii).</w:t>
      </w:r>
    </w:p>
    <w:p w:rsidR="001A0EB0" w:rsidRPr="00857CDA" w:rsidRDefault="005A21B5" w:rsidP="001A0EB0">
      <w:pPr>
        <w:spacing w:before="120" w:after="120" w:line="240" w:lineRule="auto"/>
        <w:ind w:left="1134" w:right="1134"/>
        <w:jc w:val="both"/>
        <w:rPr>
          <w:i/>
          <w:lang w:val="ro-RO"/>
        </w:rPr>
      </w:pPr>
      <w:r w:rsidRPr="00857CDA">
        <w:rPr>
          <w:lang w:val="ro-RO"/>
        </w:rPr>
        <w:t>2.2.8.1.4</w:t>
      </w:r>
      <w:r w:rsidR="001A0EB0" w:rsidRPr="00857CDA">
        <w:rPr>
          <w:lang w:val="ro-RO"/>
        </w:rPr>
        <w:tab/>
      </w:r>
      <w:r w:rsidR="001A0EB0" w:rsidRPr="00857CDA">
        <w:rPr>
          <w:i/>
          <w:lang w:val="ro-RO"/>
        </w:rPr>
        <w:t>Dispo</w:t>
      </w:r>
      <w:r w:rsidR="005E47F6" w:rsidRPr="00857CDA">
        <w:rPr>
          <w:i/>
          <w:lang w:val="ro-RO"/>
        </w:rPr>
        <w:t>z</w:t>
      </w:r>
      <w:r w:rsidR="001A0EB0" w:rsidRPr="00857CDA">
        <w:rPr>
          <w:i/>
          <w:lang w:val="ro-RO"/>
        </w:rPr>
        <w:t>i</w:t>
      </w:r>
      <w:r w:rsidR="005E47F6" w:rsidRPr="00857CDA">
        <w:rPr>
          <w:i/>
          <w:lang w:val="ro-RO"/>
        </w:rPr>
        <w:t>ții</w:t>
      </w:r>
      <w:r w:rsidR="001A0EB0" w:rsidRPr="00857CDA">
        <w:rPr>
          <w:i/>
          <w:lang w:val="ro-RO"/>
        </w:rPr>
        <w:t xml:space="preserve"> g</w:t>
      </w:r>
      <w:r w:rsidR="005E47F6" w:rsidRPr="00857CDA">
        <w:rPr>
          <w:i/>
          <w:lang w:val="ro-RO"/>
        </w:rPr>
        <w:t>e</w:t>
      </w:r>
      <w:r w:rsidR="001A0EB0" w:rsidRPr="00857CDA">
        <w:rPr>
          <w:i/>
          <w:lang w:val="ro-RO"/>
        </w:rPr>
        <w:t>n</w:t>
      </w:r>
      <w:r w:rsidR="005E47F6" w:rsidRPr="00857CDA">
        <w:rPr>
          <w:i/>
          <w:lang w:val="ro-RO"/>
        </w:rPr>
        <w:t>e</w:t>
      </w:r>
      <w:r w:rsidR="001A0EB0" w:rsidRPr="00857CDA">
        <w:rPr>
          <w:i/>
          <w:lang w:val="ro-RO"/>
        </w:rPr>
        <w:t>rale re</w:t>
      </w:r>
      <w:r w:rsidR="005E47F6" w:rsidRPr="00857CDA">
        <w:rPr>
          <w:i/>
          <w:lang w:val="ro-RO"/>
        </w:rPr>
        <w:t>feritoare</w:t>
      </w:r>
      <w:r w:rsidR="001A0EB0" w:rsidRPr="00857CDA">
        <w:rPr>
          <w:i/>
          <w:lang w:val="ro-RO"/>
        </w:rPr>
        <w:t xml:space="preserve"> la clasifica</w:t>
      </w:r>
      <w:r w:rsidR="005E47F6" w:rsidRPr="00857CDA">
        <w:rPr>
          <w:i/>
          <w:lang w:val="ro-RO"/>
        </w:rPr>
        <w:t>re</w:t>
      </w:r>
    </w:p>
    <w:p w:rsidR="005A21B5" w:rsidRPr="00857CDA" w:rsidRDefault="00902C44" w:rsidP="001A0EB0">
      <w:pPr>
        <w:spacing w:before="120" w:after="120" w:line="240" w:lineRule="auto"/>
        <w:ind w:left="1134" w:right="1134"/>
        <w:jc w:val="both"/>
        <w:rPr>
          <w:i/>
          <w:lang w:val="ro-RO"/>
        </w:rPr>
      </w:pPr>
      <w:r w:rsidRPr="00857CDA">
        <w:rPr>
          <w:i/>
          <w:lang w:val="ro-RO"/>
        </w:rPr>
        <w:t>Se adaugă</w:t>
      </w:r>
      <w:r w:rsidR="005A21B5" w:rsidRPr="00857CDA">
        <w:rPr>
          <w:i/>
          <w:lang w:val="ro-RO"/>
        </w:rPr>
        <w:t xml:space="preserve"> </w:t>
      </w:r>
      <w:r w:rsidR="005E47F6" w:rsidRPr="00857CDA">
        <w:rPr>
          <w:i/>
          <w:lang w:val="ro-RO"/>
        </w:rPr>
        <w:t xml:space="preserve">actualul </w:t>
      </w:r>
      <w:r w:rsidR="005A21B5" w:rsidRPr="00857CDA">
        <w:rPr>
          <w:i/>
          <w:lang w:val="ro-RO"/>
        </w:rPr>
        <w:t>2.2.8.1.2 (sub</w:t>
      </w:r>
      <w:r w:rsidR="00197DE3" w:rsidRPr="00857CDA">
        <w:rPr>
          <w:i/>
          <w:lang w:val="ro-RO"/>
        </w:rPr>
        <w:t>-</w:t>
      </w:r>
      <w:r w:rsidR="005A21B5" w:rsidRPr="00857CDA">
        <w:rPr>
          <w:i/>
          <w:lang w:val="ro-RO"/>
        </w:rPr>
        <w:t>divi</w:t>
      </w:r>
      <w:r w:rsidR="00197DE3" w:rsidRPr="00857CDA">
        <w:rPr>
          <w:i/>
          <w:lang w:val="ro-RO"/>
        </w:rPr>
        <w:t>ziunile</w:t>
      </w:r>
      <w:r w:rsidR="005A21B5" w:rsidRPr="00857CDA">
        <w:rPr>
          <w:i/>
          <w:lang w:val="ro-RO"/>
        </w:rPr>
        <w:t xml:space="preserve"> </w:t>
      </w:r>
      <w:r w:rsidR="002B679C" w:rsidRPr="00857CDA">
        <w:rPr>
          <w:i/>
          <w:lang w:val="ro-RO"/>
        </w:rPr>
        <w:t>clas</w:t>
      </w:r>
      <w:r w:rsidR="00197DE3" w:rsidRPr="00857CDA">
        <w:rPr>
          <w:i/>
          <w:lang w:val="ro-RO"/>
        </w:rPr>
        <w:t>ei</w:t>
      </w:r>
      <w:r w:rsidR="005A21B5" w:rsidRPr="00857CDA">
        <w:rPr>
          <w:i/>
          <w:lang w:val="ro-RO"/>
        </w:rPr>
        <w:t xml:space="preserve"> 8) renum</w:t>
      </w:r>
      <w:r w:rsidR="00197DE3" w:rsidRPr="00857CDA">
        <w:rPr>
          <w:i/>
          <w:lang w:val="ro-RO"/>
        </w:rPr>
        <w:t>e</w:t>
      </w:r>
      <w:r w:rsidR="005A21B5" w:rsidRPr="00857CDA">
        <w:rPr>
          <w:i/>
          <w:lang w:val="ro-RO"/>
        </w:rPr>
        <w:t>rot</w:t>
      </w:r>
      <w:r w:rsidR="00197DE3" w:rsidRPr="00857CDA">
        <w:rPr>
          <w:i/>
          <w:lang w:val="ro-RO"/>
        </w:rPr>
        <w:t>at ca</w:t>
      </w:r>
      <w:r w:rsidR="005A21B5" w:rsidRPr="00857CDA">
        <w:rPr>
          <w:i/>
          <w:lang w:val="ro-RO"/>
        </w:rPr>
        <w:t xml:space="preserve"> 2.2.8.1.4.1.</w:t>
      </w:r>
    </w:p>
    <w:p w:rsidR="003A759A" w:rsidRPr="00857CDA" w:rsidRDefault="003A759A" w:rsidP="003A759A">
      <w:pPr>
        <w:pStyle w:val="SingleTxtG"/>
        <w:rPr>
          <w:lang w:val="ro-RO"/>
        </w:rPr>
      </w:pPr>
      <w:r w:rsidRPr="00857CDA">
        <w:rPr>
          <w:lang w:val="ro-RO"/>
        </w:rPr>
        <w:t>2.2.8.1.4.1</w:t>
      </w:r>
      <w:r w:rsidRPr="00857CDA">
        <w:rPr>
          <w:lang w:val="ro-RO"/>
        </w:rPr>
        <w:tab/>
        <w:t>Se modifică „risc secundar” cu „pericol secundar”.</w:t>
      </w:r>
    </w:p>
    <w:p w:rsidR="00197DE3" w:rsidRPr="00857CDA" w:rsidRDefault="00B36C1B" w:rsidP="00197DE3">
      <w:pPr>
        <w:spacing w:before="120" w:after="120" w:line="240" w:lineRule="auto"/>
        <w:ind w:left="1134" w:right="1134"/>
        <w:jc w:val="both"/>
        <w:rPr>
          <w:lang w:val="ro-RO"/>
        </w:rPr>
      </w:pPr>
      <w:r w:rsidRPr="00857CDA">
        <w:rPr>
          <w:lang w:val="ro-RO"/>
        </w:rPr>
        <w:t>2.2.8.1.4.2</w:t>
      </w:r>
      <w:r w:rsidR="001A0EB0" w:rsidRPr="00857CDA">
        <w:rPr>
          <w:lang w:val="ro-RO"/>
        </w:rPr>
        <w:t xml:space="preserve"> </w:t>
      </w:r>
      <w:r w:rsidR="001A0EB0" w:rsidRPr="00857CDA">
        <w:rPr>
          <w:lang w:val="ro-RO"/>
        </w:rPr>
        <w:tab/>
      </w:r>
      <w:r w:rsidR="00197DE3" w:rsidRPr="00857CDA">
        <w:rPr>
          <w:lang w:val="ro-RO"/>
        </w:rPr>
        <w:t>Substanțele din clasa 8 trebuie clasificate în trei grupe de ambalare, conform gradului de pericol prezentat pentru transport, după următoarele criterii:</w:t>
      </w:r>
    </w:p>
    <w:p w:rsidR="00197DE3" w:rsidRPr="00857CDA" w:rsidRDefault="00197DE3" w:rsidP="00197DE3">
      <w:pPr>
        <w:spacing w:before="120" w:after="120" w:line="240" w:lineRule="auto"/>
        <w:ind w:left="1701" w:right="1134" w:firstLine="567"/>
        <w:jc w:val="both"/>
        <w:rPr>
          <w:lang w:val="ro-RO"/>
        </w:rPr>
      </w:pPr>
      <w:r w:rsidRPr="00857CDA">
        <w:rPr>
          <w:lang w:val="ro-RO"/>
        </w:rPr>
        <w:t>a) Grupa de ambalare I:</w:t>
      </w:r>
      <w:r w:rsidRPr="00857CDA">
        <w:rPr>
          <w:lang w:val="ro-RO"/>
        </w:rPr>
        <w:tab/>
        <w:t>Substanțe foarte corosive;</w:t>
      </w:r>
    </w:p>
    <w:p w:rsidR="00197DE3" w:rsidRPr="00857CDA" w:rsidRDefault="00197DE3" w:rsidP="00197DE3">
      <w:pPr>
        <w:spacing w:before="120" w:after="120" w:line="240" w:lineRule="auto"/>
        <w:ind w:left="1701" w:right="1134" w:firstLine="567"/>
        <w:jc w:val="both"/>
        <w:rPr>
          <w:lang w:val="ro-RO"/>
        </w:rPr>
      </w:pPr>
      <w:r w:rsidRPr="00857CDA">
        <w:rPr>
          <w:lang w:val="ro-RO"/>
        </w:rPr>
        <w:t xml:space="preserve">b) Grupa de ambalare II: </w:t>
      </w:r>
      <w:r w:rsidRPr="00857CDA">
        <w:rPr>
          <w:lang w:val="ro-RO"/>
        </w:rPr>
        <w:tab/>
        <w:t>Substanțe care prezintă un pericol mediu;</w:t>
      </w:r>
    </w:p>
    <w:p w:rsidR="00197DE3" w:rsidRPr="00857CDA" w:rsidRDefault="00197DE3" w:rsidP="00197DE3">
      <w:pPr>
        <w:spacing w:before="120" w:after="120" w:line="240" w:lineRule="auto"/>
        <w:ind w:left="1701" w:right="1134" w:firstLine="567"/>
        <w:jc w:val="both"/>
        <w:rPr>
          <w:lang w:val="ro-RO"/>
        </w:rPr>
      </w:pPr>
      <w:r w:rsidRPr="00857CDA">
        <w:rPr>
          <w:lang w:val="ro-RO"/>
        </w:rPr>
        <w:t xml:space="preserve">c) Grupa de ambalare III: </w:t>
      </w:r>
      <w:r w:rsidRPr="00857CDA">
        <w:rPr>
          <w:lang w:val="ro-RO"/>
        </w:rPr>
        <w:tab/>
        <w:t>Substanțe care prezintă un pericol scăzut;</w:t>
      </w:r>
    </w:p>
    <w:p w:rsidR="00197DE3" w:rsidRPr="00857CDA" w:rsidRDefault="00B36C1B" w:rsidP="001A0EB0">
      <w:pPr>
        <w:spacing w:before="120" w:after="120" w:line="240" w:lineRule="auto"/>
        <w:ind w:left="1134" w:right="1134"/>
        <w:jc w:val="both"/>
        <w:rPr>
          <w:lang w:val="ro-RO"/>
        </w:rPr>
      </w:pPr>
      <w:r w:rsidRPr="00857CDA">
        <w:rPr>
          <w:lang w:val="ro-RO"/>
        </w:rPr>
        <w:t>2.2.8.1.4.3</w:t>
      </w:r>
      <w:r w:rsidR="001A0EB0" w:rsidRPr="00857CDA">
        <w:rPr>
          <w:lang w:val="ro-RO"/>
        </w:rPr>
        <w:tab/>
      </w:r>
      <w:r w:rsidR="00197DE3" w:rsidRPr="00857CDA">
        <w:rPr>
          <w:lang w:val="ro-RO"/>
        </w:rPr>
        <w:t xml:space="preserve">Clasificarea substanțelor din tabelul A din capitolul 3.2 în grupele de ambalare ale clasei 8 </w:t>
      </w:r>
      <w:r w:rsidR="009119B7" w:rsidRPr="00857CDA">
        <w:rPr>
          <w:lang w:val="ro-RO"/>
        </w:rPr>
        <w:t xml:space="preserve">se bazează pe experiența acumulată și ia în considerație factori </w:t>
      </w:r>
      <w:r w:rsidR="009119B7" w:rsidRPr="00857CDA">
        <w:rPr>
          <w:lang w:val="ro-RO"/>
        </w:rPr>
        <w:lastRenderedPageBreak/>
        <w:t>suplimentari, precum riscul de inhalare (a se vedea 2.2.8.1.5) și hidroreactivitatea (inclusiv formarea de produse de descompunere care prezintă un pericol).</w:t>
      </w:r>
    </w:p>
    <w:p w:rsidR="006D20C0" w:rsidRPr="00857CDA" w:rsidRDefault="00B36C1B" w:rsidP="001A0EB0">
      <w:pPr>
        <w:spacing w:before="120" w:after="120" w:line="240" w:lineRule="auto"/>
        <w:ind w:left="1134" w:right="1134"/>
        <w:jc w:val="both"/>
        <w:rPr>
          <w:lang w:val="ro-RO"/>
        </w:rPr>
      </w:pPr>
      <w:r w:rsidRPr="00857CDA">
        <w:rPr>
          <w:lang w:val="ro-RO"/>
        </w:rPr>
        <w:t>2.2.8.1.4.4</w:t>
      </w:r>
      <w:r w:rsidR="001A0EB0" w:rsidRPr="00857CDA">
        <w:rPr>
          <w:lang w:val="ro-RO"/>
        </w:rPr>
        <w:tab/>
      </w:r>
      <w:r w:rsidR="006D20C0" w:rsidRPr="00857CDA">
        <w:rPr>
          <w:lang w:val="ro-RO"/>
        </w:rPr>
        <w:t>Noile substanțe pot fi clasifica în grupele de ambalare, pe baza duratei de contact necesară pentru a provoca leziuni ireversibile țesutului cutanat intact, în conformitate cu criteriile de la 2.2.8.1.</w:t>
      </w:r>
      <w:r w:rsidR="001B6E3B" w:rsidRPr="00857CDA">
        <w:rPr>
          <w:lang w:val="ro-RO"/>
        </w:rPr>
        <w:t>4.</w:t>
      </w:r>
      <w:r w:rsidR="006D20C0" w:rsidRPr="00857CDA">
        <w:rPr>
          <w:lang w:val="ro-RO"/>
        </w:rPr>
        <w:t>5. Alternativ, pentru amestecuri, pot fi utilizate criteriile de la 2.2.8.1.6.</w:t>
      </w:r>
    </w:p>
    <w:p w:rsidR="001A0EB0" w:rsidRPr="00857CDA" w:rsidRDefault="00B36C1B" w:rsidP="00D23267">
      <w:pPr>
        <w:spacing w:before="120" w:after="120" w:line="240" w:lineRule="auto"/>
        <w:ind w:left="1134" w:right="1134"/>
        <w:jc w:val="both"/>
        <w:rPr>
          <w:lang w:val="ro-RO"/>
        </w:rPr>
      </w:pPr>
      <w:r w:rsidRPr="00857CDA">
        <w:rPr>
          <w:lang w:val="ro-RO"/>
        </w:rPr>
        <w:t>2.2.8.1.4.5</w:t>
      </w:r>
      <w:r w:rsidR="001A0EB0" w:rsidRPr="00857CDA">
        <w:rPr>
          <w:lang w:val="ro-RO"/>
        </w:rPr>
        <w:tab/>
      </w:r>
      <w:r w:rsidR="006D20C0" w:rsidRPr="00857CDA">
        <w:rPr>
          <w:lang w:val="ro-RO"/>
        </w:rPr>
        <w:t xml:space="preserve">O substanță care îndeplinește criteriile clasei 8, a cărei toxicitate prin inhalare a pulberilor și a </w:t>
      </w:r>
      <w:r w:rsidR="00857CDA" w:rsidRPr="00857CDA">
        <w:rPr>
          <w:lang w:val="ro-RO"/>
        </w:rPr>
        <w:t>ceții</w:t>
      </w:r>
      <w:r w:rsidR="006D20C0" w:rsidRPr="00857CDA">
        <w:rPr>
          <w:lang w:val="ro-RO"/>
        </w:rPr>
        <w:t xml:space="preserve"> (LC</w:t>
      </w:r>
      <w:r w:rsidR="006D20C0" w:rsidRPr="00857CDA">
        <w:rPr>
          <w:vertAlign w:val="subscript"/>
          <w:lang w:val="ro-RO"/>
        </w:rPr>
        <w:t>50</w:t>
      </w:r>
      <w:r w:rsidR="006D20C0" w:rsidRPr="00857CDA">
        <w:rPr>
          <w:lang w:val="ro-RO"/>
        </w:rPr>
        <w:t xml:space="preserve">) corespunde grupei de ambalare I, dar </w:t>
      </w:r>
      <w:r w:rsidR="00D23267" w:rsidRPr="00857CDA">
        <w:rPr>
          <w:lang w:val="ro-RO"/>
        </w:rPr>
        <w:t xml:space="preserve">a cărei </w:t>
      </w:r>
      <w:r w:rsidR="006D20C0" w:rsidRPr="00857CDA">
        <w:rPr>
          <w:lang w:val="ro-RO"/>
        </w:rPr>
        <w:t xml:space="preserve">toxicitate la ingestie și </w:t>
      </w:r>
      <w:r w:rsidR="00D23267" w:rsidRPr="00857CDA">
        <w:rPr>
          <w:lang w:val="ro-RO"/>
        </w:rPr>
        <w:t xml:space="preserve">la </w:t>
      </w:r>
      <w:r w:rsidR="006D20C0" w:rsidRPr="00857CDA">
        <w:rPr>
          <w:lang w:val="ro-RO"/>
        </w:rPr>
        <w:t xml:space="preserve">absorbție </w:t>
      </w:r>
      <w:r w:rsidR="00D23267" w:rsidRPr="00857CDA">
        <w:rPr>
          <w:lang w:val="ro-RO"/>
        </w:rPr>
        <w:t>cutanată</w:t>
      </w:r>
      <w:r w:rsidR="006D20C0" w:rsidRPr="00857CDA">
        <w:rPr>
          <w:lang w:val="ro-RO"/>
        </w:rPr>
        <w:t xml:space="preserve"> corespunde numai grupei de ambalare III sau mai scăzut</w:t>
      </w:r>
      <w:r w:rsidR="00D23267" w:rsidRPr="00857CDA">
        <w:rPr>
          <w:lang w:val="ro-RO"/>
        </w:rPr>
        <w:t>ă</w:t>
      </w:r>
      <w:r w:rsidR="006D20C0" w:rsidRPr="00857CDA">
        <w:rPr>
          <w:lang w:val="ro-RO"/>
        </w:rPr>
        <w:t xml:space="preserve"> trebuie încadrat în clasa 8 (</w:t>
      </w:r>
      <w:r w:rsidR="00D23267" w:rsidRPr="00857CDA">
        <w:rPr>
          <w:lang w:val="ro-RO"/>
        </w:rPr>
        <w:t>a</w:t>
      </w:r>
      <w:r w:rsidR="006D20C0" w:rsidRPr="00857CDA">
        <w:rPr>
          <w:lang w:val="ro-RO"/>
        </w:rPr>
        <w:t xml:space="preserve"> se </w:t>
      </w:r>
      <w:r w:rsidR="00D23267" w:rsidRPr="00857CDA">
        <w:rPr>
          <w:lang w:val="ro-RO"/>
        </w:rPr>
        <w:t>vedea 2.2.61.1.7.2</w:t>
      </w:r>
      <w:r w:rsidR="001A0EB0" w:rsidRPr="00857CDA">
        <w:rPr>
          <w:lang w:val="ro-RO"/>
        </w:rPr>
        <w:t>).</w:t>
      </w:r>
    </w:p>
    <w:p w:rsidR="001A0EB0" w:rsidRPr="00857CDA" w:rsidRDefault="00B36C1B" w:rsidP="001A0EB0">
      <w:pPr>
        <w:spacing w:before="120" w:after="120" w:line="240" w:lineRule="auto"/>
        <w:ind w:left="1134" w:right="1134"/>
        <w:jc w:val="both"/>
        <w:rPr>
          <w:lang w:val="ro-RO"/>
        </w:rPr>
      </w:pPr>
      <w:r w:rsidRPr="00857CDA">
        <w:rPr>
          <w:lang w:val="ro-RO"/>
        </w:rPr>
        <w:t>2.2.8.1.5</w:t>
      </w:r>
      <w:r w:rsidR="001A0EB0" w:rsidRPr="00857CDA">
        <w:rPr>
          <w:lang w:val="ro-RO"/>
        </w:rPr>
        <w:tab/>
      </w:r>
      <w:r w:rsidR="00C7646B" w:rsidRPr="00857CDA">
        <w:rPr>
          <w:b/>
          <w:i/>
          <w:lang w:val="ro-RO"/>
        </w:rPr>
        <w:t>Alocarea la grupe de ambalare</w:t>
      </w:r>
    </w:p>
    <w:p w:rsidR="004A62DE" w:rsidRPr="00857CDA" w:rsidRDefault="00B36C1B" w:rsidP="001A0EB0">
      <w:pPr>
        <w:spacing w:before="120" w:after="120" w:line="240" w:lineRule="auto"/>
        <w:ind w:left="1134" w:right="1134"/>
        <w:jc w:val="both"/>
        <w:rPr>
          <w:lang w:val="ro-RO"/>
        </w:rPr>
      </w:pPr>
      <w:r w:rsidRPr="00857CDA">
        <w:rPr>
          <w:lang w:val="ro-RO"/>
        </w:rPr>
        <w:t>2.2.8.1.5.1</w:t>
      </w:r>
      <w:r w:rsidR="001A0EB0" w:rsidRPr="00857CDA">
        <w:rPr>
          <w:lang w:val="ro-RO"/>
        </w:rPr>
        <w:tab/>
      </w:r>
      <w:r w:rsidR="004A62DE" w:rsidRPr="00857CDA">
        <w:rPr>
          <w:lang w:val="ro-RO"/>
        </w:rPr>
        <w:t>Datele existente referitoare la oameni și animale, inclusiv datele provenite de la expuneri unice sau repetate, ar trebui evaluate mai întâi deoarece acestea oferă informații direct legate de efectele asupra pielii.</w:t>
      </w:r>
    </w:p>
    <w:p w:rsidR="002C7E47" w:rsidRPr="00857CDA" w:rsidRDefault="00B36C1B" w:rsidP="002C7E47">
      <w:pPr>
        <w:spacing w:before="120" w:after="120" w:line="240" w:lineRule="auto"/>
        <w:ind w:left="1134" w:right="1134"/>
        <w:jc w:val="both"/>
        <w:rPr>
          <w:lang w:val="ro-RO"/>
        </w:rPr>
      </w:pPr>
      <w:r w:rsidRPr="00857CDA">
        <w:rPr>
          <w:lang w:val="ro-RO"/>
        </w:rPr>
        <w:t>2.2.8.1.5.2</w:t>
      </w:r>
      <w:r w:rsidR="001A0EB0" w:rsidRPr="00857CDA">
        <w:rPr>
          <w:i/>
          <w:lang w:val="ro-RO"/>
        </w:rPr>
        <w:tab/>
      </w:r>
      <w:r w:rsidR="002C7E47" w:rsidRPr="00857CDA">
        <w:rPr>
          <w:lang w:val="ro-RO"/>
        </w:rPr>
        <w:t xml:space="preserve">Pentru alocarea substanțelor în grupe de ambalare în conformitate cu 2.2.8.1.4.4, trebuie luată în considerație experiența dobândită asupra ființelor umane cu ocazia expunerii accidentale. În absența unei asemenea experiențe, clasificarea trebuie efectuată pe baza rezultatelor experimentării liniilor directoare OCDE </w:t>
      </w:r>
      <w:r w:rsidR="002C7E47" w:rsidRPr="00857CDA">
        <w:rPr>
          <w:rFonts w:eastAsia="SimSun"/>
          <w:lang w:val="ro-RO" w:eastAsia="zh-CN"/>
        </w:rPr>
        <w:t>404</w:t>
      </w:r>
      <w:r w:rsidR="00D5155D" w:rsidRPr="00857CDA">
        <w:rPr>
          <w:rStyle w:val="FootnoteReference"/>
          <w:rFonts w:eastAsia="SimSun"/>
          <w:lang w:val="ro-RO" w:eastAsia="zh-CN"/>
        </w:rPr>
        <w:footnoteReference w:customMarkFollows="1" w:id="2"/>
        <w:t>5</w:t>
      </w:r>
      <w:r w:rsidR="002C7E47" w:rsidRPr="00857CDA">
        <w:rPr>
          <w:rFonts w:eastAsia="SimSun"/>
          <w:lang w:val="ro-RO" w:eastAsia="zh-CN"/>
        </w:rPr>
        <w:t xml:space="preserve"> </w:t>
      </w:r>
      <w:r w:rsidR="002C7E47" w:rsidRPr="00857CDA">
        <w:rPr>
          <w:rFonts w:eastAsia="Batang"/>
          <w:lang w:val="ro-RO"/>
        </w:rPr>
        <w:t>și 435</w:t>
      </w:r>
      <w:r w:rsidR="00D5155D" w:rsidRPr="00857CDA">
        <w:rPr>
          <w:rStyle w:val="FootnoteReference"/>
          <w:lang w:val="ro-RO"/>
        </w:rPr>
        <w:footnoteReference w:customMarkFollows="1" w:id="3"/>
        <w:t>6</w:t>
      </w:r>
      <w:r w:rsidR="002C7E47" w:rsidRPr="00857CDA">
        <w:rPr>
          <w:lang w:val="ro-RO"/>
        </w:rPr>
        <w:t>. Dacă s-a determinat că o substanță nu este coro</w:t>
      </w:r>
      <w:r w:rsidR="00043305" w:rsidRPr="00857CDA">
        <w:rPr>
          <w:lang w:val="ro-RO"/>
        </w:rPr>
        <w:t>s</w:t>
      </w:r>
      <w:r w:rsidR="002C7E47" w:rsidRPr="00857CDA">
        <w:rPr>
          <w:lang w:val="ro-RO"/>
        </w:rPr>
        <w:t>ivă în conformitate cu liniile directoare OCDE</w:t>
      </w:r>
      <w:r w:rsidR="002C7E47" w:rsidRPr="00857CDA">
        <w:rPr>
          <w:rFonts w:eastAsia="Batang"/>
          <w:lang w:val="ro-RO"/>
        </w:rPr>
        <w:t xml:space="preserve"> 430</w:t>
      </w:r>
      <w:r w:rsidR="00D5155D" w:rsidRPr="00857CDA">
        <w:rPr>
          <w:rStyle w:val="FootnoteReference"/>
          <w:rFonts w:eastAsia="Batang"/>
          <w:lang w:val="ro-RO"/>
        </w:rPr>
        <w:footnoteReference w:customMarkFollows="1" w:id="4"/>
        <w:t>7</w:t>
      </w:r>
      <w:r w:rsidR="002C7E47" w:rsidRPr="00857CDA">
        <w:rPr>
          <w:rFonts w:eastAsia="Batang"/>
          <w:lang w:val="ro-RO"/>
        </w:rPr>
        <w:t xml:space="preserve"> și 431</w:t>
      </w:r>
      <w:r w:rsidR="00D5155D" w:rsidRPr="00857CDA">
        <w:rPr>
          <w:rStyle w:val="FootnoteReference"/>
          <w:rFonts w:eastAsia="Batang"/>
          <w:b/>
          <w:lang w:val="ro-RO"/>
        </w:rPr>
        <w:footnoteReference w:customMarkFollows="1" w:id="5"/>
        <w:t>8</w:t>
      </w:r>
      <w:r w:rsidR="002C7E47" w:rsidRPr="00857CDA">
        <w:rPr>
          <w:rFonts w:eastAsia="Batang"/>
          <w:b/>
          <w:vertAlign w:val="superscript"/>
          <w:lang w:val="ro-RO"/>
        </w:rPr>
        <w:t xml:space="preserve"> </w:t>
      </w:r>
      <w:r w:rsidR="002C7E47" w:rsidRPr="00857CDA">
        <w:rPr>
          <w:lang w:val="ro-RO"/>
        </w:rPr>
        <w:t>, aceasta poate fi considerată ca fiind necoro</w:t>
      </w:r>
      <w:r w:rsidR="00795F92" w:rsidRPr="00857CDA">
        <w:rPr>
          <w:lang w:val="ro-RO"/>
        </w:rPr>
        <w:t>s</w:t>
      </w:r>
      <w:r w:rsidR="002C7E47" w:rsidRPr="00857CDA">
        <w:rPr>
          <w:lang w:val="ro-RO"/>
        </w:rPr>
        <w:t xml:space="preserve">ivă pentru piele în scopul ADR fără a mai efectua </w:t>
      </w:r>
      <w:r w:rsidR="003F7038" w:rsidRPr="00857CDA">
        <w:rPr>
          <w:lang w:val="ro-RO"/>
        </w:rPr>
        <w:t xml:space="preserve">alte </w:t>
      </w:r>
      <w:r w:rsidR="002C7E47" w:rsidRPr="00857CDA">
        <w:rPr>
          <w:lang w:val="ro-RO"/>
        </w:rPr>
        <w:t>încercări.</w:t>
      </w:r>
    </w:p>
    <w:p w:rsidR="001A0EB0" w:rsidRPr="00857CDA" w:rsidRDefault="00B36C1B" w:rsidP="001A0EB0">
      <w:pPr>
        <w:spacing w:before="120" w:after="120" w:line="240" w:lineRule="auto"/>
        <w:ind w:left="1134" w:right="1134"/>
        <w:jc w:val="both"/>
        <w:rPr>
          <w:lang w:val="ro-RO"/>
        </w:rPr>
      </w:pPr>
      <w:r w:rsidRPr="00857CDA">
        <w:rPr>
          <w:lang w:val="ro-RO"/>
        </w:rPr>
        <w:t>2.2.8.1.5.3</w:t>
      </w:r>
      <w:r w:rsidR="001A0EB0" w:rsidRPr="00857CDA">
        <w:rPr>
          <w:lang w:val="ro-RO"/>
        </w:rPr>
        <w:tab/>
      </w:r>
      <w:r w:rsidR="003F7038" w:rsidRPr="00857CDA">
        <w:rPr>
          <w:lang w:val="ro-RO"/>
        </w:rPr>
        <w:t>Substanțele corosive sunt alocate î</w:t>
      </w:r>
      <w:r w:rsidR="00902C44" w:rsidRPr="00857CDA">
        <w:rPr>
          <w:lang w:val="ro-RO"/>
        </w:rPr>
        <w:t xml:space="preserve">n </w:t>
      </w:r>
      <w:r w:rsidR="001A0EB0" w:rsidRPr="00857CDA">
        <w:rPr>
          <w:lang w:val="ro-RO"/>
        </w:rPr>
        <w:t xml:space="preserve">grupe </w:t>
      </w:r>
      <w:r w:rsidR="006A1ED1" w:rsidRPr="00857CDA">
        <w:rPr>
          <w:lang w:val="ro-RO"/>
        </w:rPr>
        <w:t>de ambalare</w:t>
      </w:r>
      <w:r w:rsidR="001A0EB0" w:rsidRPr="00857CDA">
        <w:rPr>
          <w:lang w:val="ro-RO"/>
        </w:rPr>
        <w:t xml:space="preserve"> </w:t>
      </w:r>
      <w:r w:rsidR="00991390" w:rsidRPr="00857CDA">
        <w:rPr>
          <w:lang w:val="ro-RO"/>
        </w:rPr>
        <w:t>după</w:t>
      </w:r>
      <w:r w:rsidR="001A0EB0" w:rsidRPr="00857CDA">
        <w:rPr>
          <w:lang w:val="ro-RO"/>
        </w:rPr>
        <w:t xml:space="preserve"> </w:t>
      </w:r>
      <w:r w:rsidR="003F7038" w:rsidRPr="00857CDA">
        <w:rPr>
          <w:lang w:val="ro-RO"/>
        </w:rPr>
        <w:t xml:space="preserve">următoarele </w:t>
      </w:r>
      <w:r w:rsidR="001A0EB0" w:rsidRPr="00857CDA">
        <w:rPr>
          <w:lang w:val="ro-RO"/>
        </w:rPr>
        <w:t>crite</w:t>
      </w:r>
      <w:r w:rsidR="003F7038" w:rsidRPr="00857CDA">
        <w:rPr>
          <w:lang w:val="ro-RO"/>
        </w:rPr>
        <w:t>rii</w:t>
      </w:r>
      <w:r w:rsidR="001A0EB0" w:rsidRPr="00857CDA">
        <w:rPr>
          <w:lang w:val="ro-RO"/>
        </w:rPr>
        <w:t xml:space="preserve"> (</w:t>
      </w:r>
      <w:r w:rsidR="003F7038" w:rsidRPr="00857CDA">
        <w:rPr>
          <w:lang w:val="ro-RO"/>
        </w:rPr>
        <w:t>a</w:t>
      </w:r>
      <w:r w:rsidR="0043120D" w:rsidRPr="00857CDA">
        <w:rPr>
          <w:lang w:val="ro-RO"/>
        </w:rPr>
        <w:t xml:space="preserve"> se vedea</w:t>
      </w:r>
      <w:r w:rsidR="001A0EB0" w:rsidRPr="00857CDA">
        <w:rPr>
          <w:lang w:val="ro-RO"/>
        </w:rPr>
        <w:t xml:space="preserve"> tabe</w:t>
      </w:r>
      <w:r w:rsidR="003F7038" w:rsidRPr="00857CDA">
        <w:rPr>
          <w:lang w:val="ro-RO"/>
        </w:rPr>
        <w:t>lul</w:t>
      </w:r>
      <w:r w:rsidR="001A0EB0" w:rsidRPr="00857CDA">
        <w:rPr>
          <w:lang w:val="ro-RO"/>
        </w:rPr>
        <w:t xml:space="preserve"> </w:t>
      </w:r>
      <w:r w:rsidRPr="00857CDA">
        <w:rPr>
          <w:lang w:val="ro-RO"/>
        </w:rPr>
        <w:t>2.2.8.1.5.3</w:t>
      </w:r>
      <w:r w:rsidR="001A0EB0" w:rsidRPr="00857CDA">
        <w:rPr>
          <w:lang w:val="ro-RO"/>
        </w:rPr>
        <w:t>)</w:t>
      </w:r>
      <w:r w:rsidR="00091658" w:rsidRPr="00857CDA">
        <w:rPr>
          <w:lang w:val="ro-RO"/>
        </w:rPr>
        <w:t>:</w:t>
      </w:r>
    </w:p>
    <w:p w:rsidR="001A0EB0" w:rsidRPr="00857CDA" w:rsidRDefault="001A0EB0" w:rsidP="00E84D94">
      <w:pPr>
        <w:spacing w:before="120" w:after="120" w:line="240" w:lineRule="auto"/>
        <w:ind w:left="2268" w:right="1134"/>
        <w:jc w:val="both"/>
        <w:rPr>
          <w:lang w:val="ro-RO"/>
        </w:rPr>
      </w:pPr>
      <w:r w:rsidRPr="00857CDA">
        <w:rPr>
          <w:lang w:val="ro-RO"/>
        </w:rPr>
        <w:t>a)</w:t>
      </w:r>
      <w:r w:rsidRPr="00857CDA">
        <w:rPr>
          <w:lang w:val="ro-RO"/>
        </w:rPr>
        <w:tab/>
      </w:r>
      <w:r w:rsidR="003F7038" w:rsidRPr="00857CDA">
        <w:rPr>
          <w:lang w:val="ro-RO"/>
        </w:rPr>
        <w:t xml:space="preserve">Sunt alocate grupei de ambalare I substanțele care provoacă o </w:t>
      </w:r>
      <w:r w:rsidR="00E7776C" w:rsidRPr="00857CDA">
        <w:rPr>
          <w:lang w:val="ro-RO"/>
        </w:rPr>
        <w:t>leziune ireversibilă</w:t>
      </w:r>
      <w:r w:rsidR="003F7038" w:rsidRPr="00857CDA">
        <w:rPr>
          <w:lang w:val="ro-RO"/>
        </w:rPr>
        <w:t xml:space="preserve"> a țesutului cutanat intact, pe o perioadă de observație de </w:t>
      </w:r>
      <w:r w:rsidR="00E84D94" w:rsidRPr="00857CDA">
        <w:rPr>
          <w:lang w:val="ro-RO"/>
        </w:rPr>
        <w:t xml:space="preserve">până la </w:t>
      </w:r>
      <w:r w:rsidR="003F7038" w:rsidRPr="00857CDA">
        <w:rPr>
          <w:lang w:val="ro-RO"/>
        </w:rPr>
        <w:t>60 de minute, începând imediat după o durată de exp</w:t>
      </w:r>
      <w:r w:rsidR="00E84D94" w:rsidRPr="00857CDA">
        <w:rPr>
          <w:lang w:val="ro-RO"/>
        </w:rPr>
        <w:t>unere de 3 minute sau mai puțin</w:t>
      </w:r>
      <w:r w:rsidRPr="00857CDA">
        <w:rPr>
          <w:lang w:val="ro-RO"/>
        </w:rPr>
        <w:t>;</w:t>
      </w:r>
    </w:p>
    <w:p w:rsidR="001A0EB0" w:rsidRPr="00857CDA" w:rsidRDefault="001A0EB0" w:rsidP="001A0EB0">
      <w:pPr>
        <w:spacing w:before="120" w:after="120" w:line="240" w:lineRule="auto"/>
        <w:ind w:left="2268" w:right="1134"/>
        <w:jc w:val="both"/>
        <w:rPr>
          <w:lang w:val="ro-RO"/>
        </w:rPr>
      </w:pPr>
      <w:r w:rsidRPr="00857CDA">
        <w:rPr>
          <w:lang w:val="ro-RO"/>
        </w:rPr>
        <w:t>b)</w:t>
      </w:r>
      <w:r w:rsidRPr="00857CDA">
        <w:rPr>
          <w:lang w:val="ro-RO"/>
        </w:rPr>
        <w:tab/>
      </w:r>
      <w:r w:rsidR="00E84D94" w:rsidRPr="00857CDA">
        <w:rPr>
          <w:lang w:val="ro-RO"/>
        </w:rPr>
        <w:t xml:space="preserve">Sunt alocate grupei de ambalare I substanțele care provoacă o leziune ireversibilă a țesutului cutanat intact, pe o perioadă de observație de până la </w:t>
      </w:r>
      <w:r w:rsidRPr="00857CDA">
        <w:rPr>
          <w:lang w:val="ro-RO"/>
        </w:rPr>
        <w:t>14 </w:t>
      </w:r>
      <w:r w:rsidR="00E84D94" w:rsidRPr="00857CDA">
        <w:rPr>
          <w:lang w:val="ro-RO"/>
        </w:rPr>
        <w:t xml:space="preserve">zile, începând imediat după o durată de expunere </w:t>
      </w:r>
      <w:r w:rsidR="00CB044B" w:rsidRPr="00857CDA">
        <w:rPr>
          <w:lang w:val="ro-RO"/>
        </w:rPr>
        <w:t>mai mare de</w:t>
      </w:r>
      <w:r w:rsidR="00E84D94" w:rsidRPr="00857CDA">
        <w:rPr>
          <w:lang w:val="ro-RO"/>
        </w:rPr>
        <w:t xml:space="preserve"> 3 minute,</w:t>
      </w:r>
      <w:r w:rsidRPr="00857CDA">
        <w:rPr>
          <w:lang w:val="ro-RO"/>
        </w:rPr>
        <w:t xml:space="preserve"> </w:t>
      </w:r>
      <w:r w:rsidR="00E84D94" w:rsidRPr="00857CDA">
        <w:rPr>
          <w:lang w:val="ro-RO"/>
        </w:rPr>
        <w:t>dar nu mai mult de</w:t>
      </w:r>
      <w:r w:rsidRPr="00857CDA">
        <w:rPr>
          <w:lang w:val="ro-RO"/>
        </w:rPr>
        <w:t> 60 </w:t>
      </w:r>
      <w:r w:rsidR="00CB044B" w:rsidRPr="00857CDA">
        <w:rPr>
          <w:lang w:val="ro-RO"/>
        </w:rPr>
        <w:t xml:space="preserve">de </w:t>
      </w:r>
      <w:r w:rsidRPr="00857CDA">
        <w:rPr>
          <w:lang w:val="ro-RO"/>
        </w:rPr>
        <w:t>minute;</w:t>
      </w:r>
    </w:p>
    <w:p w:rsidR="001A0EB0" w:rsidRPr="00857CDA" w:rsidRDefault="001A0EB0" w:rsidP="001A0EB0">
      <w:pPr>
        <w:spacing w:before="120" w:after="120" w:line="240" w:lineRule="auto"/>
        <w:ind w:left="2268" w:right="1134"/>
        <w:jc w:val="both"/>
        <w:rPr>
          <w:lang w:val="ro-RO"/>
        </w:rPr>
      </w:pPr>
      <w:r w:rsidRPr="00857CDA">
        <w:rPr>
          <w:lang w:val="ro-RO"/>
        </w:rPr>
        <w:t>c)</w:t>
      </w:r>
      <w:r w:rsidRPr="00857CDA">
        <w:rPr>
          <w:lang w:val="ro-RO"/>
        </w:rPr>
        <w:tab/>
      </w:r>
      <w:r w:rsidR="00E84D94" w:rsidRPr="00857CDA">
        <w:rPr>
          <w:lang w:val="ro-RO"/>
        </w:rPr>
        <w:t xml:space="preserve">Sunt alocate grupei de ambalare </w:t>
      </w:r>
      <w:r w:rsidRPr="00857CDA">
        <w:rPr>
          <w:lang w:val="ro-RO"/>
        </w:rPr>
        <w:t>III</w:t>
      </w:r>
      <w:r w:rsidR="00CB044B" w:rsidRPr="00857CDA">
        <w:rPr>
          <w:lang w:val="ro-RO"/>
        </w:rPr>
        <w:t>, substanțele</w:t>
      </w:r>
      <w:r w:rsidR="00091658" w:rsidRPr="00857CDA">
        <w:rPr>
          <w:lang w:val="ro-RO"/>
        </w:rPr>
        <w:t>:</w:t>
      </w:r>
    </w:p>
    <w:p w:rsidR="001A0EB0" w:rsidRPr="00857CDA" w:rsidRDefault="001A0EB0" w:rsidP="001A0EB0">
      <w:pPr>
        <w:spacing w:before="120" w:after="120" w:line="240" w:lineRule="auto"/>
        <w:ind w:left="2835" w:right="1134"/>
        <w:jc w:val="both"/>
        <w:rPr>
          <w:lang w:val="ro-RO"/>
        </w:rPr>
      </w:pPr>
      <w:r w:rsidRPr="00857CDA">
        <w:rPr>
          <w:lang w:val="ro-RO"/>
        </w:rPr>
        <w:t>i)</w:t>
      </w:r>
      <w:r w:rsidRPr="00857CDA">
        <w:rPr>
          <w:lang w:val="ro-RO"/>
        </w:rPr>
        <w:tab/>
      </w:r>
      <w:r w:rsidR="00CB044B" w:rsidRPr="00857CDA">
        <w:rPr>
          <w:lang w:val="ro-RO"/>
        </w:rPr>
        <w:t xml:space="preserve">care </w:t>
      </w:r>
      <w:r w:rsidR="009C7A60" w:rsidRPr="00857CDA">
        <w:rPr>
          <w:lang w:val="ro-RO"/>
        </w:rPr>
        <w:t>provoacă o leziune ireversibilă a țesutului cutanat intact</w:t>
      </w:r>
      <w:r w:rsidRPr="00857CDA">
        <w:rPr>
          <w:lang w:val="ro-RO"/>
        </w:rPr>
        <w:t xml:space="preserve">, </w:t>
      </w:r>
      <w:r w:rsidR="009C7A60" w:rsidRPr="00857CDA">
        <w:rPr>
          <w:lang w:val="ro-RO"/>
        </w:rPr>
        <w:t>pe o perioadă</w:t>
      </w:r>
      <w:r w:rsidR="00CB044B" w:rsidRPr="00857CDA">
        <w:rPr>
          <w:lang w:val="ro-RO"/>
        </w:rPr>
        <w:t xml:space="preserve"> de observație de până la </w:t>
      </w:r>
      <w:r w:rsidRPr="00857CDA">
        <w:rPr>
          <w:lang w:val="ro-RO"/>
        </w:rPr>
        <w:t>14 </w:t>
      </w:r>
      <w:r w:rsidR="00CB044B" w:rsidRPr="00857CDA">
        <w:rPr>
          <w:lang w:val="ro-RO"/>
        </w:rPr>
        <w:t xml:space="preserve">zile, începând imediat după o durată de expunere mai mare de </w:t>
      </w:r>
      <w:r w:rsidRPr="00857CDA">
        <w:rPr>
          <w:lang w:val="ro-RO"/>
        </w:rPr>
        <w:t>60 </w:t>
      </w:r>
      <w:r w:rsidR="00CB044B" w:rsidRPr="00857CDA">
        <w:rPr>
          <w:lang w:val="ro-RO"/>
        </w:rPr>
        <w:t xml:space="preserve">de </w:t>
      </w:r>
      <w:r w:rsidRPr="00857CDA">
        <w:rPr>
          <w:lang w:val="ro-RO"/>
        </w:rPr>
        <w:t>minute</w:t>
      </w:r>
      <w:r w:rsidR="00CB044B" w:rsidRPr="00857CDA">
        <w:rPr>
          <w:lang w:val="ro-RO"/>
        </w:rPr>
        <w:t>, dar nu mai mult de</w:t>
      </w:r>
      <w:r w:rsidRPr="00857CDA">
        <w:rPr>
          <w:lang w:val="ro-RO"/>
        </w:rPr>
        <w:t xml:space="preserve"> 4 </w:t>
      </w:r>
      <w:r w:rsidR="00CB044B" w:rsidRPr="00857CDA">
        <w:rPr>
          <w:lang w:val="ro-RO"/>
        </w:rPr>
        <w:t>ore</w:t>
      </w:r>
      <w:r w:rsidRPr="00857CDA">
        <w:rPr>
          <w:lang w:val="ro-RO"/>
        </w:rPr>
        <w:t xml:space="preserve">; </w:t>
      </w:r>
      <w:r w:rsidR="00CB044B" w:rsidRPr="00857CDA">
        <w:rPr>
          <w:lang w:val="ro-RO"/>
        </w:rPr>
        <w:t>sau</w:t>
      </w:r>
    </w:p>
    <w:p w:rsidR="00CB044B" w:rsidRPr="00857CDA" w:rsidRDefault="001A0EB0" w:rsidP="001A0EB0">
      <w:pPr>
        <w:spacing w:before="120" w:after="120" w:line="240" w:lineRule="auto"/>
        <w:ind w:left="2835" w:right="1134"/>
        <w:jc w:val="both"/>
        <w:rPr>
          <w:lang w:val="ro-RO"/>
        </w:rPr>
      </w:pPr>
      <w:r w:rsidRPr="00857CDA">
        <w:rPr>
          <w:lang w:val="ro-RO"/>
        </w:rPr>
        <w:t>ii)</w:t>
      </w:r>
      <w:r w:rsidRPr="00857CDA">
        <w:rPr>
          <w:lang w:val="ro-RO"/>
        </w:rPr>
        <w:tab/>
      </w:r>
      <w:r w:rsidR="00CB044B" w:rsidRPr="00857CDA">
        <w:rPr>
          <w:lang w:val="ro-RO"/>
        </w:rPr>
        <w:t xml:space="preserve">despre care se crede că nu provoacă o distrugere a țesutului cutanat intact, dar a căror </w:t>
      </w:r>
      <w:r w:rsidR="00744F8A" w:rsidRPr="00857CDA">
        <w:rPr>
          <w:lang w:val="ro-RO"/>
        </w:rPr>
        <w:t>viteză de</w:t>
      </w:r>
      <w:r w:rsidR="00CB044B" w:rsidRPr="00857CDA">
        <w:rPr>
          <w:lang w:val="ro-RO"/>
        </w:rPr>
        <w:t xml:space="preserve"> coro</w:t>
      </w:r>
      <w:r w:rsidR="00744F8A" w:rsidRPr="00857CDA">
        <w:rPr>
          <w:lang w:val="ro-RO"/>
        </w:rPr>
        <w:t>s</w:t>
      </w:r>
      <w:r w:rsidR="00CB044B" w:rsidRPr="00857CDA">
        <w:rPr>
          <w:lang w:val="ro-RO"/>
        </w:rPr>
        <w:t>iun</w:t>
      </w:r>
      <w:r w:rsidR="00744F8A" w:rsidRPr="00857CDA">
        <w:rPr>
          <w:lang w:val="ro-RO"/>
        </w:rPr>
        <w:t>e</w:t>
      </w:r>
      <w:r w:rsidR="00CB044B" w:rsidRPr="00857CDA">
        <w:rPr>
          <w:lang w:val="ro-RO"/>
        </w:rPr>
        <w:t xml:space="preserve"> </w:t>
      </w:r>
      <w:r w:rsidR="00795F92" w:rsidRPr="00857CDA">
        <w:rPr>
          <w:lang w:val="ro-RO"/>
        </w:rPr>
        <w:t xml:space="preserve">fie pe suprafeţe de oţel, fie de aluminiu, </w:t>
      </w:r>
      <w:r w:rsidR="00CB044B" w:rsidRPr="00857CDA">
        <w:rPr>
          <w:lang w:val="ro-RO"/>
        </w:rPr>
        <w:t xml:space="preserve">depășește 6,25 mm pe an la temperatura de încercare de 55 °C, atunci când este încercată pe ambele materiale. Pentru </w:t>
      </w:r>
      <w:r w:rsidR="00CB044B" w:rsidRPr="00857CDA">
        <w:rPr>
          <w:lang w:val="ro-RO"/>
        </w:rPr>
        <w:lastRenderedPageBreak/>
        <w:t>încercările pe oțel, trebuie să se utilizeze tipurile S235JR+CR (1.0037, respectiv St 37-2), S275J2G3+CR (1.0144, respectiv St 44-3), ISO 3574, „Unified Numbering System” (UNS) G10200 sau SAE 1020, iar pentru încercările pe aluminiu, trebuie să se utilizeze tipurile neprotejate 7075­T6 sau AZ5GU­T6. O încercare acceptabilă este descrisă în Manualul de Încercări și Criterii, Partea III, secțiunea 37.</w:t>
      </w:r>
    </w:p>
    <w:p w:rsidR="001A0EB0" w:rsidRPr="00857CDA" w:rsidRDefault="001A0EB0" w:rsidP="001A0EB0">
      <w:pPr>
        <w:spacing w:before="120" w:after="120" w:line="240" w:lineRule="auto"/>
        <w:ind w:left="2835" w:right="1134"/>
        <w:jc w:val="both"/>
        <w:rPr>
          <w:i/>
          <w:iCs/>
          <w:lang w:val="ro-RO"/>
        </w:rPr>
      </w:pPr>
      <w:r w:rsidRPr="00857CDA">
        <w:rPr>
          <w:b/>
          <w:bCs/>
          <w:i/>
          <w:iCs/>
          <w:lang w:val="ro-RO"/>
        </w:rPr>
        <w:t>NOT</w:t>
      </w:r>
      <w:r w:rsidR="00E84D94" w:rsidRPr="00857CDA">
        <w:rPr>
          <w:b/>
          <w:bCs/>
          <w:i/>
          <w:iCs/>
          <w:lang w:val="ro-RO"/>
        </w:rPr>
        <w:t>Ă</w:t>
      </w:r>
      <w:r w:rsidR="00091658" w:rsidRPr="00857CDA">
        <w:rPr>
          <w:lang w:val="ro-RO"/>
        </w:rPr>
        <w:t>:</w:t>
      </w:r>
      <w:r w:rsidRPr="00857CDA">
        <w:rPr>
          <w:b/>
          <w:bCs/>
          <w:i/>
          <w:iCs/>
          <w:lang w:val="ro-RO"/>
        </w:rPr>
        <w:t xml:space="preserve"> </w:t>
      </w:r>
      <w:r w:rsidR="000630A6" w:rsidRPr="00857CDA">
        <w:rPr>
          <w:i/>
          <w:iCs/>
          <w:lang w:val="ro-RO"/>
        </w:rPr>
        <w:t>Atunci când încercarea inițială asupra oțelului sau asupra aluminiului, arată că substanța încercată este corozivă, nu mai este obligatorie o altă încercare pe alt metal.</w:t>
      </w:r>
    </w:p>
    <w:p w:rsidR="001A0EB0" w:rsidRPr="00857CDA" w:rsidRDefault="001A0EB0" w:rsidP="001A0EB0">
      <w:pPr>
        <w:spacing w:before="120" w:after="120" w:line="240" w:lineRule="auto"/>
        <w:ind w:left="1134" w:right="1134"/>
        <w:jc w:val="center"/>
        <w:rPr>
          <w:b/>
          <w:bCs/>
          <w:lang w:val="ro-RO"/>
        </w:rPr>
      </w:pPr>
      <w:r w:rsidRPr="00857CDA">
        <w:rPr>
          <w:b/>
          <w:bCs/>
          <w:lang w:val="ro-RO"/>
        </w:rPr>
        <w:t>Tabe</w:t>
      </w:r>
      <w:r w:rsidR="000630A6" w:rsidRPr="00857CDA">
        <w:rPr>
          <w:b/>
          <w:bCs/>
          <w:lang w:val="ro-RO"/>
        </w:rPr>
        <w:t>lul</w:t>
      </w:r>
      <w:r w:rsidRPr="00857CDA">
        <w:rPr>
          <w:b/>
          <w:bCs/>
          <w:lang w:val="ro-RO"/>
        </w:rPr>
        <w:t xml:space="preserve"> </w:t>
      </w:r>
      <w:r w:rsidR="00B36C1B" w:rsidRPr="00857CDA">
        <w:rPr>
          <w:b/>
          <w:lang w:val="ro-RO"/>
        </w:rPr>
        <w:t>2.2.8.1.5.3</w:t>
      </w:r>
      <w:r w:rsidR="00091658" w:rsidRPr="00857CDA">
        <w:rPr>
          <w:lang w:val="ro-RO"/>
        </w:rPr>
        <w:t>:</w:t>
      </w:r>
      <w:r w:rsidRPr="00857CDA">
        <w:rPr>
          <w:b/>
          <w:bCs/>
          <w:lang w:val="ro-RO"/>
        </w:rPr>
        <w:t xml:space="preserve"> Tabe</w:t>
      </w:r>
      <w:r w:rsidR="000630A6" w:rsidRPr="00857CDA">
        <w:rPr>
          <w:b/>
          <w:bCs/>
          <w:lang w:val="ro-RO"/>
        </w:rPr>
        <w:t>l</w:t>
      </w:r>
      <w:r w:rsidRPr="00857CDA">
        <w:rPr>
          <w:b/>
          <w:bCs/>
          <w:lang w:val="ro-RO"/>
        </w:rPr>
        <w:t>u</w:t>
      </w:r>
      <w:r w:rsidR="000630A6" w:rsidRPr="00857CDA">
        <w:rPr>
          <w:b/>
          <w:bCs/>
          <w:lang w:val="ro-RO"/>
        </w:rPr>
        <w:t>l</w:t>
      </w:r>
      <w:r w:rsidRPr="00857CDA">
        <w:rPr>
          <w:b/>
          <w:bCs/>
          <w:lang w:val="ro-RO"/>
        </w:rPr>
        <w:t xml:space="preserve"> </w:t>
      </w:r>
      <w:r w:rsidR="000630A6" w:rsidRPr="00857CDA">
        <w:rPr>
          <w:b/>
          <w:bCs/>
          <w:lang w:val="ro-RO"/>
        </w:rPr>
        <w:t xml:space="preserve">care rezumă criteriile de la </w:t>
      </w:r>
      <w:r w:rsidR="00B36C1B" w:rsidRPr="00857CDA">
        <w:rPr>
          <w:b/>
          <w:lang w:val="ro-RO"/>
        </w:rPr>
        <w:t>2.2.8.1.5.3</w:t>
      </w:r>
    </w:p>
    <w:tbl>
      <w:tblPr>
        <w:tblW w:w="7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2"/>
        <w:gridCol w:w="1276"/>
        <w:gridCol w:w="1276"/>
        <w:gridCol w:w="4246"/>
      </w:tblGrid>
      <w:tr w:rsidR="00A074FC" w:rsidRPr="00857CDA" w:rsidTr="00467F1D">
        <w:trPr>
          <w:cantSplit/>
          <w:jc w:val="center"/>
        </w:trPr>
        <w:tc>
          <w:tcPr>
            <w:tcW w:w="992" w:type="dxa"/>
            <w:shd w:val="clear" w:color="auto" w:fill="auto"/>
            <w:vAlign w:val="center"/>
          </w:tcPr>
          <w:p w:rsidR="001A0EB0" w:rsidRPr="00857CDA" w:rsidRDefault="00217674" w:rsidP="000630A6">
            <w:pPr>
              <w:keepNext/>
              <w:keepLines/>
              <w:jc w:val="center"/>
              <w:rPr>
                <w:b/>
                <w:bCs/>
                <w:lang w:val="ro-RO"/>
              </w:rPr>
            </w:pPr>
            <w:r w:rsidRPr="00857CDA">
              <w:rPr>
                <w:b/>
                <w:bCs/>
                <w:lang w:val="ro-RO"/>
              </w:rPr>
              <w:t>Grupa de ambalare</w:t>
            </w:r>
          </w:p>
        </w:tc>
        <w:tc>
          <w:tcPr>
            <w:tcW w:w="1276" w:type="dxa"/>
            <w:shd w:val="clear" w:color="auto" w:fill="auto"/>
            <w:vAlign w:val="center"/>
          </w:tcPr>
          <w:p w:rsidR="001A0EB0" w:rsidRPr="00857CDA" w:rsidRDefault="001A0EB0" w:rsidP="000630A6">
            <w:pPr>
              <w:keepNext/>
              <w:keepLines/>
              <w:ind w:left="27"/>
              <w:jc w:val="center"/>
              <w:rPr>
                <w:b/>
                <w:bCs/>
                <w:lang w:val="ro-RO"/>
              </w:rPr>
            </w:pPr>
            <w:r w:rsidRPr="00857CDA">
              <w:rPr>
                <w:b/>
                <w:bCs/>
                <w:lang w:val="ro-RO"/>
              </w:rPr>
              <w:t>Dur</w:t>
            </w:r>
            <w:r w:rsidR="000630A6" w:rsidRPr="00857CDA">
              <w:rPr>
                <w:b/>
                <w:bCs/>
                <w:lang w:val="ro-RO"/>
              </w:rPr>
              <w:t>ata</w:t>
            </w:r>
            <w:r w:rsidRPr="00857CDA">
              <w:rPr>
                <w:b/>
                <w:bCs/>
                <w:lang w:val="ro-RO"/>
              </w:rPr>
              <w:t xml:space="preserve"> d</w:t>
            </w:r>
            <w:r w:rsidR="000630A6" w:rsidRPr="00857CDA">
              <w:rPr>
                <w:b/>
                <w:bCs/>
                <w:lang w:val="ro-RO"/>
              </w:rPr>
              <w:t>e a</w:t>
            </w:r>
            <w:r w:rsidRPr="00857CDA">
              <w:rPr>
                <w:b/>
                <w:bCs/>
                <w:lang w:val="ro-RO"/>
              </w:rPr>
              <w:t>plica</w:t>
            </w:r>
            <w:r w:rsidR="000630A6" w:rsidRPr="00857CDA">
              <w:rPr>
                <w:b/>
                <w:bCs/>
                <w:lang w:val="ro-RO"/>
              </w:rPr>
              <w:t>re</w:t>
            </w:r>
          </w:p>
        </w:tc>
        <w:tc>
          <w:tcPr>
            <w:tcW w:w="1276" w:type="dxa"/>
            <w:shd w:val="clear" w:color="auto" w:fill="auto"/>
            <w:vAlign w:val="center"/>
          </w:tcPr>
          <w:p w:rsidR="001A0EB0" w:rsidRPr="00857CDA" w:rsidRDefault="001A0EB0" w:rsidP="000630A6">
            <w:pPr>
              <w:keepNext/>
              <w:keepLines/>
              <w:ind w:left="44"/>
              <w:jc w:val="center"/>
              <w:rPr>
                <w:b/>
                <w:bCs/>
                <w:lang w:val="ro-RO"/>
              </w:rPr>
            </w:pPr>
            <w:r w:rsidRPr="00857CDA">
              <w:rPr>
                <w:b/>
                <w:bCs/>
                <w:lang w:val="ro-RO"/>
              </w:rPr>
              <w:t>P</w:t>
            </w:r>
            <w:r w:rsidR="000630A6" w:rsidRPr="00857CDA">
              <w:rPr>
                <w:b/>
                <w:bCs/>
                <w:lang w:val="ro-RO"/>
              </w:rPr>
              <w:t>e</w:t>
            </w:r>
            <w:r w:rsidRPr="00857CDA">
              <w:rPr>
                <w:b/>
                <w:bCs/>
                <w:lang w:val="ro-RO"/>
              </w:rPr>
              <w:t>rio</w:t>
            </w:r>
            <w:r w:rsidR="000630A6" w:rsidRPr="00857CDA">
              <w:rPr>
                <w:b/>
                <w:bCs/>
                <w:lang w:val="ro-RO"/>
              </w:rPr>
              <w:t>a</w:t>
            </w:r>
            <w:r w:rsidRPr="00857CDA">
              <w:rPr>
                <w:b/>
                <w:bCs/>
                <w:lang w:val="ro-RO"/>
              </w:rPr>
              <w:t>d</w:t>
            </w:r>
            <w:r w:rsidR="000630A6" w:rsidRPr="00857CDA">
              <w:rPr>
                <w:b/>
                <w:bCs/>
                <w:lang w:val="ro-RO"/>
              </w:rPr>
              <w:t>a</w:t>
            </w:r>
            <w:r w:rsidRPr="00857CDA">
              <w:rPr>
                <w:b/>
                <w:bCs/>
                <w:lang w:val="ro-RO"/>
              </w:rPr>
              <w:t xml:space="preserve"> d</w:t>
            </w:r>
            <w:r w:rsidR="000630A6" w:rsidRPr="00857CDA">
              <w:rPr>
                <w:b/>
                <w:bCs/>
                <w:lang w:val="ro-RO"/>
              </w:rPr>
              <w:t>e o</w:t>
            </w:r>
            <w:r w:rsidRPr="00857CDA">
              <w:rPr>
                <w:b/>
                <w:bCs/>
                <w:lang w:val="ro-RO"/>
              </w:rPr>
              <w:t>bserva</w:t>
            </w:r>
            <w:r w:rsidR="000630A6" w:rsidRPr="00857CDA">
              <w:rPr>
                <w:b/>
                <w:bCs/>
                <w:lang w:val="ro-RO"/>
              </w:rPr>
              <w:t>ție</w:t>
            </w:r>
          </w:p>
        </w:tc>
        <w:tc>
          <w:tcPr>
            <w:tcW w:w="4246" w:type="dxa"/>
            <w:shd w:val="clear" w:color="auto" w:fill="auto"/>
            <w:vAlign w:val="center"/>
          </w:tcPr>
          <w:p w:rsidR="001A0EB0" w:rsidRPr="00857CDA" w:rsidRDefault="001A0EB0" w:rsidP="000630A6">
            <w:pPr>
              <w:keepNext/>
              <w:keepLines/>
              <w:jc w:val="center"/>
              <w:rPr>
                <w:b/>
                <w:bCs/>
                <w:lang w:val="ro-RO"/>
              </w:rPr>
            </w:pPr>
            <w:r w:rsidRPr="00857CDA">
              <w:rPr>
                <w:b/>
                <w:bCs/>
                <w:lang w:val="ro-RO"/>
              </w:rPr>
              <w:t>Efe</w:t>
            </w:r>
            <w:r w:rsidR="000630A6" w:rsidRPr="00857CDA">
              <w:rPr>
                <w:b/>
                <w:bCs/>
                <w:lang w:val="ro-RO"/>
              </w:rPr>
              <w:t>c</w:t>
            </w:r>
            <w:r w:rsidRPr="00857CDA">
              <w:rPr>
                <w:b/>
                <w:bCs/>
                <w:lang w:val="ro-RO"/>
              </w:rPr>
              <w:t>t</w:t>
            </w:r>
          </w:p>
        </w:tc>
      </w:tr>
      <w:tr w:rsidR="00A074FC" w:rsidRPr="00857CDA" w:rsidTr="00467F1D">
        <w:trPr>
          <w:cantSplit/>
          <w:jc w:val="center"/>
        </w:trPr>
        <w:tc>
          <w:tcPr>
            <w:tcW w:w="992" w:type="dxa"/>
            <w:shd w:val="clear" w:color="auto" w:fill="auto"/>
          </w:tcPr>
          <w:p w:rsidR="001A0EB0" w:rsidRPr="00857CDA" w:rsidRDefault="001A0EB0" w:rsidP="006201FD">
            <w:pPr>
              <w:keepNext/>
              <w:keepLines/>
              <w:jc w:val="center"/>
              <w:rPr>
                <w:lang w:val="ro-RO"/>
              </w:rPr>
            </w:pPr>
            <w:r w:rsidRPr="00857CDA">
              <w:rPr>
                <w:lang w:val="ro-RO"/>
              </w:rPr>
              <w:t>I</w:t>
            </w:r>
          </w:p>
        </w:tc>
        <w:tc>
          <w:tcPr>
            <w:tcW w:w="1276" w:type="dxa"/>
            <w:shd w:val="clear" w:color="auto" w:fill="auto"/>
          </w:tcPr>
          <w:p w:rsidR="001A0EB0" w:rsidRPr="00857CDA" w:rsidRDefault="001A0EB0" w:rsidP="006201FD">
            <w:pPr>
              <w:keepNext/>
              <w:keepLines/>
              <w:ind w:left="27"/>
              <w:jc w:val="center"/>
              <w:rPr>
                <w:lang w:val="ro-RO"/>
              </w:rPr>
            </w:pPr>
            <w:r w:rsidRPr="00857CDA">
              <w:rPr>
                <w:lang w:val="ro-RO"/>
              </w:rPr>
              <w:t>≤ 3 min</w:t>
            </w:r>
          </w:p>
        </w:tc>
        <w:tc>
          <w:tcPr>
            <w:tcW w:w="1276" w:type="dxa"/>
            <w:shd w:val="clear" w:color="auto" w:fill="auto"/>
          </w:tcPr>
          <w:p w:rsidR="001A0EB0" w:rsidRPr="00857CDA" w:rsidRDefault="001A0EB0" w:rsidP="006201FD">
            <w:pPr>
              <w:keepNext/>
              <w:keepLines/>
              <w:ind w:left="44"/>
              <w:jc w:val="center"/>
              <w:rPr>
                <w:lang w:val="ro-RO"/>
              </w:rPr>
            </w:pPr>
            <w:r w:rsidRPr="00857CDA">
              <w:rPr>
                <w:lang w:val="ro-RO"/>
              </w:rPr>
              <w:t>≤ 60 min</w:t>
            </w:r>
          </w:p>
        </w:tc>
        <w:tc>
          <w:tcPr>
            <w:tcW w:w="4246" w:type="dxa"/>
            <w:shd w:val="clear" w:color="auto" w:fill="auto"/>
          </w:tcPr>
          <w:p w:rsidR="001A0EB0" w:rsidRPr="00857CDA" w:rsidRDefault="00744F8A" w:rsidP="00744F8A">
            <w:pPr>
              <w:keepNext/>
              <w:keepLines/>
              <w:rPr>
                <w:b/>
                <w:lang w:val="ro-RO"/>
              </w:rPr>
            </w:pPr>
            <w:r w:rsidRPr="00857CDA">
              <w:rPr>
                <w:lang w:val="ro-RO"/>
              </w:rPr>
              <w:t>Distrugerea țesutului cutanat intact</w:t>
            </w:r>
          </w:p>
        </w:tc>
      </w:tr>
      <w:tr w:rsidR="00A074FC" w:rsidRPr="00857CDA" w:rsidTr="00467F1D">
        <w:trPr>
          <w:cantSplit/>
          <w:jc w:val="center"/>
        </w:trPr>
        <w:tc>
          <w:tcPr>
            <w:tcW w:w="992" w:type="dxa"/>
            <w:shd w:val="clear" w:color="auto" w:fill="auto"/>
          </w:tcPr>
          <w:p w:rsidR="001A0EB0" w:rsidRPr="00857CDA" w:rsidRDefault="001A0EB0" w:rsidP="006201FD">
            <w:pPr>
              <w:keepNext/>
              <w:keepLines/>
              <w:jc w:val="center"/>
              <w:rPr>
                <w:lang w:val="ro-RO"/>
              </w:rPr>
            </w:pPr>
            <w:r w:rsidRPr="00857CDA">
              <w:rPr>
                <w:lang w:val="ro-RO"/>
              </w:rPr>
              <w:t>II</w:t>
            </w:r>
          </w:p>
        </w:tc>
        <w:tc>
          <w:tcPr>
            <w:tcW w:w="1276" w:type="dxa"/>
            <w:shd w:val="clear" w:color="auto" w:fill="auto"/>
          </w:tcPr>
          <w:p w:rsidR="001A0EB0" w:rsidRPr="00857CDA" w:rsidRDefault="001A0EB0" w:rsidP="006201FD">
            <w:pPr>
              <w:keepNext/>
              <w:keepLines/>
              <w:ind w:left="27"/>
              <w:jc w:val="center"/>
              <w:rPr>
                <w:lang w:val="ro-RO"/>
              </w:rPr>
            </w:pPr>
            <w:r w:rsidRPr="00857CDA">
              <w:rPr>
                <w:lang w:val="ro-RO"/>
              </w:rPr>
              <w:t>&gt; 3 min ≤ 1 h</w:t>
            </w:r>
          </w:p>
        </w:tc>
        <w:tc>
          <w:tcPr>
            <w:tcW w:w="1276" w:type="dxa"/>
            <w:shd w:val="clear" w:color="auto" w:fill="auto"/>
          </w:tcPr>
          <w:p w:rsidR="001A0EB0" w:rsidRPr="00857CDA" w:rsidRDefault="001A0EB0" w:rsidP="006201FD">
            <w:pPr>
              <w:keepNext/>
              <w:keepLines/>
              <w:ind w:left="44"/>
              <w:jc w:val="center"/>
              <w:rPr>
                <w:lang w:val="ro-RO"/>
              </w:rPr>
            </w:pPr>
            <w:r w:rsidRPr="00857CDA">
              <w:rPr>
                <w:lang w:val="ro-RO"/>
              </w:rPr>
              <w:t>≤ 14 d</w:t>
            </w:r>
          </w:p>
        </w:tc>
        <w:tc>
          <w:tcPr>
            <w:tcW w:w="4246" w:type="dxa"/>
            <w:shd w:val="clear" w:color="auto" w:fill="auto"/>
          </w:tcPr>
          <w:p w:rsidR="001A0EB0" w:rsidRPr="00857CDA" w:rsidRDefault="00744F8A" w:rsidP="00744F8A">
            <w:pPr>
              <w:keepNext/>
              <w:keepLines/>
              <w:rPr>
                <w:lang w:val="ro-RO"/>
              </w:rPr>
            </w:pPr>
            <w:r w:rsidRPr="00857CDA">
              <w:rPr>
                <w:lang w:val="ro-RO"/>
              </w:rPr>
              <w:t>Distrugerea țesutului cutanat intact</w:t>
            </w:r>
          </w:p>
        </w:tc>
      </w:tr>
      <w:tr w:rsidR="00A074FC" w:rsidRPr="00857CDA" w:rsidTr="00467F1D">
        <w:trPr>
          <w:cantSplit/>
          <w:trHeight w:val="167"/>
          <w:jc w:val="center"/>
        </w:trPr>
        <w:tc>
          <w:tcPr>
            <w:tcW w:w="992" w:type="dxa"/>
            <w:shd w:val="clear" w:color="auto" w:fill="auto"/>
          </w:tcPr>
          <w:p w:rsidR="001A0EB0" w:rsidRPr="00857CDA" w:rsidRDefault="001A0EB0" w:rsidP="006201FD">
            <w:pPr>
              <w:keepNext/>
              <w:keepLines/>
              <w:jc w:val="center"/>
              <w:rPr>
                <w:lang w:val="ro-RO"/>
              </w:rPr>
            </w:pPr>
            <w:r w:rsidRPr="00857CDA">
              <w:rPr>
                <w:lang w:val="ro-RO"/>
              </w:rPr>
              <w:t>III</w:t>
            </w:r>
          </w:p>
        </w:tc>
        <w:tc>
          <w:tcPr>
            <w:tcW w:w="1276" w:type="dxa"/>
            <w:shd w:val="clear" w:color="auto" w:fill="auto"/>
          </w:tcPr>
          <w:p w:rsidR="001A0EB0" w:rsidRPr="00857CDA" w:rsidRDefault="001A0EB0" w:rsidP="006201FD">
            <w:pPr>
              <w:keepNext/>
              <w:keepLines/>
              <w:ind w:left="27"/>
              <w:jc w:val="center"/>
              <w:rPr>
                <w:lang w:val="ro-RO"/>
              </w:rPr>
            </w:pPr>
            <w:r w:rsidRPr="00857CDA">
              <w:rPr>
                <w:lang w:val="ro-RO"/>
              </w:rPr>
              <w:t>&gt; 1 h ≤ 4 h</w:t>
            </w:r>
          </w:p>
        </w:tc>
        <w:tc>
          <w:tcPr>
            <w:tcW w:w="1276" w:type="dxa"/>
            <w:shd w:val="clear" w:color="auto" w:fill="auto"/>
          </w:tcPr>
          <w:p w:rsidR="001A0EB0" w:rsidRPr="00857CDA" w:rsidRDefault="001A0EB0" w:rsidP="006201FD">
            <w:pPr>
              <w:keepNext/>
              <w:keepLines/>
              <w:ind w:left="44"/>
              <w:jc w:val="center"/>
              <w:rPr>
                <w:lang w:val="ro-RO"/>
              </w:rPr>
            </w:pPr>
            <w:r w:rsidRPr="00857CDA">
              <w:rPr>
                <w:lang w:val="ro-RO"/>
              </w:rPr>
              <w:t>≤ 14 d</w:t>
            </w:r>
          </w:p>
        </w:tc>
        <w:tc>
          <w:tcPr>
            <w:tcW w:w="4246" w:type="dxa"/>
            <w:shd w:val="clear" w:color="auto" w:fill="auto"/>
          </w:tcPr>
          <w:p w:rsidR="001A0EB0" w:rsidRPr="00857CDA" w:rsidRDefault="00744F8A" w:rsidP="00744F8A">
            <w:pPr>
              <w:keepNext/>
              <w:keepLines/>
              <w:rPr>
                <w:lang w:val="ro-RO"/>
              </w:rPr>
            </w:pPr>
            <w:r w:rsidRPr="00857CDA">
              <w:rPr>
                <w:lang w:val="ro-RO"/>
              </w:rPr>
              <w:t>Distrugerea țesutului cutanat intact</w:t>
            </w:r>
          </w:p>
        </w:tc>
      </w:tr>
      <w:tr w:rsidR="00A074FC" w:rsidRPr="0079052F" w:rsidTr="00467F1D">
        <w:trPr>
          <w:cantSplit/>
          <w:jc w:val="center"/>
        </w:trPr>
        <w:tc>
          <w:tcPr>
            <w:tcW w:w="992" w:type="dxa"/>
            <w:shd w:val="clear" w:color="auto" w:fill="auto"/>
          </w:tcPr>
          <w:p w:rsidR="001A0EB0" w:rsidRPr="00857CDA" w:rsidRDefault="001A0EB0" w:rsidP="006201FD">
            <w:pPr>
              <w:keepNext/>
              <w:keepLines/>
              <w:jc w:val="center"/>
              <w:rPr>
                <w:lang w:val="ro-RO"/>
              </w:rPr>
            </w:pPr>
            <w:r w:rsidRPr="00857CDA">
              <w:rPr>
                <w:lang w:val="ro-RO"/>
              </w:rPr>
              <w:t>III</w:t>
            </w:r>
          </w:p>
        </w:tc>
        <w:tc>
          <w:tcPr>
            <w:tcW w:w="1276" w:type="dxa"/>
            <w:shd w:val="clear" w:color="auto" w:fill="auto"/>
          </w:tcPr>
          <w:p w:rsidR="001A0EB0" w:rsidRPr="00857CDA" w:rsidRDefault="001A0EB0" w:rsidP="006201FD">
            <w:pPr>
              <w:keepNext/>
              <w:keepLines/>
              <w:ind w:left="27"/>
              <w:jc w:val="center"/>
              <w:rPr>
                <w:lang w:val="ro-RO"/>
              </w:rPr>
            </w:pPr>
            <w:r w:rsidRPr="00857CDA">
              <w:rPr>
                <w:lang w:val="ro-RO"/>
              </w:rPr>
              <w:t>-</w:t>
            </w:r>
          </w:p>
        </w:tc>
        <w:tc>
          <w:tcPr>
            <w:tcW w:w="1276" w:type="dxa"/>
            <w:shd w:val="clear" w:color="auto" w:fill="auto"/>
          </w:tcPr>
          <w:p w:rsidR="001A0EB0" w:rsidRPr="00857CDA" w:rsidRDefault="001A0EB0" w:rsidP="006201FD">
            <w:pPr>
              <w:keepNext/>
              <w:keepLines/>
              <w:ind w:left="44"/>
              <w:jc w:val="center"/>
              <w:rPr>
                <w:lang w:val="ro-RO"/>
              </w:rPr>
            </w:pPr>
            <w:r w:rsidRPr="00857CDA">
              <w:rPr>
                <w:lang w:val="ro-RO"/>
              </w:rPr>
              <w:t>-</w:t>
            </w:r>
          </w:p>
        </w:tc>
        <w:tc>
          <w:tcPr>
            <w:tcW w:w="4246" w:type="dxa"/>
            <w:shd w:val="clear" w:color="auto" w:fill="auto"/>
          </w:tcPr>
          <w:p w:rsidR="001A0EB0" w:rsidRPr="00857CDA" w:rsidRDefault="00744F8A" w:rsidP="00043305">
            <w:pPr>
              <w:keepNext/>
              <w:keepLines/>
              <w:rPr>
                <w:lang w:val="ro-RO"/>
              </w:rPr>
            </w:pPr>
            <w:r w:rsidRPr="00857CDA">
              <w:rPr>
                <w:lang w:val="ro-RO"/>
              </w:rPr>
              <w:t>Viteza de coro</w:t>
            </w:r>
            <w:r w:rsidR="00043305" w:rsidRPr="00857CDA">
              <w:rPr>
                <w:lang w:val="ro-RO"/>
              </w:rPr>
              <w:t>dare</w:t>
            </w:r>
            <w:r w:rsidRPr="00857CDA">
              <w:rPr>
                <w:lang w:val="ro-RO"/>
              </w:rPr>
              <w:t xml:space="preserve"> fie pe suprafeţe de oţel, fie de aluminiu, care depăşeşte 6,25 mm pe an la o temperatură de încercare de 55 °C, atunci când încercările sunt realizate pe aceste două materiale </w:t>
            </w:r>
          </w:p>
        </w:tc>
      </w:tr>
    </w:tbl>
    <w:p w:rsidR="00795F92" w:rsidRPr="00857CDA" w:rsidRDefault="00B36C1B" w:rsidP="00795F92">
      <w:pPr>
        <w:spacing w:before="120" w:after="120" w:line="240" w:lineRule="auto"/>
        <w:ind w:left="2268" w:right="1134" w:hanging="1134"/>
        <w:jc w:val="both"/>
        <w:rPr>
          <w:i/>
          <w:lang w:val="ro-RO"/>
        </w:rPr>
      </w:pPr>
      <w:r w:rsidRPr="00857CDA">
        <w:rPr>
          <w:lang w:val="ro-RO"/>
        </w:rPr>
        <w:t>2.2.8.1.6</w:t>
      </w:r>
      <w:r w:rsidR="001A0EB0" w:rsidRPr="00857CDA">
        <w:rPr>
          <w:lang w:val="ro-RO"/>
        </w:rPr>
        <w:tab/>
      </w:r>
      <w:r w:rsidR="00795F92" w:rsidRPr="00857CDA">
        <w:rPr>
          <w:i/>
          <w:lang w:val="ro-RO"/>
        </w:rPr>
        <w:t xml:space="preserve">Metode alternative pentru alocarea grupelor de ambalare pentru amestecuri - Abordare în etape </w:t>
      </w:r>
    </w:p>
    <w:p w:rsidR="001A0EB0" w:rsidRPr="00857CDA" w:rsidRDefault="00B36C1B" w:rsidP="001A0EB0">
      <w:pPr>
        <w:spacing w:before="120" w:after="120" w:line="240" w:lineRule="auto"/>
        <w:ind w:left="1134" w:right="1134"/>
        <w:jc w:val="both"/>
        <w:rPr>
          <w:lang w:val="ro-RO"/>
        </w:rPr>
      </w:pPr>
      <w:r w:rsidRPr="00857CDA">
        <w:rPr>
          <w:bCs/>
          <w:lang w:val="ro-RO"/>
        </w:rPr>
        <w:t>2.2.8.1.6.1</w:t>
      </w:r>
      <w:r w:rsidR="001A0EB0" w:rsidRPr="00857CDA">
        <w:rPr>
          <w:bCs/>
          <w:lang w:val="ro-RO"/>
        </w:rPr>
        <w:tab/>
      </w:r>
      <w:r w:rsidR="001A0EB0" w:rsidRPr="00857CDA">
        <w:rPr>
          <w:lang w:val="ro-RO"/>
        </w:rPr>
        <w:t>Dispo</w:t>
      </w:r>
      <w:r w:rsidR="00795F92" w:rsidRPr="00857CDA">
        <w:rPr>
          <w:lang w:val="ro-RO"/>
        </w:rPr>
        <w:t>ziții</w:t>
      </w:r>
      <w:r w:rsidR="001A0EB0" w:rsidRPr="00857CDA">
        <w:rPr>
          <w:lang w:val="ro-RO"/>
        </w:rPr>
        <w:t xml:space="preserve"> g</w:t>
      </w:r>
      <w:r w:rsidR="00795F92" w:rsidRPr="00857CDA">
        <w:rPr>
          <w:lang w:val="ro-RO"/>
        </w:rPr>
        <w:t>e</w:t>
      </w:r>
      <w:r w:rsidR="001A0EB0" w:rsidRPr="00857CDA">
        <w:rPr>
          <w:lang w:val="ro-RO"/>
        </w:rPr>
        <w:t>n</w:t>
      </w:r>
      <w:r w:rsidR="00795F92" w:rsidRPr="00857CDA">
        <w:rPr>
          <w:lang w:val="ro-RO"/>
        </w:rPr>
        <w:t>e</w:t>
      </w:r>
      <w:r w:rsidR="001A0EB0" w:rsidRPr="00857CDA">
        <w:rPr>
          <w:lang w:val="ro-RO"/>
        </w:rPr>
        <w:t>rale</w:t>
      </w:r>
    </w:p>
    <w:p w:rsidR="007E4212" w:rsidRPr="00857CDA" w:rsidRDefault="00D353A3" w:rsidP="00041CEF">
      <w:pPr>
        <w:spacing w:before="120" w:after="120" w:line="240" w:lineRule="auto"/>
        <w:ind w:left="2268" w:right="1134" w:hanging="1134"/>
        <w:jc w:val="both"/>
        <w:rPr>
          <w:lang w:val="ro-RO"/>
        </w:rPr>
      </w:pPr>
      <w:r w:rsidRPr="00857CDA">
        <w:rPr>
          <w:lang w:val="ro-RO"/>
        </w:rPr>
        <w:tab/>
      </w:r>
      <w:r w:rsidRPr="00857CDA">
        <w:rPr>
          <w:lang w:val="ro-RO"/>
        </w:rPr>
        <w:tab/>
      </w:r>
      <w:r w:rsidR="00795F92" w:rsidRPr="00857CDA">
        <w:rPr>
          <w:lang w:val="ro-RO"/>
        </w:rPr>
        <w:t xml:space="preserve">Pentru clasificarea amestecurile și alocarea acestora la o grupă de ambalare, trebuie să se obțină sau să se interpreteze informații care permit aplicarea criteriilor. În clasificarea și </w:t>
      </w:r>
      <w:r w:rsidR="00041CEF" w:rsidRPr="00857CDA">
        <w:rPr>
          <w:lang w:val="ro-RO"/>
        </w:rPr>
        <w:t>alocarea</w:t>
      </w:r>
      <w:r w:rsidR="00795F92" w:rsidRPr="00857CDA">
        <w:rPr>
          <w:lang w:val="ro-RO"/>
        </w:rPr>
        <w:t xml:space="preserve"> grup</w:t>
      </w:r>
      <w:r w:rsidR="00041CEF" w:rsidRPr="00857CDA">
        <w:rPr>
          <w:lang w:val="ro-RO"/>
        </w:rPr>
        <w:t>e</w:t>
      </w:r>
      <w:r w:rsidR="00795F92" w:rsidRPr="00857CDA">
        <w:rPr>
          <w:lang w:val="ro-RO"/>
        </w:rPr>
        <w:t xml:space="preserve">lor de ambalare, se </w:t>
      </w:r>
      <w:r w:rsidR="00041CEF" w:rsidRPr="00857CDA">
        <w:rPr>
          <w:lang w:val="ro-RO"/>
        </w:rPr>
        <w:t xml:space="preserve">procedează în etape </w:t>
      </w:r>
      <w:r w:rsidR="00795F92" w:rsidRPr="00857CDA">
        <w:rPr>
          <w:lang w:val="ro-RO"/>
        </w:rPr>
        <w:t xml:space="preserve">în </w:t>
      </w:r>
      <w:r w:rsidR="00041CEF" w:rsidRPr="00857CDA">
        <w:rPr>
          <w:lang w:val="ro-RO"/>
        </w:rPr>
        <w:t>funcție de</w:t>
      </w:r>
      <w:r w:rsidR="00795F92" w:rsidRPr="00857CDA">
        <w:rPr>
          <w:lang w:val="ro-RO"/>
        </w:rPr>
        <w:t xml:space="preserve"> informațiile disponibile pentru amestec ca atare, pentru amestecuri similare sau pentru </w:t>
      </w:r>
      <w:r w:rsidR="00041CEF" w:rsidRPr="00857CDA">
        <w:rPr>
          <w:lang w:val="ro-RO"/>
        </w:rPr>
        <w:t>ingredienții săi</w:t>
      </w:r>
      <w:r w:rsidR="00795F92" w:rsidRPr="00857CDA">
        <w:rPr>
          <w:lang w:val="ro-RO"/>
        </w:rPr>
        <w:t xml:space="preserve">. Procesul este </w:t>
      </w:r>
      <w:r w:rsidR="00041CEF" w:rsidRPr="00857CDA">
        <w:rPr>
          <w:lang w:val="ro-RO"/>
        </w:rPr>
        <w:t>re</w:t>
      </w:r>
      <w:r w:rsidR="00795F92" w:rsidRPr="00857CDA">
        <w:rPr>
          <w:lang w:val="ro-RO"/>
        </w:rPr>
        <w:t xml:space="preserve">prezentat schematic în </w:t>
      </w:r>
      <w:r w:rsidR="00041CEF" w:rsidRPr="00857CDA">
        <w:rPr>
          <w:lang w:val="ro-RO"/>
        </w:rPr>
        <w:t>f</w:t>
      </w:r>
      <w:r w:rsidR="00795F92" w:rsidRPr="00857CDA">
        <w:rPr>
          <w:lang w:val="ro-RO"/>
        </w:rPr>
        <w:t>igura 2.2.8.1.6.1.</w:t>
      </w:r>
    </w:p>
    <w:p w:rsidR="001A0EB0" w:rsidRPr="00857CDA" w:rsidRDefault="001A0EB0" w:rsidP="001A0EB0">
      <w:pPr>
        <w:spacing w:before="120" w:after="120" w:line="240" w:lineRule="auto"/>
        <w:ind w:left="1134" w:right="1134"/>
        <w:jc w:val="center"/>
        <w:rPr>
          <w:b/>
          <w:lang w:val="ro-RO"/>
        </w:rPr>
      </w:pPr>
      <w:r w:rsidRPr="00857CDA">
        <w:rPr>
          <w:b/>
          <w:lang w:val="ro-RO"/>
        </w:rPr>
        <w:t>Figur</w:t>
      </w:r>
      <w:r w:rsidR="00F22312" w:rsidRPr="00857CDA">
        <w:rPr>
          <w:b/>
          <w:lang w:val="ro-RO"/>
        </w:rPr>
        <w:t>a</w:t>
      </w:r>
      <w:r w:rsidRPr="00857CDA">
        <w:rPr>
          <w:b/>
          <w:lang w:val="ro-RO"/>
        </w:rPr>
        <w:t xml:space="preserve"> </w:t>
      </w:r>
      <w:r w:rsidR="00B36C1B" w:rsidRPr="00857CDA">
        <w:rPr>
          <w:b/>
          <w:lang w:val="ro-RO"/>
        </w:rPr>
        <w:t>2.2.8.1.6.1</w:t>
      </w:r>
      <w:r w:rsidR="00091658" w:rsidRPr="00857CDA">
        <w:rPr>
          <w:lang w:val="ro-RO"/>
        </w:rPr>
        <w:t>:</w:t>
      </w:r>
      <w:r w:rsidRPr="00857CDA">
        <w:rPr>
          <w:b/>
          <w:lang w:val="ro-RO"/>
        </w:rPr>
        <w:t xml:space="preserve"> A</w:t>
      </w:r>
      <w:r w:rsidR="00041CEF" w:rsidRPr="00857CDA">
        <w:rPr>
          <w:b/>
          <w:lang w:val="ro-RO"/>
        </w:rPr>
        <w:t>bordare în etape</w:t>
      </w:r>
      <w:r w:rsidRPr="00857CDA">
        <w:rPr>
          <w:b/>
          <w:lang w:val="ro-RO"/>
        </w:rPr>
        <w:t xml:space="preserve"> </w:t>
      </w:r>
      <w:r w:rsidR="00991390" w:rsidRPr="00857CDA">
        <w:rPr>
          <w:b/>
          <w:lang w:val="ro-RO"/>
        </w:rPr>
        <w:t>pentru</w:t>
      </w:r>
      <w:r w:rsidRPr="00857CDA">
        <w:rPr>
          <w:b/>
          <w:lang w:val="ro-RO"/>
        </w:rPr>
        <w:t xml:space="preserve"> clasifica</w:t>
      </w:r>
      <w:r w:rsidR="00041CEF" w:rsidRPr="00857CDA">
        <w:rPr>
          <w:b/>
          <w:lang w:val="ro-RO"/>
        </w:rPr>
        <w:t>rea</w:t>
      </w:r>
      <w:r w:rsidR="004C27AD" w:rsidRPr="00857CDA">
        <w:rPr>
          <w:b/>
          <w:lang w:val="ro-RO"/>
        </w:rPr>
        <w:t xml:space="preserve"> și </w:t>
      </w:r>
      <w:r w:rsidRPr="00857CDA">
        <w:rPr>
          <w:b/>
          <w:lang w:val="ro-RO"/>
        </w:rPr>
        <w:t>a</w:t>
      </w:r>
      <w:r w:rsidR="00041CEF" w:rsidRPr="00857CDA">
        <w:rPr>
          <w:b/>
          <w:lang w:val="ro-RO"/>
        </w:rPr>
        <w:t>locarea amestecurilor corosive la</w:t>
      </w:r>
      <w:r w:rsidRPr="00857CDA">
        <w:rPr>
          <w:b/>
          <w:lang w:val="ro-RO"/>
        </w:rPr>
        <w:t xml:space="preserve"> </w:t>
      </w:r>
      <w:r w:rsidR="00121893" w:rsidRPr="00857CDA">
        <w:rPr>
          <w:b/>
          <w:lang w:val="ro-RO"/>
        </w:rPr>
        <w:t>grupe de ambalare</w:t>
      </w:r>
    </w:p>
    <w:p w:rsidR="007F7E4E" w:rsidRPr="00857CDA" w:rsidRDefault="00370A57" w:rsidP="007E7FB5">
      <w:pPr>
        <w:spacing w:before="120" w:after="120" w:line="240" w:lineRule="auto"/>
        <w:ind w:left="851" w:right="1134"/>
        <w:jc w:val="center"/>
        <w:rPr>
          <w:lang w:val="ro-RO"/>
        </w:rPr>
      </w:pPr>
      <w:r w:rsidRPr="00857CDA">
        <w:rPr>
          <w:noProof/>
          <w:lang w:val="ro-RO" w:eastAsia="ro-RO"/>
        </w:rPr>
        <w:drawing>
          <wp:inline distT="0" distB="0" distL="0" distR="0">
            <wp:extent cx="5322394" cy="2442788"/>
            <wp:effectExtent l="1905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l="16084" t="21724" r="17922" b="24483"/>
                    <a:stretch>
                      <a:fillRect/>
                    </a:stretch>
                  </pic:blipFill>
                  <pic:spPr bwMode="auto">
                    <a:xfrm>
                      <a:off x="0" y="0"/>
                      <a:ext cx="5352769" cy="2456729"/>
                    </a:xfrm>
                    <a:prstGeom prst="rect">
                      <a:avLst/>
                    </a:prstGeom>
                    <a:noFill/>
                    <a:ln w="9525">
                      <a:noFill/>
                      <a:miter lim="800000"/>
                      <a:headEnd/>
                      <a:tailEnd/>
                    </a:ln>
                  </pic:spPr>
                </pic:pic>
              </a:graphicData>
            </a:graphic>
          </wp:inline>
        </w:drawing>
      </w:r>
    </w:p>
    <w:p w:rsidR="00B84E56" w:rsidRPr="00857CDA" w:rsidRDefault="00B84E56" w:rsidP="001A0EB0">
      <w:pPr>
        <w:spacing w:before="120" w:after="120" w:line="240" w:lineRule="auto"/>
        <w:ind w:left="1134" w:right="1134"/>
        <w:jc w:val="both"/>
        <w:rPr>
          <w:bCs/>
          <w:lang w:val="ro-RO"/>
        </w:rPr>
      </w:pPr>
    </w:p>
    <w:p w:rsidR="00B84E56" w:rsidRPr="00857CDA" w:rsidRDefault="00B84E56" w:rsidP="001A0EB0">
      <w:pPr>
        <w:spacing w:before="120" w:after="120" w:line="240" w:lineRule="auto"/>
        <w:ind w:left="1134" w:right="1134"/>
        <w:jc w:val="both"/>
        <w:rPr>
          <w:bCs/>
          <w:lang w:val="ro-RO"/>
        </w:rPr>
      </w:pPr>
    </w:p>
    <w:p w:rsidR="001A0EB0" w:rsidRPr="00857CDA" w:rsidRDefault="007F7E4E" w:rsidP="001A0EB0">
      <w:pPr>
        <w:spacing w:before="120" w:after="120" w:line="240" w:lineRule="auto"/>
        <w:ind w:left="1134" w:right="1134"/>
        <w:jc w:val="both"/>
        <w:rPr>
          <w:lang w:val="ro-RO"/>
        </w:rPr>
      </w:pPr>
      <w:r w:rsidRPr="00857CDA">
        <w:rPr>
          <w:bCs/>
          <w:lang w:val="ro-RO"/>
        </w:rPr>
        <w:lastRenderedPageBreak/>
        <w:t>2.2.8.1.6.2</w:t>
      </w:r>
      <w:r w:rsidR="001A0EB0" w:rsidRPr="00857CDA">
        <w:rPr>
          <w:lang w:val="ro-RO"/>
        </w:rPr>
        <w:tab/>
        <w:t>Princip</w:t>
      </w:r>
      <w:r w:rsidR="00041CEF" w:rsidRPr="00857CDA">
        <w:rPr>
          <w:lang w:val="ro-RO"/>
        </w:rPr>
        <w:t>iu</w:t>
      </w:r>
      <w:r w:rsidR="001A0EB0" w:rsidRPr="00857CDA">
        <w:rPr>
          <w:lang w:val="ro-RO"/>
        </w:rPr>
        <w:t xml:space="preserve"> </w:t>
      </w:r>
      <w:r w:rsidR="00467F1D" w:rsidRPr="00857CDA">
        <w:rPr>
          <w:lang w:val="ro-RO"/>
        </w:rPr>
        <w:t>corelării</w:t>
      </w:r>
    </w:p>
    <w:p w:rsidR="001A0EB0" w:rsidRPr="00857CDA" w:rsidRDefault="00D353A3" w:rsidP="0033015A">
      <w:pPr>
        <w:spacing w:before="120" w:after="120" w:line="240" w:lineRule="auto"/>
        <w:ind w:left="1134" w:right="1134"/>
        <w:jc w:val="both"/>
        <w:rPr>
          <w:lang w:val="ro-RO"/>
        </w:rPr>
      </w:pPr>
      <w:r w:rsidRPr="00857CDA">
        <w:rPr>
          <w:lang w:val="ro-RO"/>
        </w:rPr>
        <w:tab/>
      </w:r>
      <w:r w:rsidR="00EF351C" w:rsidRPr="00857CDA">
        <w:rPr>
          <w:lang w:val="ro-RO"/>
        </w:rPr>
        <w:t xml:space="preserve">În cazul în care amestecul în sine nu a fost încercat pentru a se determina potențialul său de corosiune a pielii, dar există suficiente date atât pentru ingredienții individuali, cât și pentru amestecurile similare încercate pentru a-l clasifica corespunzător și a-i aloca o grupă de ambalare, aceste date vor fi utilizate folosind principiile de extrapolare agreate. </w:t>
      </w:r>
      <w:r w:rsidR="0033015A" w:rsidRPr="00857CDA">
        <w:rPr>
          <w:lang w:val="ro-RO"/>
        </w:rPr>
        <w:t>În acest fel, procesul de clasificare utilizează la maximum datele disponibile pentru a caracteriza pericolul amestecului.</w:t>
      </w:r>
    </w:p>
    <w:p w:rsidR="00043305" w:rsidRPr="00857CDA" w:rsidRDefault="001A0EB0" w:rsidP="001A0EB0">
      <w:pPr>
        <w:spacing w:before="120" w:after="120" w:line="240" w:lineRule="auto"/>
        <w:ind w:left="2268" w:right="1134"/>
        <w:jc w:val="both"/>
        <w:rPr>
          <w:lang w:val="ro-RO"/>
        </w:rPr>
      </w:pPr>
      <w:r w:rsidRPr="00857CDA">
        <w:rPr>
          <w:lang w:val="ro-RO"/>
        </w:rPr>
        <w:t>a)</w:t>
      </w:r>
      <w:r w:rsidRPr="00857CDA">
        <w:rPr>
          <w:lang w:val="ro-RO"/>
        </w:rPr>
        <w:tab/>
      </w:r>
      <w:r w:rsidR="00043305" w:rsidRPr="00857CDA">
        <w:rPr>
          <w:lang w:val="ro-RO"/>
        </w:rPr>
        <w:t>Diluarea: Dacă un amestec testat este diluat cu un diluant care nu îndeplinește criteriile de la clasa 8 și nu modifică grup</w:t>
      </w:r>
      <w:r w:rsidR="007D1956" w:rsidRPr="00857CDA">
        <w:rPr>
          <w:lang w:val="ro-RO"/>
        </w:rPr>
        <w:t>a</w:t>
      </w:r>
      <w:r w:rsidR="00043305" w:rsidRPr="00857CDA">
        <w:rPr>
          <w:lang w:val="ro-RO"/>
        </w:rPr>
        <w:t xml:space="preserve"> de ambalare a altor ingredienți, noul amestec diluat poate fi atribuit aceleiași grupe de ambalare ca amestecul inițial testat.</w:t>
      </w:r>
    </w:p>
    <w:p w:rsidR="00043305" w:rsidRPr="00857CDA" w:rsidRDefault="001A0EB0" w:rsidP="001A0EB0">
      <w:pPr>
        <w:spacing w:before="120" w:after="120" w:line="240" w:lineRule="auto"/>
        <w:ind w:left="2268" w:right="1134"/>
        <w:jc w:val="both"/>
        <w:rPr>
          <w:i/>
          <w:lang w:val="ro-RO"/>
        </w:rPr>
      </w:pPr>
      <w:r w:rsidRPr="00857CDA">
        <w:rPr>
          <w:b/>
          <w:i/>
          <w:lang w:val="ro-RO"/>
        </w:rPr>
        <w:t>NOT</w:t>
      </w:r>
      <w:r w:rsidR="007D1956" w:rsidRPr="00857CDA">
        <w:rPr>
          <w:b/>
          <w:i/>
          <w:lang w:val="ro-RO"/>
        </w:rPr>
        <w:t>Ă</w:t>
      </w:r>
      <w:r w:rsidRPr="00857CDA">
        <w:rPr>
          <w:b/>
          <w:i/>
          <w:lang w:val="ro-RO"/>
        </w:rPr>
        <w:t>:</w:t>
      </w:r>
      <w:r w:rsidRPr="00857CDA">
        <w:rPr>
          <w:i/>
          <w:lang w:val="ro-RO"/>
        </w:rPr>
        <w:t xml:space="preserve"> </w:t>
      </w:r>
      <w:r w:rsidRPr="00857CDA">
        <w:rPr>
          <w:i/>
          <w:lang w:val="ro-RO"/>
        </w:rPr>
        <w:tab/>
      </w:r>
      <w:r w:rsidR="00043305" w:rsidRPr="00857CDA">
        <w:rPr>
          <w:i/>
          <w:lang w:val="ro-RO"/>
        </w:rPr>
        <w:t>În unele cazuri, diluarea unui amestec sau a unei substanțe poate duce la creșterea proprietăților de corosi</w:t>
      </w:r>
      <w:r w:rsidR="00CB3A53" w:rsidRPr="00857CDA">
        <w:rPr>
          <w:i/>
          <w:lang w:val="ro-RO"/>
        </w:rPr>
        <w:t>v</w:t>
      </w:r>
      <w:r w:rsidR="00043305" w:rsidRPr="00857CDA">
        <w:rPr>
          <w:i/>
          <w:lang w:val="ro-RO"/>
        </w:rPr>
        <w:t>e. În acest caz, acest principiu al corelării nu poate fi utilizat.</w:t>
      </w:r>
    </w:p>
    <w:p w:rsidR="001A0EB0" w:rsidRPr="00857CDA" w:rsidRDefault="001A0EB0" w:rsidP="0049514A">
      <w:pPr>
        <w:spacing w:before="120" w:after="120" w:line="240" w:lineRule="auto"/>
        <w:ind w:left="2268" w:right="1134"/>
        <w:jc w:val="both"/>
        <w:rPr>
          <w:lang w:val="ro-RO"/>
        </w:rPr>
      </w:pPr>
      <w:r w:rsidRPr="00857CDA">
        <w:rPr>
          <w:lang w:val="ro-RO"/>
        </w:rPr>
        <w:t>b)</w:t>
      </w:r>
      <w:r w:rsidRPr="00857CDA">
        <w:rPr>
          <w:lang w:val="ro-RO"/>
        </w:rPr>
        <w:tab/>
      </w:r>
      <w:r w:rsidR="000A543C" w:rsidRPr="00857CDA">
        <w:rPr>
          <w:lang w:val="ro-RO"/>
        </w:rPr>
        <w:t>Caracteristicile lotului</w:t>
      </w:r>
      <w:r w:rsidR="008A7A99" w:rsidRPr="00857CDA">
        <w:rPr>
          <w:lang w:val="ro-RO"/>
        </w:rPr>
        <w:t xml:space="preserve"> de producție</w:t>
      </w:r>
      <w:r w:rsidR="000A543C" w:rsidRPr="00857CDA">
        <w:rPr>
          <w:lang w:val="ro-RO"/>
        </w:rPr>
        <w:t>: Puterea corosivă a</w:t>
      </w:r>
      <w:r w:rsidR="008A7A99" w:rsidRPr="00857CDA">
        <w:rPr>
          <w:lang w:val="ro-RO"/>
        </w:rPr>
        <w:t>supra</w:t>
      </w:r>
      <w:r w:rsidR="000A543C" w:rsidRPr="00857CDA">
        <w:rPr>
          <w:lang w:val="ro-RO"/>
        </w:rPr>
        <w:t xml:space="preserve"> pielii </w:t>
      </w:r>
      <w:r w:rsidR="007D1956" w:rsidRPr="00857CDA">
        <w:rPr>
          <w:lang w:val="ro-RO"/>
        </w:rPr>
        <w:t xml:space="preserve">al </w:t>
      </w:r>
      <w:r w:rsidR="000A543C" w:rsidRPr="00857CDA">
        <w:rPr>
          <w:lang w:val="ro-RO"/>
        </w:rPr>
        <w:t>unui lot de producție testat dintr-un amestec poate fi considerată în mod substanțial echivalentă cu cea a unui lot netestat al aceluiași produs comercial, atunci când este produs de sau sub controlul aceluiași producător, cu excepția cazului în care există motive să se creadă că există o variație semnificativă care ar fi influențat puterea coro</w:t>
      </w:r>
      <w:r w:rsidR="0049514A" w:rsidRPr="00857CDA">
        <w:rPr>
          <w:lang w:val="ro-RO"/>
        </w:rPr>
        <w:t>s</w:t>
      </w:r>
      <w:r w:rsidR="000A543C" w:rsidRPr="00857CDA">
        <w:rPr>
          <w:lang w:val="ro-RO"/>
        </w:rPr>
        <w:t>ivă a</w:t>
      </w:r>
      <w:r w:rsidR="0049514A" w:rsidRPr="00857CDA">
        <w:rPr>
          <w:lang w:val="ro-RO"/>
        </w:rPr>
        <w:t>supra</w:t>
      </w:r>
      <w:r w:rsidR="000A543C" w:rsidRPr="00857CDA">
        <w:rPr>
          <w:lang w:val="ro-RO"/>
        </w:rPr>
        <w:t xml:space="preserve"> pielii </w:t>
      </w:r>
      <w:r w:rsidR="0049514A" w:rsidRPr="00857CDA">
        <w:rPr>
          <w:lang w:val="ro-RO"/>
        </w:rPr>
        <w:t xml:space="preserve">a </w:t>
      </w:r>
      <w:r w:rsidR="000A543C" w:rsidRPr="00857CDA">
        <w:rPr>
          <w:lang w:val="ro-RO"/>
        </w:rPr>
        <w:t>lotului netestat. În acest caz, este necesară o nouă clasificare</w:t>
      </w:r>
      <w:r w:rsidR="009722DE" w:rsidRPr="00857CDA">
        <w:rPr>
          <w:lang w:val="ro-RO"/>
        </w:rPr>
        <w:t>;</w:t>
      </w:r>
    </w:p>
    <w:p w:rsidR="001A0EB0" w:rsidRPr="00857CDA" w:rsidRDefault="001A0EB0" w:rsidP="0049514A">
      <w:pPr>
        <w:spacing w:before="120" w:after="120" w:line="240" w:lineRule="auto"/>
        <w:ind w:left="2268" w:right="1134"/>
        <w:jc w:val="both"/>
        <w:rPr>
          <w:lang w:val="ro-RO"/>
        </w:rPr>
      </w:pPr>
      <w:r w:rsidRPr="00857CDA">
        <w:rPr>
          <w:lang w:val="ro-RO"/>
        </w:rPr>
        <w:t>c)</w:t>
      </w:r>
      <w:r w:rsidRPr="00857CDA">
        <w:rPr>
          <w:lang w:val="ro-RO"/>
        </w:rPr>
        <w:tab/>
        <w:t>Concentra</w:t>
      </w:r>
      <w:r w:rsidR="0049514A" w:rsidRPr="00857CDA">
        <w:rPr>
          <w:lang w:val="ro-RO"/>
        </w:rPr>
        <w:t>ția amestecurilor din</w:t>
      </w:r>
      <w:r w:rsidRPr="00857CDA">
        <w:rPr>
          <w:lang w:val="ro-RO"/>
        </w:rPr>
        <w:t xml:space="preserve"> </w:t>
      </w:r>
      <w:r w:rsidR="00217674" w:rsidRPr="00857CDA">
        <w:rPr>
          <w:lang w:val="ro-RO"/>
        </w:rPr>
        <w:t>grupa de ambalare</w:t>
      </w:r>
      <w:r w:rsidRPr="00857CDA">
        <w:rPr>
          <w:lang w:val="ro-RO"/>
        </w:rPr>
        <w:t xml:space="preserve"> I</w:t>
      </w:r>
      <w:r w:rsidR="00091658" w:rsidRPr="00857CDA">
        <w:rPr>
          <w:lang w:val="ro-RO"/>
        </w:rPr>
        <w:t>:</w:t>
      </w:r>
      <w:r w:rsidR="001A3B50" w:rsidRPr="00857CDA">
        <w:rPr>
          <w:lang w:val="ro-RO"/>
        </w:rPr>
        <w:t xml:space="preserve"> </w:t>
      </w:r>
      <w:r w:rsidR="0049514A" w:rsidRPr="00857CDA">
        <w:rPr>
          <w:lang w:val="ro-RO"/>
        </w:rPr>
        <w:t>Dacă un amestec testat îndeplinește criteriile de la grupa de ambalare I, în cazul în care concentrația este mărită, noul amestec concentrat netestat trebuie să fie atribuit grupei de ambalare I fără a fi supus unor teste suplimentare</w:t>
      </w:r>
      <w:r w:rsidR="009722DE" w:rsidRPr="00857CDA">
        <w:rPr>
          <w:lang w:val="ro-RO"/>
        </w:rPr>
        <w:t>;</w:t>
      </w:r>
    </w:p>
    <w:p w:rsidR="001A0EB0" w:rsidRPr="00857CDA" w:rsidRDefault="001A0EB0" w:rsidP="004A280F">
      <w:pPr>
        <w:spacing w:before="120" w:after="120" w:line="240" w:lineRule="auto"/>
        <w:ind w:left="2268" w:right="1134"/>
        <w:jc w:val="both"/>
        <w:rPr>
          <w:bCs/>
          <w:iCs/>
          <w:lang w:val="ro-RO"/>
        </w:rPr>
      </w:pPr>
      <w:r w:rsidRPr="00857CDA">
        <w:rPr>
          <w:lang w:val="ro-RO"/>
        </w:rPr>
        <w:t>d)</w:t>
      </w:r>
      <w:r w:rsidRPr="00857CDA">
        <w:rPr>
          <w:lang w:val="ro-RO"/>
        </w:rPr>
        <w:tab/>
      </w:r>
      <w:r w:rsidR="0049514A" w:rsidRPr="00857CDA">
        <w:rPr>
          <w:bCs/>
          <w:iCs/>
          <w:lang w:val="ro-RO"/>
        </w:rPr>
        <w:t xml:space="preserve">Interpolarea în cadrul aceleiași grupe de ambalare: În cazul a trei amestecuri (A, B și C) </w:t>
      </w:r>
      <w:r w:rsidR="004A280F" w:rsidRPr="00857CDA">
        <w:rPr>
          <w:bCs/>
          <w:iCs/>
          <w:lang w:val="ro-RO"/>
        </w:rPr>
        <w:t>cu ingredienți</w:t>
      </w:r>
      <w:r w:rsidR="0049514A" w:rsidRPr="00857CDA">
        <w:rPr>
          <w:bCs/>
          <w:iCs/>
          <w:lang w:val="ro-RO"/>
        </w:rPr>
        <w:t xml:space="preserve"> identic</w:t>
      </w:r>
      <w:r w:rsidR="004A280F" w:rsidRPr="00857CDA">
        <w:rPr>
          <w:bCs/>
          <w:iCs/>
          <w:lang w:val="ro-RO"/>
        </w:rPr>
        <w:t>i</w:t>
      </w:r>
      <w:r w:rsidR="0049514A" w:rsidRPr="00857CDA">
        <w:rPr>
          <w:bCs/>
          <w:iCs/>
          <w:lang w:val="ro-RO"/>
        </w:rPr>
        <w:t xml:space="preserve">, în cazul în care amestecurile A și B au fost testate și sunt </w:t>
      </w:r>
      <w:r w:rsidR="004A280F" w:rsidRPr="00857CDA">
        <w:rPr>
          <w:bCs/>
          <w:iCs/>
          <w:lang w:val="ro-RO"/>
        </w:rPr>
        <w:t>din</w:t>
      </w:r>
      <w:r w:rsidR="0049514A" w:rsidRPr="00857CDA">
        <w:rPr>
          <w:bCs/>
          <w:iCs/>
          <w:lang w:val="ro-RO"/>
        </w:rPr>
        <w:t xml:space="preserve"> ace</w:t>
      </w:r>
      <w:r w:rsidR="004A280F" w:rsidRPr="00857CDA">
        <w:rPr>
          <w:bCs/>
          <w:iCs/>
          <w:lang w:val="ro-RO"/>
        </w:rPr>
        <w:t>i</w:t>
      </w:r>
      <w:r w:rsidR="0049514A" w:rsidRPr="00857CDA">
        <w:rPr>
          <w:bCs/>
          <w:iCs/>
          <w:lang w:val="ro-RO"/>
        </w:rPr>
        <w:t xml:space="preserve">ași grupă de ambalare </w:t>
      </w:r>
      <w:r w:rsidR="004A280F" w:rsidRPr="00857CDA">
        <w:rPr>
          <w:bCs/>
          <w:iCs/>
          <w:lang w:val="ro-RO"/>
        </w:rPr>
        <w:t>din punct de vedere al</w:t>
      </w:r>
      <w:r w:rsidR="0049514A" w:rsidRPr="00857CDA">
        <w:rPr>
          <w:bCs/>
          <w:iCs/>
          <w:lang w:val="ro-RO"/>
        </w:rPr>
        <w:t xml:space="preserve"> coro</w:t>
      </w:r>
      <w:r w:rsidR="004A280F" w:rsidRPr="00857CDA">
        <w:rPr>
          <w:bCs/>
          <w:iCs/>
          <w:lang w:val="ro-RO"/>
        </w:rPr>
        <w:t>s</w:t>
      </w:r>
      <w:r w:rsidR="0049514A" w:rsidRPr="00857CDA">
        <w:rPr>
          <w:bCs/>
          <w:iCs/>
          <w:lang w:val="ro-RO"/>
        </w:rPr>
        <w:t>iun</w:t>
      </w:r>
      <w:r w:rsidR="004A280F" w:rsidRPr="00857CDA">
        <w:rPr>
          <w:bCs/>
          <w:iCs/>
          <w:lang w:val="ro-RO"/>
        </w:rPr>
        <w:t>ii</w:t>
      </w:r>
      <w:r w:rsidR="0049514A" w:rsidRPr="00857CDA">
        <w:rPr>
          <w:bCs/>
          <w:iCs/>
          <w:lang w:val="ro-RO"/>
        </w:rPr>
        <w:t xml:space="preserve"> </w:t>
      </w:r>
      <w:r w:rsidR="004A280F" w:rsidRPr="00857CDA">
        <w:rPr>
          <w:bCs/>
          <w:iCs/>
          <w:lang w:val="ro-RO"/>
        </w:rPr>
        <w:t>cutanate</w:t>
      </w:r>
      <w:r w:rsidR="0049514A" w:rsidRPr="00857CDA">
        <w:rPr>
          <w:bCs/>
          <w:iCs/>
          <w:lang w:val="ro-RO"/>
        </w:rPr>
        <w:t xml:space="preserve">, </w:t>
      </w:r>
      <w:r w:rsidR="004A280F" w:rsidRPr="00857CDA">
        <w:rPr>
          <w:bCs/>
          <w:iCs/>
          <w:lang w:val="ro-RO"/>
        </w:rPr>
        <w:t>iar</w:t>
      </w:r>
      <w:r w:rsidR="0049514A" w:rsidRPr="00857CDA">
        <w:rPr>
          <w:bCs/>
          <w:iCs/>
          <w:lang w:val="ro-RO"/>
        </w:rPr>
        <w:t xml:space="preserve"> amestecul netestat C conține ace</w:t>
      </w:r>
      <w:r w:rsidR="004A280F" w:rsidRPr="00857CDA">
        <w:rPr>
          <w:bCs/>
          <w:iCs/>
          <w:lang w:val="ro-RO"/>
        </w:rPr>
        <w:t>i</w:t>
      </w:r>
      <w:r w:rsidR="0049514A" w:rsidRPr="00857CDA">
        <w:rPr>
          <w:bCs/>
          <w:iCs/>
          <w:lang w:val="ro-RO"/>
        </w:rPr>
        <w:t xml:space="preserve">ași </w:t>
      </w:r>
      <w:r w:rsidR="004A280F" w:rsidRPr="00857CDA">
        <w:rPr>
          <w:bCs/>
          <w:iCs/>
          <w:lang w:val="ro-RO"/>
        </w:rPr>
        <w:t>ingredienți</w:t>
      </w:r>
      <w:r w:rsidR="0049514A" w:rsidRPr="00857CDA">
        <w:rPr>
          <w:bCs/>
          <w:iCs/>
          <w:lang w:val="ro-RO"/>
        </w:rPr>
        <w:t xml:space="preserve"> </w:t>
      </w:r>
      <w:r w:rsidR="004A280F" w:rsidRPr="00857CDA">
        <w:rPr>
          <w:bCs/>
          <w:iCs/>
          <w:lang w:val="ro-RO"/>
        </w:rPr>
        <w:t>din</w:t>
      </w:r>
      <w:r w:rsidR="0049514A" w:rsidRPr="00857CDA">
        <w:rPr>
          <w:bCs/>
          <w:iCs/>
          <w:lang w:val="ro-RO"/>
        </w:rPr>
        <w:t xml:space="preserve"> clasa 8 ca și amestecurile A </w:t>
      </w:r>
      <w:r w:rsidR="004A280F" w:rsidRPr="00857CDA">
        <w:rPr>
          <w:bCs/>
          <w:iCs/>
          <w:lang w:val="ro-RO"/>
        </w:rPr>
        <w:t>ș</w:t>
      </w:r>
      <w:r w:rsidR="0049514A" w:rsidRPr="00857CDA">
        <w:rPr>
          <w:bCs/>
          <w:iCs/>
          <w:lang w:val="ro-RO"/>
        </w:rPr>
        <w:t xml:space="preserve">i B, dar la concentrații </w:t>
      </w:r>
      <w:r w:rsidR="004A280F" w:rsidRPr="00857CDA">
        <w:rPr>
          <w:bCs/>
          <w:iCs/>
          <w:lang w:val="ro-RO"/>
        </w:rPr>
        <w:t xml:space="preserve">situate </w:t>
      </w:r>
      <w:r w:rsidR="0049514A" w:rsidRPr="00857CDA">
        <w:rPr>
          <w:bCs/>
          <w:iCs/>
          <w:lang w:val="ro-RO"/>
        </w:rPr>
        <w:t xml:space="preserve">între cele ale acestor </w:t>
      </w:r>
      <w:r w:rsidR="004A280F" w:rsidRPr="00857CDA">
        <w:rPr>
          <w:bCs/>
          <w:iCs/>
          <w:lang w:val="ro-RO"/>
        </w:rPr>
        <w:t>ingredienți din ame</w:t>
      </w:r>
      <w:r w:rsidR="0049514A" w:rsidRPr="00857CDA">
        <w:rPr>
          <w:bCs/>
          <w:iCs/>
          <w:lang w:val="ro-RO"/>
        </w:rPr>
        <w:t xml:space="preserve">stecurile A </w:t>
      </w:r>
      <w:r w:rsidR="004A280F" w:rsidRPr="00857CDA">
        <w:rPr>
          <w:bCs/>
          <w:iCs/>
          <w:lang w:val="ro-RO"/>
        </w:rPr>
        <w:t>ș</w:t>
      </w:r>
      <w:r w:rsidR="0049514A" w:rsidRPr="00857CDA">
        <w:rPr>
          <w:bCs/>
          <w:iCs/>
          <w:lang w:val="ro-RO"/>
        </w:rPr>
        <w:t>i B, se consideră că amestecul C aparține aceleiași grup</w:t>
      </w:r>
      <w:r w:rsidR="004A280F" w:rsidRPr="00857CDA">
        <w:rPr>
          <w:bCs/>
          <w:iCs/>
          <w:lang w:val="ro-RO"/>
        </w:rPr>
        <w:t>e</w:t>
      </w:r>
      <w:r w:rsidR="0049514A" w:rsidRPr="00857CDA">
        <w:rPr>
          <w:bCs/>
          <w:iCs/>
          <w:lang w:val="ro-RO"/>
        </w:rPr>
        <w:t xml:space="preserve"> de ambalare </w:t>
      </w:r>
      <w:r w:rsidR="004A280F" w:rsidRPr="00857CDA">
        <w:rPr>
          <w:bCs/>
          <w:iCs/>
          <w:lang w:val="ro-RO"/>
        </w:rPr>
        <w:t>din punct de vedere al</w:t>
      </w:r>
      <w:r w:rsidR="0049514A" w:rsidRPr="00857CDA">
        <w:rPr>
          <w:bCs/>
          <w:iCs/>
          <w:lang w:val="ro-RO"/>
        </w:rPr>
        <w:t xml:space="preserve"> coro</w:t>
      </w:r>
      <w:r w:rsidR="004A280F" w:rsidRPr="00857CDA">
        <w:rPr>
          <w:bCs/>
          <w:iCs/>
          <w:lang w:val="ro-RO"/>
        </w:rPr>
        <w:t>s</w:t>
      </w:r>
      <w:r w:rsidR="0049514A" w:rsidRPr="00857CDA">
        <w:rPr>
          <w:bCs/>
          <w:iCs/>
          <w:lang w:val="ro-RO"/>
        </w:rPr>
        <w:t>iun</w:t>
      </w:r>
      <w:r w:rsidR="004A280F" w:rsidRPr="00857CDA">
        <w:rPr>
          <w:bCs/>
          <w:iCs/>
          <w:lang w:val="ro-RO"/>
        </w:rPr>
        <w:t>ii</w:t>
      </w:r>
      <w:r w:rsidR="0049514A" w:rsidRPr="00857CDA">
        <w:rPr>
          <w:bCs/>
          <w:iCs/>
          <w:lang w:val="ro-RO"/>
        </w:rPr>
        <w:t xml:space="preserve"> cutanat</w:t>
      </w:r>
      <w:r w:rsidR="004A280F" w:rsidRPr="00857CDA">
        <w:rPr>
          <w:bCs/>
          <w:iCs/>
          <w:lang w:val="ro-RO"/>
        </w:rPr>
        <w:t>e ca și A și B</w:t>
      </w:r>
      <w:r w:rsidR="009722DE" w:rsidRPr="00857CDA">
        <w:rPr>
          <w:lang w:val="ro-RO"/>
        </w:rPr>
        <w:t>;</w:t>
      </w:r>
    </w:p>
    <w:p w:rsidR="001A0EB0" w:rsidRPr="00857CDA" w:rsidRDefault="001A0EB0" w:rsidP="001A0EB0">
      <w:pPr>
        <w:spacing w:before="120" w:after="120" w:line="240" w:lineRule="auto"/>
        <w:ind w:left="2268" w:right="1134"/>
        <w:jc w:val="both"/>
        <w:rPr>
          <w:bCs/>
          <w:iCs/>
          <w:lang w:val="ro-RO"/>
        </w:rPr>
      </w:pPr>
      <w:r w:rsidRPr="00857CDA">
        <w:rPr>
          <w:lang w:val="ro-RO"/>
        </w:rPr>
        <w:t>e)</w:t>
      </w:r>
      <w:r w:rsidRPr="00857CDA">
        <w:rPr>
          <w:lang w:val="ro-RO"/>
        </w:rPr>
        <w:tab/>
      </w:r>
      <w:r w:rsidR="002F1889" w:rsidRPr="00857CDA">
        <w:rPr>
          <w:bCs/>
          <w:iCs/>
          <w:lang w:val="ro-RO"/>
        </w:rPr>
        <w:t>Amestecuri foarte similare: În următorul caz:</w:t>
      </w:r>
    </w:p>
    <w:p w:rsidR="001A0EB0" w:rsidRPr="00857CDA" w:rsidRDefault="001A0EB0" w:rsidP="001A0EB0">
      <w:pPr>
        <w:spacing w:before="120" w:after="120" w:line="240" w:lineRule="auto"/>
        <w:ind w:left="2835" w:right="1134"/>
        <w:jc w:val="both"/>
        <w:rPr>
          <w:bCs/>
          <w:iCs/>
          <w:lang w:val="ro-RO"/>
        </w:rPr>
      </w:pPr>
      <w:r w:rsidRPr="00857CDA">
        <w:rPr>
          <w:bCs/>
          <w:iCs/>
          <w:lang w:val="ro-RO"/>
        </w:rPr>
        <w:tab/>
        <w:t>i)</w:t>
      </w:r>
      <w:r w:rsidRPr="00857CDA">
        <w:rPr>
          <w:bCs/>
          <w:iCs/>
          <w:lang w:val="ro-RO"/>
        </w:rPr>
        <w:tab/>
      </w:r>
      <w:r w:rsidR="002F1889" w:rsidRPr="00857CDA">
        <w:rPr>
          <w:bCs/>
          <w:iCs/>
          <w:lang w:val="ro-RO"/>
        </w:rPr>
        <w:t>Două amestecuri</w:t>
      </w:r>
      <w:r w:rsidRPr="00857CDA">
        <w:rPr>
          <w:bCs/>
          <w:iCs/>
          <w:lang w:val="ro-RO"/>
        </w:rPr>
        <w:tab/>
        <w:t>(A + B)</w:t>
      </w:r>
      <w:r w:rsidR="004C27AD" w:rsidRPr="00857CDA">
        <w:rPr>
          <w:bCs/>
          <w:iCs/>
          <w:lang w:val="ro-RO"/>
        </w:rPr>
        <w:t xml:space="preserve"> și </w:t>
      </w:r>
      <w:r w:rsidRPr="00857CDA">
        <w:rPr>
          <w:bCs/>
          <w:iCs/>
          <w:lang w:val="ro-RO"/>
        </w:rPr>
        <w:t>(C + B);</w:t>
      </w:r>
    </w:p>
    <w:p w:rsidR="001A0EB0" w:rsidRPr="00857CDA" w:rsidRDefault="001A0EB0" w:rsidP="001A0EB0">
      <w:pPr>
        <w:spacing w:before="120" w:after="120" w:line="240" w:lineRule="auto"/>
        <w:ind w:left="2835" w:right="1134"/>
        <w:jc w:val="both"/>
        <w:rPr>
          <w:bCs/>
          <w:iCs/>
          <w:lang w:val="ro-RO"/>
        </w:rPr>
      </w:pPr>
      <w:r w:rsidRPr="00857CDA">
        <w:rPr>
          <w:bCs/>
          <w:iCs/>
          <w:lang w:val="ro-RO"/>
        </w:rPr>
        <w:tab/>
        <w:t>ii)</w:t>
      </w:r>
      <w:r w:rsidRPr="00857CDA">
        <w:rPr>
          <w:bCs/>
          <w:iCs/>
          <w:lang w:val="ro-RO"/>
        </w:rPr>
        <w:tab/>
      </w:r>
      <w:r w:rsidR="002F1889" w:rsidRPr="00857CDA">
        <w:rPr>
          <w:bCs/>
          <w:iCs/>
          <w:lang w:val="ro-RO"/>
        </w:rPr>
        <w:t>Concentrația ingredientului</w:t>
      </w:r>
      <w:r w:rsidRPr="00857CDA">
        <w:rPr>
          <w:bCs/>
          <w:iCs/>
          <w:lang w:val="ro-RO"/>
        </w:rPr>
        <w:t xml:space="preserve"> B est</w:t>
      </w:r>
      <w:r w:rsidR="002F1889" w:rsidRPr="00857CDA">
        <w:rPr>
          <w:bCs/>
          <w:iCs/>
          <w:lang w:val="ro-RO"/>
        </w:rPr>
        <w:t>e aceiași în ambele amestecuri</w:t>
      </w:r>
      <w:r w:rsidRPr="00857CDA">
        <w:rPr>
          <w:bCs/>
          <w:iCs/>
          <w:lang w:val="ro-RO"/>
        </w:rPr>
        <w:t>;</w:t>
      </w:r>
    </w:p>
    <w:p w:rsidR="001A0EB0" w:rsidRPr="00857CDA" w:rsidRDefault="001A0EB0" w:rsidP="001A0EB0">
      <w:pPr>
        <w:spacing w:before="120" w:after="120" w:line="240" w:lineRule="auto"/>
        <w:ind w:left="2835" w:right="1134"/>
        <w:jc w:val="both"/>
        <w:rPr>
          <w:bCs/>
          <w:iCs/>
          <w:lang w:val="ro-RO"/>
        </w:rPr>
      </w:pPr>
      <w:r w:rsidRPr="00857CDA">
        <w:rPr>
          <w:bCs/>
          <w:iCs/>
          <w:lang w:val="ro-RO"/>
        </w:rPr>
        <w:tab/>
        <w:t>iii)</w:t>
      </w:r>
      <w:r w:rsidRPr="00857CDA">
        <w:rPr>
          <w:bCs/>
          <w:iCs/>
          <w:lang w:val="ro-RO"/>
        </w:rPr>
        <w:tab/>
      </w:r>
      <w:r w:rsidR="002F1889" w:rsidRPr="00857CDA">
        <w:rPr>
          <w:bCs/>
          <w:iCs/>
          <w:lang w:val="ro-RO"/>
        </w:rPr>
        <w:t>C</w:t>
      </w:r>
      <w:r w:rsidRPr="00857CDA">
        <w:rPr>
          <w:bCs/>
          <w:iCs/>
          <w:lang w:val="ro-RO"/>
        </w:rPr>
        <w:t>oncentra</w:t>
      </w:r>
      <w:r w:rsidR="002F1889" w:rsidRPr="00857CDA">
        <w:rPr>
          <w:bCs/>
          <w:iCs/>
          <w:lang w:val="ro-RO"/>
        </w:rPr>
        <w:t>ția ingredientului</w:t>
      </w:r>
      <w:r w:rsidRPr="00857CDA">
        <w:rPr>
          <w:bCs/>
          <w:iCs/>
          <w:lang w:val="ro-RO"/>
        </w:rPr>
        <w:t xml:space="preserve"> A </w:t>
      </w:r>
      <w:r w:rsidR="00BD4D76" w:rsidRPr="00857CDA">
        <w:rPr>
          <w:bCs/>
          <w:iCs/>
          <w:lang w:val="ro-RO"/>
        </w:rPr>
        <w:t>din amestecul</w:t>
      </w:r>
      <w:r w:rsidRPr="00857CDA">
        <w:rPr>
          <w:bCs/>
          <w:iCs/>
          <w:lang w:val="ro-RO"/>
        </w:rPr>
        <w:t xml:space="preserve"> </w:t>
      </w:r>
      <w:r w:rsidR="007E0744" w:rsidRPr="00857CDA">
        <w:rPr>
          <w:bCs/>
          <w:iCs/>
          <w:lang w:val="ro-RO"/>
        </w:rPr>
        <w:t>(A + B)</w:t>
      </w:r>
      <w:r w:rsidRPr="00857CDA">
        <w:rPr>
          <w:bCs/>
          <w:iCs/>
          <w:lang w:val="ro-RO"/>
        </w:rPr>
        <w:t xml:space="preserve"> est</w:t>
      </w:r>
      <w:r w:rsidR="00BD4D76" w:rsidRPr="00857CDA">
        <w:rPr>
          <w:bCs/>
          <w:iCs/>
          <w:lang w:val="ro-RO"/>
        </w:rPr>
        <w:t>e</w:t>
      </w:r>
      <w:r w:rsidRPr="00857CDA">
        <w:rPr>
          <w:bCs/>
          <w:iCs/>
          <w:lang w:val="ro-RO"/>
        </w:rPr>
        <w:t xml:space="preserve"> </w:t>
      </w:r>
      <w:r w:rsidR="00BD4D76" w:rsidRPr="00857CDA">
        <w:rPr>
          <w:bCs/>
          <w:iCs/>
          <w:lang w:val="ro-RO"/>
        </w:rPr>
        <w:t>e</w:t>
      </w:r>
      <w:r w:rsidRPr="00857CDA">
        <w:rPr>
          <w:bCs/>
          <w:iCs/>
          <w:lang w:val="ro-RO"/>
        </w:rPr>
        <w:t>gal</w:t>
      </w:r>
      <w:r w:rsidR="00BD4D76" w:rsidRPr="00857CDA">
        <w:rPr>
          <w:bCs/>
          <w:iCs/>
          <w:lang w:val="ro-RO"/>
        </w:rPr>
        <w:t>ă</w:t>
      </w:r>
      <w:r w:rsidRPr="00857CDA">
        <w:rPr>
          <w:bCs/>
          <w:iCs/>
          <w:lang w:val="ro-RO"/>
        </w:rPr>
        <w:t xml:space="preserve"> </w:t>
      </w:r>
      <w:r w:rsidR="00BD4D76" w:rsidRPr="00857CDA">
        <w:rPr>
          <w:bCs/>
          <w:iCs/>
          <w:lang w:val="ro-RO"/>
        </w:rPr>
        <w:t>cu cea a ingredientului</w:t>
      </w:r>
      <w:r w:rsidRPr="00857CDA">
        <w:rPr>
          <w:bCs/>
          <w:iCs/>
          <w:lang w:val="ro-RO"/>
        </w:rPr>
        <w:t xml:space="preserve"> C </w:t>
      </w:r>
      <w:r w:rsidR="00BD4D76" w:rsidRPr="00857CDA">
        <w:rPr>
          <w:bCs/>
          <w:iCs/>
          <w:lang w:val="ro-RO"/>
        </w:rPr>
        <w:t>din amestecul</w:t>
      </w:r>
      <w:r w:rsidR="00FA4265" w:rsidRPr="00857CDA">
        <w:rPr>
          <w:bCs/>
          <w:iCs/>
          <w:lang w:val="ro-RO"/>
        </w:rPr>
        <w:t xml:space="preserve"> </w:t>
      </w:r>
      <w:r w:rsidR="007E0744" w:rsidRPr="00857CDA">
        <w:rPr>
          <w:bCs/>
          <w:iCs/>
          <w:lang w:val="ro-RO"/>
        </w:rPr>
        <w:t>(C + B)</w:t>
      </w:r>
      <w:r w:rsidRPr="00857CDA">
        <w:rPr>
          <w:bCs/>
          <w:iCs/>
          <w:lang w:val="ro-RO"/>
        </w:rPr>
        <w:t>;</w:t>
      </w:r>
    </w:p>
    <w:p w:rsidR="001A0EB0" w:rsidRPr="00857CDA" w:rsidRDefault="001A0EB0" w:rsidP="0054629D">
      <w:pPr>
        <w:spacing w:before="120" w:after="120" w:line="240" w:lineRule="auto"/>
        <w:ind w:left="2835" w:right="1134"/>
        <w:jc w:val="both"/>
        <w:rPr>
          <w:bCs/>
          <w:iCs/>
          <w:lang w:val="ro-RO"/>
        </w:rPr>
      </w:pPr>
      <w:r w:rsidRPr="00857CDA">
        <w:rPr>
          <w:bCs/>
          <w:iCs/>
          <w:lang w:val="ro-RO"/>
        </w:rPr>
        <w:tab/>
        <w:t>iv)</w:t>
      </w:r>
      <w:r w:rsidRPr="00857CDA">
        <w:rPr>
          <w:bCs/>
          <w:iCs/>
          <w:lang w:val="ro-RO"/>
        </w:rPr>
        <w:tab/>
      </w:r>
      <w:r w:rsidR="00BD4D76" w:rsidRPr="00857CDA">
        <w:rPr>
          <w:bCs/>
          <w:iCs/>
          <w:lang w:val="ro-RO"/>
        </w:rPr>
        <w:t xml:space="preserve">Datele privind corosiunea pielii pentru ingredienții A și C sunt disponibile și aproape echivalente și, prin urmare, A și C </w:t>
      </w:r>
      <w:r w:rsidR="0054629D" w:rsidRPr="00857CDA">
        <w:rPr>
          <w:bCs/>
          <w:iCs/>
          <w:lang w:val="ro-RO"/>
        </w:rPr>
        <w:t>fiind</w:t>
      </w:r>
      <w:r w:rsidR="00BD4D76" w:rsidRPr="00857CDA">
        <w:rPr>
          <w:bCs/>
          <w:iCs/>
          <w:lang w:val="ro-RO"/>
        </w:rPr>
        <w:t xml:space="preserve"> din </w:t>
      </w:r>
      <w:r w:rsidR="00857CDA" w:rsidRPr="00857CDA">
        <w:rPr>
          <w:bCs/>
          <w:iCs/>
          <w:lang w:val="ro-RO"/>
        </w:rPr>
        <w:t>aceiași</w:t>
      </w:r>
      <w:r w:rsidR="00BD4D76" w:rsidRPr="00857CDA">
        <w:rPr>
          <w:bCs/>
          <w:iCs/>
          <w:lang w:val="ro-RO"/>
        </w:rPr>
        <w:t xml:space="preserve"> grupă de ambalare din punct de vedere al corosiunii pielii</w:t>
      </w:r>
      <w:r w:rsidR="0054629D" w:rsidRPr="00857CDA">
        <w:rPr>
          <w:bCs/>
          <w:iCs/>
          <w:lang w:val="ro-RO"/>
        </w:rPr>
        <w:t>,</w:t>
      </w:r>
      <w:r w:rsidR="00BD4D76" w:rsidRPr="00857CDA">
        <w:rPr>
          <w:bCs/>
          <w:iCs/>
          <w:lang w:val="ro-RO"/>
        </w:rPr>
        <w:t xml:space="preserve"> nu afectează puterea de corosiune a pielii </w:t>
      </w:r>
      <w:r w:rsidR="0054629D" w:rsidRPr="00857CDA">
        <w:rPr>
          <w:bCs/>
          <w:iCs/>
          <w:lang w:val="ro-RO"/>
        </w:rPr>
        <w:t>pentru B</w:t>
      </w:r>
      <w:r w:rsidRPr="00857CDA">
        <w:rPr>
          <w:bCs/>
          <w:iCs/>
          <w:lang w:val="ro-RO"/>
        </w:rPr>
        <w:t>.</w:t>
      </w:r>
    </w:p>
    <w:p w:rsidR="00773A49" w:rsidRPr="00857CDA" w:rsidRDefault="001A0EB0" w:rsidP="001A0EB0">
      <w:pPr>
        <w:spacing w:before="120" w:after="120" w:line="240" w:lineRule="auto"/>
        <w:ind w:left="2268" w:right="1134"/>
        <w:jc w:val="both"/>
        <w:rPr>
          <w:bCs/>
          <w:iCs/>
          <w:lang w:val="ro-RO"/>
        </w:rPr>
      </w:pPr>
      <w:r w:rsidRPr="00857CDA">
        <w:rPr>
          <w:bCs/>
          <w:iCs/>
          <w:lang w:val="ro-RO"/>
        </w:rPr>
        <w:tab/>
      </w:r>
      <w:r w:rsidRPr="00857CDA">
        <w:rPr>
          <w:bCs/>
          <w:iCs/>
          <w:lang w:val="ro-RO"/>
        </w:rPr>
        <w:tab/>
      </w:r>
      <w:r w:rsidR="00773A49" w:rsidRPr="00857CDA">
        <w:rPr>
          <w:bCs/>
          <w:iCs/>
          <w:lang w:val="ro-RO"/>
        </w:rPr>
        <w:t xml:space="preserve">Dacă amestecul (A + B) sau (C + B) este deja clasificat pe baza datelor experimentale, celălalt amestec poate fi clasificat în aceiași grupă de ambalare. </w:t>
      </w:r>
    </w:p>
    <w:p w:rsidR="001A0EB0" w:rsidRPr="00857CDA" w:rsidRDefault="007F7E4E" w:rsidP="00D353A3">
      <w:pPr>
        <w:tabs>
          <w:tab w:val="left" w:pos="2268"/>
        </w:tabs>
        <w:spacing w:before="120" w:after="120" w:line="240" w:lineRule="auto"/>
        <w:ind w:left="1134" w:right="1134"/>
        <w:jc w:val="both"/>
        <w:rPr>
          <w:bCs/>
          <w:lang w:val="ro-RO"/>
        </w:rPr>
      </w:pPr>
      <w:r w:rsidRPr="00857CDA">
        <w:rPr>
          <w:lang w:val="ro-RO"/>
        </w:rPr>
        <w:t>2.2.8.1.6.3</w:t>
      </w:r>
      <w:r w:rsidR="001A0EB0" w:rsidRPr="00857CDA">
        <w:rPr>
          <w:lang w:val="ro-RO"/>
        </w:rPr>
        <w:tab/>
      </w:r>
      <w:r w:rsidR="00773A49" w:rsidRPr="00857CDA">
        <w:rPr>
          <w:lang w:val="ro-RO"/>
        </w:rPr>
        <w:t>Metoda de calcul bazată pe clasificarea substanțelor</w:t>
      </w:r>
    </w:p>
    <w:p w:rsidR="001A0EB0" w:rsidRPr="00857CDA" w:rsidRDefault="007F7E4E" w:rsidP="00B92751">
      <w:pPr>
        <w:tabs>
          <w:tab w:val="left" w:pos="2268"/>
        </w:tabs>
        <w:spacing w:before="120" w:after="120" w:line="240" w:lineRule="auto"/>
        <w:ind w:left="1134" w:right="1134"/>
        <w:jc w:val="both"/>
        <w:rPr>
          <w:lang w:val="ro-RO"/>
        </w:rPr>
      </w:pPr>
      <w:r w:rsidRPr="00857CDA">
        <w:rPr>
          <w:lang w:val="ro-RO"/>
        </w:rPr>
        <w:lastRenderedPageBreak/>
        <w:t>2.2.8.1.6.3.1</w:t>
      </w:r>
      <w:r w:rsidR="001A0EB0" w:rsidRPr="00857CDA">
        <w:rPr>
          <w:lang w:val="ro-RO"/>
        </w:rPr>
        <w:tab/>
      </w:r>
      <w:r w:rsidR="00773A49" w:rsidRPr="00857CDA">
        <w:rPr>
          <w:lang w:val="ro-RO"/>
        </w:rPr>
        <w:t xml:space="preserve">În cazul în care un amestec nu a fost testat pentru potențialul </w:t>
      </w:r>
      <w:r w:rsidR="00B92751" w:rsidRPr="00857CDA">
        <w:rPr>
          <w:lang w:val="ro-RO"/>
        </w:rPr>
        <w:t xml:space="preserve">său </w:t>
      </w:r>
      <w:r w:rsidR="00773A49" w:rsidRPr="00857CDA">
        <w:rPr>
          <w:lang w:val="ro-RO"/>
        </w:rPr>
        <w:t>de corosiune a pielii</w:t>
      </w:r>
      <w:r w:rsidR="00B92751" w:rsidRPr="00857CDA">
        <w:rPr>
          <w:lang w:val="ro-RO"/>
        </w:rPr>
        <w:t xml:space="preserve"> </w:t>
      </w:r>
      <w:r w:rsidR="00773A49" w:rsidRPr="00857CDA">
        <w:rPr>
          <w:lang w:val="ro-RO"/>
        </w:rPr>
        <w:t xml:space="preserve">sau dacă datele privind amestecurile similare sunt insuficiente, </w:t>
      </w:r>
      <w:r w:rsidR="00B92751" w:rsidRPr="00857CDA">
        <w:rPr>
          <w:lang w:val="ro-RO"/>
        </w:rPr>
        <w:t>pentru clasificarea și alocarea pe grupe de ambalare vor fi luate în considerare proprietățile corosive ale substanțelor din amestec</w:t>
      </w:r>
      <w:r w:rsidR="00773A49" w:rsidRPr="00857CDA">
        <w:rPr>
          <w:lang w:val="ro-RO"/>
        </w:rPr>
        <w:t>.</w:t>
      </w:r>
      <w:r w:rsidR="001A0EB0" w:rsidRPr="00857CDA">
        <w:rPr>
          <w:lang w:val="ro-RO"/>
        </w:rPr>
        <w:t xml:space="preserve"> </w:t>
      </w:r>
    </w:p>
    <w:p w:rsidR="00B92751" w:rsidRPr="00857CDA" w:rsidRDefault="00B92751" w:rsidP="00D353A3">
      <w:pPr>
        <w:tabs>
          <w:tab w:val="left" w:pos="2268"/>
          <w:tab w:val="left" w:pos="2835"/>
        </w:tabs>
        <w:spacing w:before="120" w:after="120" w:line="240" w:lineRule="auto"/>
        <w:ind w:left="1134" w:right="1134"/>
        <w:jc w:val="both"/>
        <w:rPr>
          <w:lang w:val="ro-RO"/>
        </w:rPr>
      </w:pPr>
      <w:r w:rsidRPr="00857CDA">
        <w:rPr>
          <w:lang w:val="ro-RO"/>
        </w:rPr>
        <w:t xml:space="preserve">Utilizarea metodei de calcul este permisă numai atunci când nu există efecte sinergice care să facă amestecul mai corosiv decât suma </w:t>
      </w:r>
      <w:r w:rsidR="0087725A" w:rsidRPr="00857CDA">
        <w:rPr>
          <w:lang w:val="ro-RO"/>
        </w:rPr>
        <w:t>substanțelor</w:t>
      </w:r>
      <w:r w:rsidRPr="00857CDA">
        <w:rPr>
          <w:lang w:val="ro-RO"/>
        </w:rPr>
        <w:t xml:space="preserve"> sale. Această restricție se aplică numai dacă amestecul </w:t>
      </w:r>
      <w:r w:rsidR="0087725A" w:rsidRPr="00857CDA">
        <w:rPr>
          <w:lang w:val="ro-RO"/>
        </w:rPr>
        <w:t>este</w:t>
      </w:r>
      <w:r w:rsidRPr="00857CDA">
        <w:rPr>
          <w:lang w:val="ro-RO"/>
        </w:rPr>
        <w:t xml:space="preserve"> atribuit </w:t>
      </w:r>
      <w:r w:rsidR="0087725A" w:rsidRPr="00857CDA">
        <w:rPr>
          <w:lang w:val="ro-RO"/>
        </w:rPr>
        <w:t xml:space="preserve">grupei de </w:t>
      </w:r>
      <w:r w:rsidRPr="00857CDA">
        <w:rPr>
          <w:lang w:val="ro-RO"/>
        </w:rPr>
        <w:t>ambal</w:t>
      </w:r>
      <w:r w:rsidR="0087725A" w:rsidRPr="00857CDA">
        <w:rPr>
          <w:lang w:val="ro-RO"/>
        </w:rPr>
        <w:t>are</w:t>
      </w:r>
      <w:r w:rsidRPr="00857CDA">
        <w:rPr>
          <w:lang w:val="ro-RO"/>
        </w:rPr>
        <w:t xml:space="preserve"> II sau III.</w:t>
      </w:r>
    </w:p>
    <w:p w:rsidR="005B6034" w:rsidRPr="00857CDA" w:rsidRDefault="007F7E4E" w:rsidP="00D353A3">
      <w:pPr>
        <w:tabs>
          <w:tab w:val="left" w:pos="2268"/>
          <w:tab w:val="left" w:pos="2835"/>
        </w:tabs>
        <w:spacing w:before="120" w:after="120" w:line="240" w:lineRule="auto"/>
        <w:ind w:left="1134" w:right="1134"/>
        <w:jc w:val="both"/>
        <w:rPr>
          <w:lang w:val="ro-RO"/>
        </w:rPr>
      </w:pPr>
      <w:r w:rsidRPr="00857CDA">
        <w:rPr>
          <w:lang w:val="ro-RO"/>
        </w:rPr>
        <w:t>2.2.8.1.6.3.2</w:t>
      </w:r>
      <w:r w:rsidR="001A0EB0" w:rsidRPr="00857CDA">
        <w:rPr>
          <w:lang w:val="ro-RO"/>
        </w:rPr>
        <w:tab/>
      </w:r>
      <w:r w:rsidR="005B6034" w:rsidRPr="00857CDA">
        <w:rPr>
          <w:lang w:val="ro-RO"/>
        </w:rPr>
        <w:t>Atunci când se utilizează metoda de calcul, se iau în considerare toți ingredienții din Clasa 8 prezenți în amestec care au o concentrație ≥ 1% sau &lt;1% dacă este încă relevant să se țină seama de aceștia în scopul clasificării amestecului ca fiind corosiv pentru piele.</w:t>
      </w:r>
    </w:p>
    <w:p w:rsidR="005B6034" w:rsidRPr="00857CDA" w:rsidRDefault="007F7E4E" w:rsidP="00D353A3">
      <w:pPr>
        <w:tabs>
          <w:tab w:val="left" w:pos="2268"/>
          <w:tab w:val="left" w:pos="2835"/>
        </w:tabs>
        <w:spacing w:before="120" w:after="120" w:line="240" w:lineRule="auto"/>
        <w:ind w:left="1134" w:right="1134"/>
        <w:jc w:val="both"/>
        <w:rPr>
          <w:lang w:val="ro-RO"/>
        </w:rPr>
      </w:pPr>
      <w:r w:rsidRPr="00857CDA">
        <w:rPr>
          <w:lang w:val="ro-RO"/>
        </w:rPr>
        <w:t>2.2.8.1.6.3.3</w:t>
      </w:r>
      <w:r w:rsidR="001A0EB0" w:rsidRPr="00857CDA">
        <w:rPr>
          <w:lang w:val="ro-RO"/>
        </w:rPr>
        <w:tab/>
      </w:r>
      <w:r w:rsidR="005B6034" w:rsidRPr="00857CDA">
        <w:rPr>
          <w:lang w:val="ro-RO"/>
        </w:rPr>
        <w:t xml:space="preserve">Pentru a determina dacă un amestec care conține substanțe corosive ar trebui considerat un amestec corosiv și să fie alocat unei grupe de ambalare, ar trebui utilizată metoda de calcul din </w:t>
      </w:r>
      <w:r w:rsidR="00F27981" w:rsidRPr="00857CDA">
        <w:rPr>
          <w:lang w:val="ro-RO"/>
        </w:rPr>
        <w:t xml:space="preserve">schema din </w:t>
      </w:r>
      <w:r w:rsidR="005B6034" w:rsidRPr="00857CDA">
        <w:rPr>
          <w:lang w:val="ro-RO"/>
        </w:rPr>
        <w:t>figura 2.2.8.1.6.3.</w:t>
      </w:r>
    </w:p>
    <w:p w:rsidR="00F27981" w:rsidRPr="00857CDA" w:rsidRDefault="007F7E4E" w:rsidP="00D353A3">
      <w:pPr>
        <w:tabs>
          <w:tab w:val="left" w:pos="2268"/>
          <w:tab w:val="left" w:pos="2835"/>
        </w:tabs>
        <w:spacing w:before="120" w:after="120" w:line="240" w:lineRule="auto"/>
        <w:ind w:left="1134" w:right="1134"/>
        <w:jc w:val="both"/>
        <w:rPr>
          <w:lang w:val="ro-RO"/>
        </w:rPr>
      </w:pPr>
      <w:r w:rsidRPr="00857CDA">
        <w:rPr>
          <w:lang w:val="ro-RO"/>
        </w:rPr>
        <w:t>2.2.8.1.6.3.4</w:t>
      </w:r>
      <w:r w:rsidR="001A0EB0" w:rsidRPr="00857CDA">
        <w:rPr>
          <w:lang w:val="ro-RO"/>
        </w:rPr>
        <w:tab/>
      </w:r>
      <w:r w:rsidR="00F27981" w:rsidRPr="00857CDA">
        <w:rPr>
          <w:lang w:val="ro-RO"/>
        </w:rPr>
        <w:t xml:space="preserve">Atunci când o limită de concentrație </w:t>
      </w:r>
      <w:r w:rsidR="000C7B2A" w:rsidRPr="00857CDA">
        <w:rPr>
          <w:lang w:val="ro-RO"/>
        </w:rPr>
        <w:t xml:space="preserve">specifică </w:t>
      </w:r>
      <w:r w:rsidR="00E961B3" w:rsidRPr="00857CDA">
        <w:rPr>
          <w:lang w:val="ro-RO"/>
        </w:rPr>
        <w:t xml:space="preserve">(SCL) </w:t>
      </w:r>
      <w:r w:rsidR="00F27981" w:rsidRPr="00857CDA">
        <w:rPr>
          <w:lang w:val="ro-RO"/>
        </w:rPr>
        <w:t xml:space="preserve">este atribuită unei substanțe ca urmare a includerii acesteia în tabelul A din capitolul 3.2 sau intr-o dispoziție specială, această limită trebuie utilizată în locul limitelor </w:t>
      </w:r>
      <w:r w:rsidR="00E961B3" w:rsidRPr="00857CDA">
        <w:rPr>
          <w:lang w:val="ro-RO"/>
        </w:rPr>
        <w:t xml:space="preserve">de concentrație </w:t>
      </w:r>
      <w:r w:rsidR="00F27981" w:rsidRPr="00857CDA">
        <w:rPr>
          <w:lang w:val="ro-RO"/>
        </w:rPr>
        <w:t>generice</w:t>
      </w:r>
      <w:r w:rsidR="00E961B3" w:rsidRPr="00857CDA">
        <w:rPr>
          <w:lang w:val="ro-RO"/>
        </w:rPr>
        <w:t xml:space="preserve"> (GCL)</w:t>
      </w:r>
      <w:r w:rsidR="00F27981" w:rsidRPr="00857CDA">
        <w:rPr>
          <w:lang w:val="ro-RO"/>
        </w:rPr>
        <w:t>. Aceasta se întâmplă atunci când se utilizează valoarea 1% în prima etapă a evaluării substanțelor din grupa de ambalare I, apoi 5% în etapele următoare</w:t>
      </w:r>
      <w:r w:rsidR="00E961B3" w:rsidRPr="00857CDA">
        <w:rPr>
          <w:lang w:val="ro-RO"/>
        </w:rPr>
        <w:t>,</w:t>
      </w:r>
      <w:r w:rsidR="00F27981" w:rsidRPr="00857CDA">
        <w:rPr>
          <w:lang w:val="ro-RO"/>
        </w:rPr>
        <w:t xml:space="preserve"> din figura 2.2.8.1.6.3.</w:t>
      </w:r>
    </w:p>
    <w:p w:rsidR="001A0EB0" w:rsidRPr="00857CDA" w:rsidRDefault="00DF4228" w:rsidP="00E961B3">
      <w:pPr>
        <w:tabs>
          <w:tab w:val="left" w:pos="2268"/>
          <w:tab w:val="left" w:pos="2552"/>
          <w:tab w:val="left" w:pos="2835"/>
        </w:tabs>
        <w:spacing w:before="120" w:after="120" w:line="240" w:lineRule="auto"/>
        <w:ind w:left="1134" w:right="1134"/>
        <w:jc w:val="both"/>
        <w:rPr>
          <w:lang w:val="ro-RO"/>
        </w:rPr>
      </w:pPr>
      <w:r w:rsidRPr="00857CDA">
        <w:rPr>
          <w:lang w:val="ro-RO"/>
        </w:rPr>
        <w:t>2.2.8.1.6.3.5</w:t>
      </w:r>
      <w:r w:rsidR="00D353A3" w:rsidRPr="00857CDA">
        <w:rPr>
          <w:lang w:val="ro-RO"/>
        </w:rPr>
        <w:tab/>
      </w:r>
      <w:r w:rsidR="000C7B2A" w:rsidRPr="00857CDA">
        <w:rPr>
          <w:lang w:val="ro-RO"/>
        </w:rPr>
        <w:t xml:space="preserve">În acest scop, trebuie adaptată formula de însumare utilizată în fiecare etapă a calculului. Aceasta înseamnă că, dacă este cazul, limita de concentrație generică </w:t>
      </w:r>
      <w:r w:rsidR="00E961B3" w:rsidRPr="00857CDA">
        <w:rPr>
          <w:lang w:val="ro-RO"/>
        </w:rPr>
        <w:t xml:space="preserve">(GCL) </w:t>
      </w:r>
      <w:r w:rsidR="000C7B2A" w:rsidRPr="00857CDA">
        <w:rPr>
          <w:lang w:val="ro-RO"/>
        </w:rPr>
        <w:t xml:space="preserve">trebuie înlocuită cu limita </w:t>
      </w:r>
      <w:r w:rsidR="00E961B3" w:rsidRPr="00857CDA">
        <w:rPr>
          <w:lang w:val="ro-RO"/>
        </w:rPr>
        <w:t xml:space="preserve">de concentrație </w:t>
      </w:r>
      <w:r w:rsidR="000C7B2A" w:rsidRPr="00857CDA">
        <w:rPr>
          <w:lang w:val="ro-RO"/>
        </w:rPr>
        <w:t xml:space="preserve">specifică </w:t>
      </w:r>
      <w:r w:rsidR="00E961B3" w:rsidRPr="00857CDA">
        <w:rPr>
          <w:lang w:val="ro-RO"/>
        </w:rPr>
        <w:t xml:space="preserve">(SCL) </w:t>
      </w:r>
      <w:r w:rsidR="000C7B2A" w:rsidRPr="00857CDA">
        <w:rPr>
          <w:lang w:val="ro-RO"/>
        </w:rPr>
        <w:t>pentru substanțele în cauză și că formula adaptată corespunde unei medii ponderate a diferitelor limite de concentrație atribuite diferitelor substanțe prezente</w:t>
      </w:r>
      <w:r w:rsidR="00E961B3" w:rsidRPr="00857CDA">
        <w:rPr>
          <w:lang w:val="ro-RO"/>
        </w:rPr>
        <w:t xml:space="preserve"> în</w:t>
      </w:r>
      <w:r w:rsidR="000C7B2A" w:rsidRPr="00857CDA">
        <w:rPr>
          <w:lang w:val="ro-RO"/>
        </w:rPr>
        <w:t xml:space="preserve"> amestec</w:t>
      </w:r>
      <w:r w:rsidR="001A0EB0" w:rsidRPr="00857CDA">
        <w:rPr>
          <w:lang w:val="ro-RO"/>
        </w:rPr>
        <w:t>:</w:t>
      </w:r>
    </w:p>
    <w:p w:rsidR="007F7E4E" w:rsidRPr="00857CDA" w:rsidRDefault="009A6E82" w:rsidP="007F7E4E">
      <w:pPr>
        <w:pStyle w:val="SingleTxtG"/>
        <w:rPr>
          <w:lang w:val="ro-RO"/>
        </w:rPr>
      </w:pPr>
      <m:oMathPara>
        <m:oMath>
          <m:f>
            <m:fPr>
              <m:ctrlPr>
                <w:rPr>
                  <w:rFonts w:ascii="Cambria Math" w:hAnsi="Cambria Math"/>
                  <w:i/>
                  <w:lang w:val="ro-RO"/>
                </w:rPr>
              </m:ctrlPr>
            </m:fPr>
            <m:num>
              <m:sSub>
                <m:sSubPr>
                  <m:ctrlPr>
                    <w:rPr>
                      <w:rFonts w:ascii="Cambria Math" w:hAnsi="Cambria Math"/>
                      <w:i/>
                      <w:lang w:val="ro-RO"/>
                    </w:rPr>
                  </m:ctrlPr>
                </m:sSubPr>
                <m:e>
                  <m:r>
                    <w:rPr>
                      <w:rFonts w:ascii="Cambria Math" w:hAnsi="Cambria Math"/>
                      <w:lang w:val="ro-RO"/>
                    </w:rPr>
                    <m:t>PGx</m:t>
                  </m:r>
                </m:e>
                <m:sub>
                  <m:r>
                    <w:rPr>
                      <w:rFonts w:ascii="Cambria Math" w:hAnsi="Cambria Math"/>
                      <w:lang w:val="ro-RO"/>
                    </w:rPr>
                    <m:t>1</m:t>
                  </m:r>
                </m:sub>
              </m:sSub>
            </m:num>
            <m:den>
              <m:r>
                <w:rPr>
                  <w:rFonts w:ascii="Cambria Math" w:hAnsi="Cambria Math"/>
                  <w:lang w:val="ro-RO"/>
                </w:rPr>
                <m:t>GCL</m:t>
              </m:r>
            </m:den>
          </m:f>
          <m:r>
            <w:rPr>
              <w:rFonts w:ascii="Cambria Math" w:hAnsi="Cambria Math"/>
              <w:lang w:val="ro-RO"/>
            </w:rPr>
            <m:t xml:space="preserve">+ </m:t>
          </m:r>
          <m:f>
            <m:fPr>
              <m:ctrlPr>
                <w:rPr>
                  <w:rFonts w:ascii="Cambria Math" w:hAnsi="Cambria Math"/>
                  <w:i/>
                  <w:lang w:val="ro-RO"/>
                </w:rPr>
              </m:ctrlPr>
            </m:fPr>
            <m:num>
              <m:sSub>
                <m:sSubPr>
                  <m:ctrlPr>
                    <w:rPr>
                      <w:rFonts w:ascii="Cambria Math" w:hAnsi="Cambria Math"/>
                      <w:i/>
                      <w:lang w:val="ro-RO"/>
                    </w:rPr>
                  </m:ctrlPr>
                </m:sSubPr>
                <m:e>
                  <m:r>
                    <w:rPr>
                      <w:rFonts w:ascii="Cambria Math" w:hAnsi="Cambria Math"/>
                      <w:lang w:val="ro-RO"/>
                    </w:rPr>
                    <m:t>PGx</m:t>
                  </m:r>
                </m:e>
                <m:sub>
                  <m:r>
                    <w:rPr>
                      <w:rFonts w:ascii="Cambria Math" w:hAnsi="Cambria Math"/>
                      <w:lang w:val="ro-RO"/>
                    </w:rPr>
                    <m:t>2</m:t>
                  </m:r>
                </m:sub>
              </m:sSub>
            </m:num>
            <m:den>
              <m:sSub>
                <m:sSubPr>
                  <m:ctrlPr>
                    <w:rPr>
                      <w:rFonts w:ascii="Cambria Math" w:hAnsi="Cambria Math"/>
                      <w:i/>
                      <w:lang w:val="ro-RO"/>
                    </w:rPr>
                  </m:ctrlPr>
                </m:sSubPr>
                <m:e>
                  <m:r>
                    <w:rPr>
                      <w:rFonts w:ascii="Cambria Math" w:hAnsi="Cambria Math"/>
                      <w:lang w:val="ro-RO"/>
                    </w:rPr>
                    <m:t>SCL</m:t>
                  </m:r>
                </m:e>
                <m:sub>
                  <m:r>
                    <w:rPr>
                      <w:rFonts w:ascii="Cambria Math" w:hAnsi="Cambria Math"/>
                      <w:lang w:val="ro-RO"/>
                    </w:rPr>
                    <m:t>2</m:t>
                  </m:r>
                </m:sub>
              </m:sSub>
            </m:den>
          </m:f>
          <m:r>
            <w:rPr>
              <w:rFonts w:ascii="Cambria Math" w:hAnsi="Cambria Math"/>
              <w:lang w:val="ro-RO"/>
            </w:rPr>
            <m:t>+…+</m:t>
          </m:r>
          <m:f>
            <m:fPr>
              <m:ctrlPr>
                <w:rPr>
                  <w:rFonts w:ascii="Cambria Math" w:hAnsi="Cambria Math"/>
                  <w:i/>
                  <w:lang w:val="ro-RO"/>
                </w:rPr>
              </m:ctrlPr>
            </m:fPr>
            <m:num>
              <m:sSub>
                <m:sSubPr>
                  <m:ctrlPr>
                    <w:rPr>
                      <w:rFonts w:ascii="Cambria Math" w:hAnsi="Cambria Math"/>
                      <w:i/>
                      <w:lang w:val="ro-RO"/>
                    </w:rPr>
                  </m:ctrlPr>
                </m:sSubPr>
                <m:e>
                  <m:r>
                    <w:rPr>
                      <w:rFonts w:ascii="Cambria Math" w:hAnsi="Cambria Math"/>
                      <w:lang w:val="ro-RO"/>
                    </w:rPr>
                    <m:t>PGx</m:t>
                  </m:r>
                </m:e>
                <m:sub>
                  <m:r>
                    <w:rPr>
                      <w:rFonts w:ascii="Cambria Math" w:hAnsi="Cambria Math"/>
                      <w:lang w:val="ro-RO"/>
                    </w:rPr>
                    <m:t>i</m:t>
                  </m:r>
                </m:sub>
              </m:sSub>
            </m:num>
            <m:den>
              <m:sSub>
                <m:sSubPr>
                  <m:ctrlPr>
                    <w:rPr>
                      <w:rFonts w:ascii="Cambria Math" w:hAnsi="Cambria Math"/>
                      <w:i/>
                      <w:lang w:val="ro-RO"/>
                    </w:rPr>
                  </m:ctrlPr>
                </m:sSubPr>
                <m:e>
                  <m:r>
                    <w:rPr>
                      <w:rFonts w:ascii="Cambria Math" w:hAnsi="Cambria Math"/>
                      <w:lang w:val="ro-RO"/>
                    </w:rPr>
                    <m:t>SCL</m:t>
                  </m:r>
                </m:e>
                <m:sub>
                  <m:r>
                    <w:rPr>
                      <w:rFonts w:ascii="Cambria Math" w:hAnsi="Cambria Math"/>
                      <w:lang w:val="ro-RO"/>
                    </w:rPr>
                    <m:t>i</m:t>
                  </m:r>
                </m:sub>
              </m:sSub>
            </m:den>
          </m:f>
          <m:r>
            <w:rPr>
              <w:rFonts w:ascii="Cambria Math" w:hAnsi="Cambria Math"/>
              <w:lang w:val="ro-RO"/>
            </w:rPr>
            <m:t>≥1</m:t>
          </m:r>
        </m:oMath>
      </m:oMathPara>
    </w:p>
    <w:p w:rsidR="001A0EB0" w:rsidRPr="00857CDA" w:rsidRDefault="00E961B3" w:rsidP="001A0EB0">
      <w:pPr>
        <w:spacing w:before="120" w:after="120" w:line="240" w:lineRule="auto"/>
        <w:ind w:left="1134" w:right="1134"/>
        <w:jc w:val="both"/>
        <w:rPr>
          <w:lang w:val="ro-RO"/>
        </w:rPr>
      </w:pPr>
      <w:r w:rsidRPr="00857CDA">
        <w:rPr>
          <w:lang w:val="ro-RO"/>
        </w:rPr>
        <w:t>unde</w:t>
      </w:r>
      <w:r w:rsidR="001A0EB0" w:rsidRPr="00857CDA">
        <w:rPr>
          <w:lang w:val="ro-RO"/>
        </w:rPr>
        <w:t>:</w:t>
      </w:r>
    </w:p>
    <w:p w:rsidR="001A0EB0" w:rsidRPr="00857CDA" w:rsidRDefault="001A0EB0" w:rsidP="00E961B3">
      <w:pPr>
        <w:spacing w:before="120" w:after="120" w:line="240" w:lineRule="auto"/>
        <w:ind w:left="1843" w:right="1134" w:hanging="709"/>
        <w:jc w:val="both"/>
        <w:rPr>
          <w:lang w:val="ro-RO"/>
        </w:rPr>
      </w:pPr>
      <w:r w:rsidRPr="00857CDA">
        <w:rPr>
          <w:lang w:val="ro-RO"/>
        </w:rPr>
        <w:t>PG x</w:t>
      </w:r>
      <w:r w:rsidRPr="00857CDA">
        <w:rPr>
          <w:vertAlign w:val="subscript"/>
          <w:lang w:val="ro-RO"/>
        </w:rPr>
        <w:t>i</w:t>
      </w:r>
      <w:r w:rsidRPr="00857CDA">
        <w:rPr>
          <w:lang w:val="ro-RO"/>
        </w:rPr>
        <w:t xml:space="preserve"> = </w:t>
      </w:r>
      <w:r w:rsidR="00E961B3" w:rsidRPr="00857CDA">
        <w:rPr>
          <w:lang w:val="ro-RO"/>
        </w:rPr>
        <w:tab/>
      </w:r>
      <w:r w:rsidRPr="00857CDA">
        <w:rPr>
          <w:lang w:val="ro-RO"/>
        </w:rPr>
        <w:t>concentra</w:t>
      </w:r>
      <w:r w:rsidR="00E961B3" w:rsidRPr="00857CDA">
        <w:rPr>
          <w:lang w:val="ro-RO"/>
        </w:rPr>
        <w:t>ția substanței</w:t>
      </w:r>
      <w:r w:rsidRPr="00857CDA">
        <w:rPr>
          <w:lang w:val="ro-RO"/>
        </w:rPr>
        <w:t xml:space="preserve"> 1, 2 …i </w:t>
      </w:r>
      <w:r w:rsidR="00E961B3" w:rsidRPr="00857CDA">
        <w:rPr>
          <w:lang w:val="ro-RO"/>
        </w:rPr>
        <w:t>di</w:t>
      </w:r>
      <w:r w:rsidR="00902C44" w:rsidRPr="00857CDA">
        <w:rPr>
          <w:lang w:val="ro-RO"/>
        </w:rPr>
        <w:t xml:space="preserve">n </w:t>
      </w:r>
      <w:r w:rsidR="00E961B3" w:rsidRPr="00857CDA">
        <w:rPr>
          <w:lang w:val="ro-RO"/>
        </w:rPr>
        <w:t>amestec</w:t>
      </w:r>
      <w:r w:rsidRPr="00857CDA">
        <w:rPr>
          <w:lang w:val="ro-RO"/>
        </w:rPr>
        <w:t xml:space="preserve">, </w:t>
      </w:r>
      <w:r w:rsidR="00E961B3" w:rsidRPr="00857CDA">
        <w:rPr>
          <w:lang w:val="ro-RO"/>
        </w:rPr>
        <w:t>atribuită</w:t>
      </w:r>
      <w:r w:rsidRPr="00857CDA">
        <w:rPr>
          <w:lang w:val="ro-RO"/>
        </w:rPr>
        <w:t xml:space="preserve"> </w:t>
      </w:r>
      <w:r w:rsidR="00217674" w:rsidRPr="00857CDA">
        <w:rPr>
          <w:lang w:val="ro-RO"/>
        </w:rPr>
        <w:t>grup</w:t>
      </w:r>
      <w:r w:rsidR="00E961B3" w:rsidRPr="00857CDA">
        <w:rPr>
          <w:lang w:val="ro-RO"/>
        </w:rPr>
        <w:t>ei</w:t>
      </w:r>
      <w:r w:rsidR="00217674" w:rsidRPr="00857CDA">
        <w:rPr>
          <w:lang w:val="ro-RO"/>
        </w:rPr>
        <w:t xml:space="preserve"> de ambalare</w:t>
      </w:r>
      <w:r w:rsidRPr="00857CDA">
        <w:rPr>
          <w:lang w:val="ro-RO"/>
        </w:rPr>
        <w:t xml:space="preserve"> x (I, II </w:t>
      </w:r>
      <w:r w:rsidR="00E961B3" w:rsidRPr="00857CDA">
        <w:rPr>
          <w:lang w:val="ro-RO"/>
        </w:rPr>
        <w:t>sa</w:t>
      </w:r>
      <w:r w:rsidRPr="00857CDA">
        <w:rPr>
          <w:lang w:val="ro-RO"/>
        </w:rPr>
        <w:t>u III)</w:t>
      </w:r>
    </w:p>
    <w:p w:rsidR="001A0EB0" w:rsidRPr="00857CDA" w:rsidRDefault="001A0EB0" w:rsidP="001A0EB0">
      <w:pPr>
        <w:spacing w:before="120" w:after="120" w:line="240" w:lineRule="auto"/>
        <w:ind w:left="1134" w:right="1134"/>
        <w:jc w:val="both"/>
        <w:rPr>
          <w:lang w:val="ro-RO"/>
        </w:rPr>
      </w:pPr>
      <w:r w:rsidRPr="00857CDA">
        <w:rPr>
          <w:lang w:val="ro-RO"/>
        </w:rPr>
        <w:t>GCL = limit</w:t>
      </w:r>
      <w:r w:rsidR="00E961B3" w:rsidRPr="00857CDA">
        <w:rPr>
          <w:lang w:val="ro-RO"/>
        </w:rPr>
        <w:t>a</w:t>
      </w:r>
      <w:r w:rsidRPr="00857CDA">
        <w:rPr>
          <w:lang w:val="ro-RO"/>
        </w:rPr>
        <w:t xml:space="preserve"> de concentra</w:t>
      </w:r>
      <w:r w:rsidR="00E961B3" w:rsidRPr="00857CDA">
        <w:rPr>
          <w:lang w:val="ro-RO"/>
        </w:rPr>
        <w:t>ție</w:t>
      </w:r>
      <w:r w:rsidRPr="00857CDA">
        <w:rPr>
          <w:lang w:val="ro-RO"/>
        </w:rPr>
        <w:t xml:space="preserve"> g</w:t>
      </w:r>
      <w:r w:rsidR="00E961B3" w:rsidRPr="00857CDA">
        <w:rPr>
          <w:lang w:val="ro-RO"/>
        </w:rPr>
        <w:t>e</w:t>
      </w:r>
      <w:r w:rsidRPr="00857CDA">
        <w:rPr>
          <w:lang w:val="ro-RO"/>
        </w:rPr>
        <w:t>n</w:t>
      </w:r>
      <w:r w:rsidR="00E961B3" w:rsidRPr="00857CDA">
        <w:rPr>
          <w:lang w:val="ro-RO"/>
        </w:rPr>
        <w:t>e</w:t>
      </w:r>
      <w:r w:rsidRPr="00857CDA">
        <w:rPr>
          <w:lang w:val="ro-RO"/>
        </w:rPr>
        <w:t>ri</w:t>
      </w:r>
      <w:r w:rsidR="00E961B3" w:rsidRPr="00857CDA">
        <w:rPr>
          <w:lang w:val="ro-RO"/>
        </w:rPr>
        <w:t>că</w:t>
      </w:r>
    </w:p>
    <w:p w:rsidR="001A0EB0" w:rsidRPr="00857CDA" w:rsidRDefault="001A0EB0" w:rsidP="001A0EB0">
      <w:pPr>
        <w:spacing w:before="120" w:after="120" w:line="240" w:lineRule="auto"/>
        <w:ind w:left="1134" w:right="1134"/>
        <w:jc w:val="both"/>
        <w:rPr>
          <w:lang w:val="ro-RO"/>
        </w:rPr>
      </w:pPr>
      <w:r w:rsidRPr="00857CDA">
        <w:rPr>
          <w:lang w:val="ro-RO"/>
        </w:rPr>
        <w:t>SCL</w:t>
      </w:r>
      <w:r w:rsidRPr="00857CDA">
        <w:rPr>
          <w:vertAlign w:val="subscript"/>
          <w:lang w:val="ro-RO"/>
        </w:rPr>
        <w:t>i</w:t>
      </w:r>
      <w:r w:rsidRPr="00857CDA">
        <w:rPr>
          <w:lang w:val="ro-RO"/>
        </w:rPr>
        <w:t xml:space="preserve"> = limit</w:t>
      </w:r>
      <w:r w:rsidR="00E961B3" w:rsidRPr="00857CDA">
        <w:rPr>
          <w:lang w:val="ro-RO"/>
        </w:rPr>
        <w:t>a</w:t>
      </w:r>
      <w:r w:rsidRPr="00857CDA">
        <w:rPr>
          <w:lang w:val="ro-RO"/>
        </w:rPr>
        <w:t xml:space="preserve"> de concentra</w:t>
      </w:r>
      <w:r w:rsidR="00E961B3" w:rsidRPr="00857CDA">
        <w:rPr>
          <w:lang w:val="ro-RO"/>
        </w:rPr>
        <w:t>ție</w:t>
      </w:r>
      <w:r w:rsidRPr="00857CDA">
        <w:rPr>
          <w:lang w:val="ro-RO"/>
        </w:rPr>
        <w:t xml:space="preserve"> sp</w:t>
      </w:r>
      <w:r w:rsidR="00E961B3" w:rsidRPr="00857CDA">
        <w:rPr>
          <w:lang w:val="ro-RO"/>
        </w:rPr>
        <w:t>e</w:t>
      </w:r>
      <w:r w:rsidRPr="00857CDA">
        <w:rPr>
          <w:lang w:val="ro-RO"/>
        </w:rPr>
        <w:t>cifi</w:t>
      </w:r>
      <w:r w:rsidR="00E961B3" w:rsidRPr="00857CDA">
        <w:rPr>
          <w:lang w:val="ro-RO"/>
        </w:rPr>
        <w:t>că</w:t>
      </w:r>
      <w:r w:rsidRPr="00857CDA">
        <w:rPr>
          <w:lang w:val="ro-RO"/>
        </w:rPr>
        <w:t xml:space="preserve"> atribu</w:t>
      </w:r>
      <w:r w:rsidR="00E961B3" w:rsidRPr="00857CDA">
        <w:rPr>
          <w:lang w:val="ro-RO"/>
        </w:rPr>
        <w:t>ită substanței</w:t>
      </w:r>
      <w:r w:rsidRPr="00857CDA">
        <w:rPr>
          <w:lang w:val="ro-RO"/>
        </w:rPr>
        <w:t xml:space="preserve"> i </w:t>
      </w:r>
    </w:p>
    <w:p w:rsidR="000C1D5C" w:rsidRPr="00857CDA" w:rsidRDefault="000C1D5C" w:rsidP="001A6D78">
      <w:pPr>
        <w:spacing w:before="120" w:after="120" w:line="240" w:lineRule="auto"/>
        <w:ind w:left="1134" w:right="1134"/>
        <w:jc w:val="both"/>
        <w:rPr>
          <w:lang w:val="ro-RO"/>
        </w:rPr>
      </w:pPr>
      <w:r w:rsidRPr="00857CDA">
        <w:rPr>
          <w:lang w:val="ro-RO"/>
        </w:rPr>
        <w:t>Criteriul pentru o grupă de ambalare este îndeplinit atunci când rezultatul calculului este ≥ 1. Limitele de concentrație generice care trebuie utilizate pentru evaluarea fiecărei etape a metodei de calcul sunt cele din figura 2.2.8.1.6.3.</w:t>
      </w:r>
    </w:p>
    <w:p w:rsidR="001A0EB0" w:rsidRPr="00857CDA" w:rsidRDefault="000C1D5C" w:rsidP="001A6D78">
      <w:pPr>
        <w:spacing w:before="120" w:after="120" w:line="240" w:lineRule="auto"/>
        <w:ind w:left="1134" w:right="1134"/>
        <w:jc w:val="both"/>
        <w:rPr>
          <w:spacing w:val="4"/>
          <w:lang w:val="ro-RO"/>
        </w:rPr>
      </w:pPr>
      <w:r w:rsidRPr="00857CDA">
        <w:rPr>
          <w:spacing w:val="4"/>
          <w:lang w:val="ro-RO"/>
        </w:rPr>
        <w:t>În Nota de mai jos pot fi găsite exemple de aplicare a formulei de mai sus</w:t>
      </w:r>
      <w:r w:rsidR="001A0EB0" w:rsidRPr="00857CDA">
        <w:rPr>
          <w:spacing w:val="4"/>
          <w:lang w:val="ro-RO"/>
        </w:rPr>
        <w:t>.</w:t>
      </w:r>
    </w:p>
    <w:p w:rsidR="001A0EB0" w:rsidRPr="00857CDA" w:rsidRDefault="001A0EB0" w:rsidP="001A0EB0">
      <w:pPr>
        <w:spacing w:before="120" w:after="120" w:line="240" w:lineRule="auto"/>
        <w:ind w:left="1134" w:right="1134"/>
        <w:jc w:val="both"/>
        <w:rPr>
          <w:i/>
          <w:lang w:val="ro-RO"/>
        </w:rPr>
      </w:pPr>
      <w:r w:rsidRPr="00857CDA">
        <w:rPr>
          <w:b/>
          <w:i/>
          <w:lang w:val="ro-RO"/>
        </w:rPr>
        <w:t>NOT</w:t>
      </w:r>
      <w:r w:rsidR="000C1D5C" w:rsidRPr="00857CDA">
        <w:rPr>
          <w:b/>
          <w:i/>
          <w:lang w:val="ro-RO"/>
        </w:rPr>
        <w:t>Ă</w:t>
      </w:r>
      <w:r w:rsidR="00091658" w:rsidRPr="00857CDA">
        <w:rPr>
          <w:lang w:val="ro-RO"/>
        </w:rPr>
        <w:t>:</w:t>
      </w:r>
      <w:r w:rsidRPr="00857CDA">
        <w:rPr>
          <w:i/>
          <w:lang w:val="ro-RO"/>
        </w:rPr>
        <w:tab/>
      </w:r>
      <w:r w:rsidR="000C1D5C" w:rsidRPr="00857CDA">
        <w:rPr>
          <w:i/>
          <w:lang w:val="ro-RO"/>
        </w:rPr>
        <w:t>Exemple de aplicare a formulei de mai sus</w:t>
      </w:r>
    </w:p>
    <w:p w:rsidR="000C1D5C" w:rsidRPr="00857CDA" w:rsidRDefault="001A0EB0" w:rsidP="001A0EB0">
      <w:pPr>
        <w:spacing w:before="120" w:after="120" w:line="240" w:lineRule="auto"/>
        <w:ind w:left="1134" w:right="1134"/>
        <w:jc w:val="both"/>
        <w:rPr>
          <w:i/>
          <w:lang w:val="ro-RO"/>
        </w:rPr>
      </w:pPr>
      <w:r w:rsidRPr="00857CDA">
        <w:rPr>
          <w:i/>
          <w:lang w:val="ro-RO"/>
        </w:rPr>
        <w:t>Exemp</w:t>
      </w:r>
      <w:r w:rsidR="00771312" w:rsidRPr="00857CDA">
        <w:rPr>
          <w:i/>
          <w:lang w:val="ro-RO"/>
        </w:rPr>
        <w:t>l</w:t>
      </w:r>
      <w:r w:rsidR="000C1D5C" w:rsidRPr="00857CDA">
        <w:rPr>
          <w:i/>
          <w:lang w:val="ro-RO"/>
        </w:rPr>
        <w:t>ul</w:t>
      </w:r>
      <w:r w:rsidR="00771312" w:rsidRPr="00857CDA">
        <w:rPr>
          <w:i/>
          <w:lang w:val="ro-RO"/>
        </w:rPr>
        <w:t xml:space="preserve"> 1</w:t>
      </w:r>
      <w:r w:rsidR="00091658" w:rsidRPr="00857CDA">
        <w:rPr>
          <w:lang w:val="ro-RO"/>
        </w:rPr>
        <w:t>:</w:t>
      </w:r>
      <w:r w:rsidRPr="00857CDA">
        <w:rPr>
          <w:i/>
          <w:lang w:val="ro-RO"/>
        </w:rPr>
        <w:t xml:space="preserve"> </w:t>
      </w:r>
      <w:r w:rsidR="000C1D5C" w:rsidRPr="00857CDA">
        <w:rPr>
          <w:i/>
          <w:lang w:val="ro-RO"/>
        </w:rPr>
        <w:t xml:space="preserve">Un amestec </w:t>
      </w:r>
      <w:r w:rsidR="00F133D7" w:rsidRPr="00857CDA">
        <w:rPr>
          <w:i/>
          <w:lang w:val="ro-RO"/>
        </w:rPr>
        <w:t xml:space="preserve">care </w:t>
      </w:r>
      <w:r w:rsidR="000C1D5C" w:rsidRPr="00857CDA">
        <w:rPr>
          <w:i/>
          <w:lang w:val="ro-RO"/>
        </w:rPr>
        <w:t>conține o substanță corosivă la o concentrație de 5%</w:t>
      </w:r>
      <w:r w:rsidR="00F133D7" w:rsidRPr="00857CDA">
        <w:rPr>
          <w:i/>
          <w:lang w:val="ro-RO"/>
        </w:rPr>
        <w:t xml:space="preserve"> este</w:t>
      </w:r>
      <w:r w:rsidR="000C1D5C" w:rsidRPr="00857CDA">
        <w:rPr>
          <w:i/>
          <w:lang w:val="ro-RO"/>
        </w:rPr>
        <w:t xml:space="preserve"> alocat</w:t>
      </w:r>
      <w:r w:rsidR="00F133D7" w:rsidRPr="00857CDA">
        <w:rPr>
          <w:i/>
          <w:lang w:val="ro-RO"/>
        </w:rPr>
        <w:t xml:space="preserve">ă la grupa de </w:t>
      </w:r>
      <w:r w:rsidR="000C1D5C" w:rsidRPr="00857CDA">
        <w:rPr>
          <w:i/>
          <w:lang w:val="ro-RO"/>
        </w:rPr>
        <w:t>ambal</w:t>
      </w:r>
      <w:r w:rsidR="00F133D7" w:rsidRPr="00857CDA">
        <w:rPr>
          <w:i/>
          <w:lang w:val="ro-RO"/>
        </w:rPr>
        <w:t>are</w:t>
      </w:r>
      <w:r w:rsidR="000C1D5C" w:rsidRPr="00857CDA">
        <w:rPr>
          <w:i/>
          <w:lang w:val="ro-RO"/>
        </w:rPr>
        <w:t xml:space="preserve"> I fără limită de concentrație specifică:</w:t>
      </w:r>
    </w:p>
    <w:p w:rsidR="007F7E4E" w:rsidRPr="00857CDA" w:rsidRDefault="001A0EB0" w:rsidP="001A0EB0">
      <w:pPr>
        <w:spacing w:before="120" w:after="120" w:line="240" w:lineRule="auto"/>
        <w:ind w:left="1134" w:right="1134"/>
        <w:jc w:val="both"/>
        <w:rPr>
          <w:i/>
          <w:lang w:val="ro-RO"/>
        </w:rPr>
      </w:pPr>
      <w:r w:rsidRPr="00857CDA">
        <w:rPr>
          <w:i/>
          <w:lang w:val="ro-RO"/>
        </w:rPr>
        <w:t>Calc</w:t>
      </w:r>
      <w:r w:rsidR="00771312" w:rsidRPr="00857CDA">
        <w:rPr>
          <w:i/>
          <w:lang w:val="ro-RO"/>
        </w:rPr>
        <w:t xml:space="preserve">ul </w:t>
      </w:r>
      <w:r w:rsidR="00991390" w:rsidRPr="00857CDA">
        <w:rPr>
          <w:i/>
          <w:lang w:val="ro-RO"/>
        </w:rPr>
        <w:t>pentru</w:t>
      </w:r>
      <w:r w:rsidR="00771312" w:rsidRPr="00857CDA">
        <w:rPr>
          <w:i/>
          <w:lang w:val="ro-RO"/>
        </w:rPr>
        <w:t xml:space="preserve"> </w:t>
      </w:r>
      <w:r w:rsidR="00217674" w:rsidRPr="00857CDA">
        <w:rPr>
          <w:i/>
          <w:lang w:val="ro-RO"/>
        </w:rPr>
        <w:t>grupa de ambalare</w:t>
      </w:r>
      <w:r w:rsidR="00771312" w:rsidRPr="00857CDA">
        <w:rPr>
          <w:i/>
          <w:lang w:val="ro-RO"/>
        </w:rPr>
        <w:t> I</w:t>
      </w:r>
      <w:r w:rsidR="00091658" w:rsidRPr="00857CDA">
        <w:rPr>
          <w:lang w:val="ro-RO"/>
        </w:rPr>
        <w:t>:</w:t>
      </w:r>
    </w:p>
    <w:p w:rsidR="001A0EB0" w:rsidRPr="00857CDA" w:rsidRDefault="009A6E82" w:rsidP="001A0EB0">
      <w:pPr>
        <w:spacing w:before="120" w:after="120" w:line="240" w:lineRule="auto"/>
        <w:ind w:left="1134" w:right="1134"/>
        <w:jc w:val="both"/>
        <w:rPr>
          <w:lang w:val="ro-RO"/>
        </w:rPr>
      </w:pPr>
      <w:r>
        <w:rPr>
          <w:i/>
          <w:lang w:val="ro-RO"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left:0;text-align:left;margin-left:116.85pt;margin-top:5.75pt;width:13.45pt;height:6.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LEdgIAAA0FAAAOAAAAZHJzL2Uyb0RvYy54bWysVM1u2zAMvg/YOwi6r3bctM2COkXQIsOA&#10;oi3QFj2rshQLkEWNUuJkT7T32IuNkt3f7VQsB0U0KZLfp486Pdt1lm0VBgOu5pODkjPlJDTGrWt+&#10;f7f6MuMsROEaYcGpmu9V4GeLz59Oez9XFbRgG4WMkrgw733N2xj9vCiCbFUnwgF45cipATsRycR1&#10;0aDoKXtni6osj4sesPEIUoVAXy8GJ1/k/ForGa+1DioyW3PqLeYV8/qY1mJxKuZrFL41cmxDfKCL&#10;ThhHRZ9TXYgo2AbNX6k6IxEC6HggoStAayNVxkBoJuU7NLet8CpjIXKCf6Yp/L+08mp7g8w0NT8+&#10;5MyJju5oZX//Iv5Zg2CiYtUssdT7MKfgW3+DoxVomyDvNHbpn8CwXWZ2/8ys2kUm6ePkpJxVFWeS&#10;XLPycHacUhYvZz2G+E1Bx9Km5mjWbVwiQp9JFdvLEIcDT4GpYABrmpWxNhv7cG6RbQVdNOmjgf6O&#10;inNmRYjkoI7yb6z75qh1rK95dTQtSSFSkAq1FXRUdp54CW7NmbBrkreMmPt5czp8vHACcyFCO3Sd&#10;s479WZcwqSzgEXu6gIHytHuEZk8XhzAoOni5MpTtktDeCCQJExQay3hNi7ZA+GDccdYC/vzX9xRP&#10;yiIvZz2NBGH/sRGoiMTvjjT3dTKdphnKxvTopCIDX3seX3vcpjsHuowJPQBe5m2Kj/ZpqxG6B5re&#10;ZapKLuEk1R5YHo3zOIwqzb9Uy2UOo7nxIl66Wy9T8sRT4vFu9yDQj/qJdPVX8DQ+Yv5OQENsOulg&#10;uYmgTVbXC6+kzWTQzGWVju9DGurXdo56ecUWfwAAAP//AwBQSwMEFAAGAAgAAAAhAFFjpXTgAAAA&#10;CQEAAA8AAABkcnMvZG93bnJldi54bWxMj9FKw0AQRd8F/2EZwTe7aapJG7MpUqiCFMHWD9hmp0lI&#10;djZkt23i1zs+6dsM93DnTL4ebScuOPjGkYL5LAKBVDrTUKXg67B9WILwQZPRnSNUMKGHdXF7k+vM&#10;uCt94mUfKsEl5DOtoA6hz6T0ZY1W+5nrkTg7ucHqwOtQSTPoK5fbTsZRlEirG+ILte5xU2PZ7s9W&#10;wW77nfpDOq1wGl9XbTtt3t4/GqXu78aXZxABx/AHw68+q0PBTkd3JuNFpyBeLFJGOZg/gWAgTqIE&#10;xJGHxxhkkcv/HxQ/AAAA//8DAFBLAQItABQABgAIAAAAIQC2gziS/gAAAOEBAAATAAAAAAAAAAAA&#10;AAAAAAAAAABbQ29udGVudF9UeXBlc10ueG1sUEsBAi0AFAAGAAgAAAAhADj9If/WAAAAlAEAAAsA&#10;AAAAAAAAAAAAAAAALwEAAF9yZWxzLy5yZWxzUEsBAi0AFAAGAAgAAAAhANLfQsR2AgAADQUAAA4A&#10;AAAAAAAAAAAAAAAALgIAAGRycy9lMm9Eb2MueG1sUEsBAi0AFAAGAAgAAAAhAFFjpXTgAAAACQEA&#10;AA8AAAAAAAAAAAAAAAAA0AQAAGRycy9kb3ducmV2LnhtbFBLBQYAAAAABAAEAPMAAADdBQAAAAA=&#10;" adj="16518" fillcolor="windowText" strokecolor="windowText" strokeweight="2pt"/>
        </w:pict>
      </w:r>
      <w:r w:rsidR="001A0EB0" w:rsidRPr="00857CDA">
        <w:rPr>
          <w:i/>
          <w:lang w:val="ro-RO"/>
        </w:rPr>
        <w:t xml:space="preserve"> </w:t>
      </w:r>
      <m:oMath>
        <m:f>
          <m:fPr>
            <m:ctrlPr>
              <w:rPr>
                <w:rFonts w:ascii="Cambria Math" w:hAnsi="Cambria Math"/>
                <w:i/>
                <w:lang w:val="ro-RO"/>
              </w:rPr>
            </m:ctrlPr>
          </m:fPr>
          <m:num>
            <m:r>
              <w:rPr>
                <w:rFonts w:ascii="Cambria Math" w:hAnsi="Cambria Math"/>
                <w:lang w:val="ro-RO"/>
              </w:rPr>
              <m:t>5</m:t>
            </m:r>
          </m:num>
          <m:den>
            <m:r>
              <w:rPr>
                <w:rFonts w:ascii="Cambria Math" w:hAnsi="Cambria Math"/>
                <w:lang w:val="ro-RO"/>
              </w:rPr>
              <m:t>5 (GCL)</m:t>
            </m:r>
          </m:den>
        </m:f>
        <m:r>
          <w:rPr>
            <w:rFonts w:ascii="Cambria Math" w:hAnsi="Cambria Math"/>
            <w:lang w:val="ro-RO"/>
          </w:rPr>
          <m:t>=1</m:t>
        </m:r>
      </m:oMath>
      <w:r w:rsidR="001A0EB0" w:rsidRPr="00857CDA">
        <w:rPr>
          <w:i/>
          <w:spacing w:val="-1"/>
          <w:lang w:val="ro-RO"/>
        </w:rPr>
        <w:tab/>
      </w:r>
      <w:r w:rsidR="001A0EB0" w:rsidRPr="00857CDA">
        <w:rPr>
          <w:i/>
          <w:spacing w:val="-1"/>
          <w:lang w:val="ro-RO"/>
        </w:rPr>
        <w:tab/>
        <w:t>a</w:t>
      </w:r>
      <w:r w:rsidR="00F133D7" w:rsidRPr="00857CDA">
        <w:rPr>
          <w:i/>
          <w:spacing w:val="-1"/>
          <w:lang w:val="ro-RO"/>
        </w:rPr>
        <w:t xml:space="preserve">locare </w:t>
      </w:r>
      <w:r w:rsidR="001A0EB0" w:rsidRPr="00857CDA">
        <w:rPr>
          <w:i/>
          <w:spacing w:val="-1"/>
          <w:lang w:val="ro-RO"/>
        </w:rPr>
        <w:t xml:space="preserve">la </w:t>
      </w:r>
      <w:r w:rsidR="002B679C" w:rsidRPr="00857CDA">
        <w:rPr>
          <w:i/>
          <w:spacing w:val="-1"/>
          <w:lang w:val="ro-RO"/>
        </w:rPr>
        <w:t>clasa</w:t>
      </w:r>
      <w:r w:rsidR="001A0EB0" w:rsidRPr="00857CDA">
        <w:rPr>
          <w:i/>
          <w:spacing w:val="-1"/>
          <w:lang w:val="ro-RO"/>
        </w:rPr>
        <w:t> 8,</w:t>
      </w:r>
      <w:r w:rsidR="001A0EB0" w:rsidRPr="00857CDA">
        <w:rPr>
          <w:i/>
          <w:lang w:val="ro-RO"/>
        </w:rPr>
        <w:t xml:space="preserve"> </w:t>
      </w:r>
      <w:r w:rsidR="00217674" w:rsidRPr="00857CDA">
        <w:rPr>
          <w:i/>
          <w:lang w:val="ro-RO"/>
        </w:rPr>
        <w:t>grupa de ambalare</w:t>
      </w:r>
      <w:r w:rsidR="001A0EB0" w:rsidRPr="00857CDA">
        <w:rPr>
          <w:i/>
          <w:lang w:val="ro-RO"/>
        </w:rPr>
        <w:t xml:space="preserve"> I</w:t>
      </w:r>
      <w:r w:rsidR="00CD142F" w:rsidRPr="00857CDA">
        <w:rPr>
          <w:i/>
          <w:lang w:val="ro-RO"/>
        </w:rPr>
        <w:t>.</w:t>
      </w:r>
    </w:p>
    <w:p w:rsidR="001A0EB0" w:rsidRPr="00857CDA" w:rsidRDefault="00771312" w:rsidP="00F133D7">
      <w:pPr>
        <w:spacing w:before="120" w:after="120" w:line="240" w:lineRule="auto"/>
        <w:ind w:left="1134" w:right="1134"/>
        <w:jc w:val="both"/>
        <w:rPr>
          <w:i/>
          <w:lang w:val="ro-RO"/>
        </w:rPr>
      </w:pPr>
      <w:r w:rsidRPr="00857CDA">
        <w:rPr>
          <w:i/>
          <w:lang w:val="ro-RO"/>
        </w:rPr>
        <w:t>Exemple 2</w:t>
      </w:r>
      <w:r w:rsidR="00091658" w:rsidRPr="00857CDA">
        <w:rPr>
          <w:lang w:val="ro-RO"/>
        </w:rPr>
        <w:t>:</w:t>
      </w:r>
      <w:r w:rsidR="001A0EB0" w:rsidRPr="00857CDA">
        <w:rPr>
          <w:i/>
          <w:lang w:val="ro-RO"/>
        </w:rPr>
        <w:t xml:space="preserve"> </w:t>
      </w:r>
      <w:r w:rsidR="00F133D7" w:rsidRPr="00857CDA">
        <w:rPr>
          <w:i/>
          <w:lang w:val="ro-RO"/>
        </w:rPr>
        <w:t>Un amestec care conține trei substanțe corosive pentru piele; două dintre ele (A și B) au limite de concentrație specifice; pentru a treia (C) se aplică limita de concentrație generică. Nu este nevoie ca restul amestecului să fie luat în considerare</w:t>
      </w:r>
      <w:r w:rsidR="00091658" w:rsidRPr="00857CDA">
        <w:rPr>
          <w:lang w:val="ro-RO"/>
        </w:rPr>
        <w:t>:</w:t>
      </w:r>
    </w:p>
    <w:tbl>
      <w:tblPr>
        <w:tblStyle w:val="TableGrid"/>
        <w:tblW w:w="7371" w:type="dxa"/>
        <w:tblInd w:w="1129" w:type="dxa"/>
        <w:tblLayout w:type="fixed"/>
        <w:tblLook w:val="04A0" w:firstRow="1" w:lastRow="0" w:firstColumn="1" w:lastColumn="0" w:noHBand="0" w:noVBand="1"/>
      </w:tblPr>
      <w:tblGrid>
        <w:gridCol w:w="2027"/>
        <w:gridCol w:w="1290"/>
        <w:gridCol w:w="1350"/>
        <w:gridCol w:w="1351"/>
        <w:gridCol w:w="1353"/>
      </w:tblGrid>
      <w:tr w:rsidR="00A074FC" w:rsidRPr="0079052F" w:rsidTr="008E3896">
        <w:trPr>
          <w:cantSplit/>
          <w:tblHeader/>
        </w:trPr>
        <w:tc>
          <w:tcPr>
            <w:tcW w:w="1869" w:type="dxa"/>
            <w:shd w:val="clear" w:color="auto" w:fill="auto"/>
            <w:vAlign w:val="center"/>
          </w:tcPr>
          <w:p w:rsidR="001A0EB0" w:rsidRPr="00857CDA" w:rsidRDefault="00F133D7" w:rsidP="002D4748">
            <w:pPr>
              <w:kinsoku w:val="0"/>
              <w:overflowPunct w:val="0"/>
              <w:autoSpaceDE w:val="0"/>
              <w:autoSpaceDN w:val="0"/>
              <w:adjustRightInd w:val="0"/>
              <w:snapToGrid w:val="0"/>
              <w:spacing w:before="80" w:after="80" w:line="200" w:lineRule="exact"/>
              <w:ind w:left="57" w:right="28"/>
              <w:jc w:val="center"/>
              <w:rPr>
                <w:szCs w:val="18"/>
                <w:lang w:val="ro-RO"/>
              </w:rPr>
            </w:pPr>
            <w:r w:rsidRPr="00857CDA">
              <w:rPr>
                <w:szCs w:val="18"/>
                <w:lang w:val="ro-RO"/>
              </w:rPr>
              <w:lastRenderedPageBreak/>
              <w:t xml:space="preserve">Alocarea substanței X </w:t>
            </w:r>
            <w:r w:rsidR="002D4748" w:rsidRPr="00857CDA">
              <w:rPr>
                <w:szCs w:val="18"/>
                <w:lang w:val="ro-RO"/>
              </w:rPr>
              <w:t>dintr-un</w:t>
            </w:r>
            <w:r w:rsidRPr="00857CDA">
              <w:rPr>
                <w:szCs w:val="18"/>
                <w:lang w:val="ro-RO"/>
              </w:rPr>
              <w:t xml:space="preserve"> amestec într-o grupă de ambalare din clasa 8</w:t>
            </w:r>
          </w:p>
        </w:tc>
        <w:tc>
          <w:tcPr>
            <w:tcW w:w="1190" w:type="dxa"/>
            <w:shd w:val="clear" w:color="auto" w:fill="auto"/>
            <w:vAlign w:val="center"/>
          </w:tcPr>
          <w:p w:rsidR="001A0EB0" w:rsidRPr="00857CDA" w:rsidRDefault="001A0EB0" w:rsidP="00F133D7">
            <w:pPr>
              <w:kinsoku w:val="0"/>
              <w:overflowPunct w:val="0"/>
              <w:autoSpaceDE w:val="0"/>
              <w:autoSpaceDN w:val="0"/>
              <w:adjustRightInd w:val="0"/>
              <w:snapToGrid w:val="0"/>
              <w:spacing w:before="80" w:after="80" w:line="200" w:lineRule="exact"/>
              <w:ind w:left="57" w:right="28"/>
              <w:jc w:val="center"/>
              <w:rPr>
                <w:szCs w:val="18"/>
                <w:lang w:val="ro-RO"/>
              </w:rPr>
            </w:pPr>
            <w:r w:rsidRPr="00857CDA">
              <w:rPr>
                <w:szCs w:val="18"/>
                <w:lang w:val="ro-RO"/>
              </w:rPr>
              <w:t>Concentr</w:t>
            </w:r>
            <w:r w:rsidR="00F22312" w:rsidRPr="00857CDA">
              <w:rPr>
                <w:szCs w:val="18"/>
                <w:lang w:val="ro-RO"/>
              </w:rPr>
              <w:t>a</w:t>
            </w:r>
            <w:r w:rsidR="00F133D7" w:rsidRPr="00857CDA">
              <w:rPr>
                <w:szCs w:val="18"/>
                <w:lang w:val="ro-RO"/>
              </w:rPr>
              <w:t xml:space="preserve">ția </w:t>
            </w:r>
            <w:r w:rsidRPr="00857CDA">
              <w:rPr>
                <w:szCs w:val="18"/>
                <w:lang w:val="ro-RO"/>
              </w:rPr>
              <w:t xml:space="preserve">(conc) </w:t>
            </w:r>
            <w:r w:rsidR="00F133D7" w:rsidRPr="00857CDA">
              <w:rPr>
                <w:szCs w:val="18"/>
                <w:lang w:val="ro-RO"/>
              </w:rPr>
              <w:t>din</w:t>
            </w:r>
            <w:r w:rsidRPr="00857CDA">
              <w:rPr>
                <w:szCs w:val="18"/>
                <w:lang w:val="ro-RO"/>
              </w:rPr>
              <w:t xml:space="preserve"> </w:t>
            </w:r>
            <w:r w:rsidR="00F133D7" w:rsidRPr="00857CDA">
              <w:rPr>
                <w:szCs w:val="18"/>
                <w:lang w:val="ro-RO"/>
              </w:rPr>
              <w:t>amestec î</w:t>
            </w:r>
            <w:r w:rsidRPr="00857CDA">
              <w:rPr>
                <w:szCs w:val="18"/>
                <w:lang w:val="ro-RO"/>
              </w:rPr>
              <w:t>n %</w:t>
            </w:r>
          </w:p>
        </w:tc>
        <w:tc>
          <w:tcPr>
            <w:tcW w:w="1245" w:type="dxa"/>
            <w:shd w:val="clear" w:color="auto" w:fill="auto"/>
            <w:vAlign w:val="center"/>
          </w:tcPr>
          <w:p w:rsidR="001A0EB0" w:rsidRPr="00857CDA" w:rsidRDefault="001A0EB0" w:rsidP="00F133D7">
            <w:pPr>
              <w:kinsoku w:val="0"/>
              <w:overflowPunct w:val="0"/>
              <w:autoSpaceDE w:val="0"/>
              <w:autoSpaceDN w:val="0"/>
              <w:adjustRightInd w:val="0"/>
              <w:snapToGrid w:val="0"/>
              <w:spacing w:before="80" w:after="80" w:line="200" w:lineRule="exact"/>
              <w:ind w:left="57" w:right="28"/>
              <w:jc w:val="center"/>
              <w:rPr>
                <w:szCs w:val="18"/>
                <w:lang w:val="ro-RO"/>
              </w:rPr>
            </w:pPr>
            <w:r w:rsidRPr="00857CDA">
              <w:rPr>
                <w:szCs w:val="18"/>
                <w:lang w:val="ro-RO"/>
              </w:rPr>
              <w:t>Limit</w:t>
            </w:r>
            <w:r w:rsidR="00F133D7" w:rsidRPr="00857CDA">
              <w:rPr>
                <w:szCs w:val="18"/>
                <w:lang w:val="ro-RO"/>
              </w:rPr>
              <w:t>a</w:t>
            </w:r>
            <w:r w:rsidRPr="00857CDA">
              <w:rPr>
                <w:szCs w:val="18"/>
                <w:lang w:val="ro-RO"/>
              </w:rPr>
              <w:t xml:space="preserve"> de concentra</w:t>
            </w:r>
            <w:r w:rsidR="00F133D7" w:rsidRPr="00857CDA">
              <w:rPr>
                <w:szCs w:val="18"/>
                <w:lang w:val="ro-RO"/>
              </w:rPr>
              <w:t>ție</w:t>
            </w:r>
            <w:r w:rsidRPr="00857CDA">
              <w:rPr>
                <w:szCs w:val="18"/>
                <w:lang w:val="ro-RO"/>
              </w:rPr>
              <w:t xml:space="preserve"> sp</w:t>
            </w:r>
            <w:r w:rsidR="00F133D7" w:rsidRPr="00857CDA">
              <w:rPr>
                <w:szCs w:val="18"/>
                <w:lang w:val="ro-RO"/>
              </w:rPr>
              <w:t>e</w:t>
            </w:r>
            <w:r w:rsidRPr="00857CDA">
              <w:rPr>
                <w:szCs w:val="18"/>
                <w:lang w:val="ro-RO"/>
              </w:rPr>
              <w:t>cifi</w:t>
            </w:r>
            <w:r w:rsidR="00F133D7" w:rsidRPr="00857CDA">
              <w:rPr>
                <w:szCs w:val="18"/>
                <w:lang w:val="ro-RO"/>
              </w:rPr>
              <w:t>că</w:t>
            </w:r>
            <w:r w:rsidRPr="00857CDA">
              <w:rPr>
                <w:szCs w:val="18"/>
                <w:lang w:val="ro-RO"/>
              </w:rPr>
              <w:t xml:space="preserve"> </w:t>
            </w:r>
            <w:r w:rsidR="00F5502B" w:rsidRPr="00857CDA">
              <w:rPr>
                <w:szCs w:val="18"/>
                <w:lang w:val="ro-RO"/>
              </w:rPr>
              <w:t>(SCL)</w:t>
            </w:r>
            <w:r w:rsidRPr="00857CDA">
              <w:rPr>
                <w:szCs w:val="18"/>
                <w:lang w:val="ro-RO"/>
              </w:rPr>
              <w:br/>
            </w:r>
            <w:r w:rsidR="00991390" w:rsidRPr="00857CDA">
              <w:rPr>
                <w:szCs w:val="18"/>
                <w:lang w:val="ro-RO"/>
              </w:rPr>
              <w:t>pentru</w:t>
            </w:r>
            <w:r w:rsidRPr="00857CDA">
              <w:rPr>
                <w:szCs w:val="18"/>
                <w:lang w:val="ro-RO"/>
              </w:rPr>
              <w:t xml:space="preserve"> </w:t>
            </w:r>
            <w:r w:rsidR="00217674" w:rsidRPr="00857CDA">
              <w:rPr>
                <w:szCs w:val="18"/>
                <w:lang w:val="ro-RO"/>
              </w:rPr>
              <w:t>grupa de ambalare</w:t>
            </w:r>
            <w:r w:rsidRPr="00857CDA">
              <w:rPr>
                <w:szCs w:val="18"/>
                <w:lang w:val="ro-RO"/>
              </w:rPr>
              <w:t xml:space="preserve"> I</w:t>
            </w:r>
          </w:p>
        </w:tc>
        <w:tc>
          <w:tcPr>
            <w:tcW w:w="1246" w:type="dxa"/>
            <w:shd w:val="clear" w:color="auto" w:fill="auto"/>
            <w:vAlign w:val="center"/>
          </w:tcPr>
          <w:p w:rsidR="001A0EB0" w:rsidRPr="00857CDA" w:rsidRDefault="00F133D7" w:rsidP="008E3896">
            <w:pPr>
              <w:kinsoku w:val="0"/>
              <w:overflowPunct w:val="0"/>
              <w:autoSpaceDE w:val="0"/>
              <w:autoSpaceDN w:val="0"/>
              <w:adjustRightInd w:val="0"/>
              <w:snapToGrid w:val="0"/>
              <w:spacing w:before="80" w:after="80" w:line="200" w:lineRule="exact"/>
              <w:ind w:left="57" w:right="28"/>
              <w:jc w:val="center"/>
              <w:rPr>
                <w:szCs w:val="18"/>
                <w:lang w:val="ro-RO"/>
              </w:rPr>
            </w:pPr>
            <w:r w:rsidRPr="00857CDA">
              <w:rPr>
                <w:szCs w:val="18"/>
                <w:lang w:val="ro-RO"/>
              </w:rPr>
              <w:t xml:space="preserve">Limita de concentrație specifică </w:t>
            </w:r>
            <w:r w:rsidR="00F5502B" w:rsidRPr="00857CDA">
              <w:rPr>
                <w:szCs w:val="18"/>
                <w:lang w:val="ro-RO"/>
              </w:rPr>
              <w:t>(SCL)</w:t>
            </w:r>
            <w:r w:rsidRPr="00857CDA">
              <w:rPr>
                <w:szCs w:val="18"/>
                <w:lang w:val="ro-RO"/>
              </w:rPr>
              <w:br/>
              <w:t xml:space="preserve">pentru grupa de ambalare </w:t>
            </w:r>
            <w:r w:rsidR="001A0EB0" w:rsidRPr="00857CDA">
              <w:rPr>
                <w:szCs w:val="18"/>
                <w:lang w:val="ro-RO"/>
              </w:rPr>
              <w:t>II</w:t>
            </w:r>
          </w:p>
        </w:tc>
        <w:tc>
          <w:tcPr>
            <w:tcW w:w="1248" w:type="dxa"/>
            <w:shd w:val="clear" w:color="auto" w:fill="auto"/>
            <w:vAlign w:val="center"/>
          </w:tcPr>
          <w:p w:rsidR="001A0EB0" w:rsidRPr="00857CDA" w:rsidRDefault="00F133D7" w:rsidP="008E3896">
            <w:pPr>
              <w:kinsoku w:val="0"/>
              <w:overflowPunct w:val="0"/>
              <w:autoSpaceDE w:val="0"/>
              <w:autoSpaceDN w:val="0"/>
              <w:adjustRightInd w:val="0"/>
              <w:snapToGrid w:val="0"/>
              <w:spacing w:before="80" w:after="80" w:line="200" w:lineRule="exact"/>
              <w:ind w:left="57" w:right="28"/>
              <w:jc w:val="center"/>
              <w:rPr>
                <w:szCs w:val="18"/>
                <w:lang w:val="ro-RO"/>
              </w:rPr>
            </w:pPr>
            <w:r w:rsidRPr="00857CDA">
              <w:rPr>
                <w:szCs w:val="18"/>
                <w:lang w:val="ro-RO"/>
              </w:rPr>
              <w:t xml:space="preserve">Limita de concentrație specifică </w:t>
            </w:r>
            <w:r w:rsidR="00F5502B" w:rsidRPr="00857CDA">
              <w:rPr>
                <w:szCs w:val="18"/>
                <w:lang w:val="ro-RO"/>
              </w:rPr>
              <w:t>(SCL)</w:t>
            </w:r>
            <w:r w:rsidRPr="00857CDA">
              <w:rPr>
                <w:szCs w:val="18"/>
                <w:lang w:val="ro-RO"/>
              </w:rPr>
              <w:br/>
              <w:t xml:space="preserve">pentru grupa de ambalare </w:t>
            </w:r>
            <w:r w:rsidR="001A0EB0" w:rsidRPr="00857CDA">
              <w:rPr>
                <w:szCs w:val="18"/>
                <w:lang w:val="ro-RO"/>
              </w:rPr>
              <w:t>III</w:t>
            </w:r>
          </w:p>
        </w:tc>
      </w:tr>
      <w:tr w:rsidR="00A074FC" w:rsidRPr="00857CDA" w:rsidTr="008E3896">
        <w:trPr>
          <w:cantSplit/>
        </w:trPr>
        <w:tc>
          <w:tcPr>
            <w:tcW w:w="1869" w:type="dxa"/>
            <w:shd w:val="clear" w:color="auto" w:fill="auto"/>
            <w:vAlign w:val="center"/>
          </w:tcPr>
          <w:p w:rsidR="001A0EB0" w:rsidRPr="00857CDA" w:rsidRDefault="001A0EB0" w:rsidP="00F5502B">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 xml:space="preserve">A, </w:t>
            </w:r>
            <w:r w:rsidR="00F5502B" w:rsidRPr="00857CDA">
              <w:rPr>
                <w:szCs w:val="18"/>
                <w:lang w:val="ro-RO"/>
              </w:rPr>
              <w:t xml:space="preserve">alocată la </w:t>
            </w:r>
            <w:r w:rsidR="00217674" w:rsidRPr="00857CDA">
              <w:rPr>
                <w:szCs w:val="18"/>
                <w:lang w:val="ro-RO"/>
              </w:rPr>
              <w:t>grupa de ambalare</w:t>
            </w:r>
            <w:r w:rsidRPr="00857CDA">
              <w:rPr>
                <w:szCs w:val="18"/>
                <w:lang w:val="ro-RO"/>
              </w:rPr>
              <w:t xml:space="preserve"> I</w:t>
            </w:r>
          </w:p>
        </w:tc>
        <w:tc>
          <w:tcPr>
            <w:tcW w:w="1190" w:type="dxa"/>
            <w:shd w:val="clear" w:color="auto" w:fill="auto"/>
            <w:vAlign w:val="center"/>
          </w:tcPr>
          <w:p w:rsidR="001A0EB0" w:rsidRPr="00857CDA" w:rsidRDefault="001A0EB0"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3</w:t>
            </w:r>
          </w:p>
        </w:tc>
        <w:tc>
          <w:tcPr>
            <w:tcW w:w="1245" w:type="dxa"/>
            <w:shd w:val="clear" w:color="auto" w:fill="auto"/>
            <w:vAlign w:val="center"/>
          </w:tcPr>
          <w:p w:rsidR="001A0EB0" w:rsidRPr="00857CDA" w:rsidRDefault="001A0EB0"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30 %</w:t>
            </w:r>
          </w:p>
        </w:tc>
        <w:tc>
          <w:tcPr>
            <w:tcW w:w="1246" w:type="dxa"/>
            <w:shd w:val="clear" w:color="auto" w:fill="auto"/>
            <w:vAlign w:val="center"/>
          </w:tcPr>
          <w:p w:rsidR="001A0EB0" w:rsidRPr="00857CDA" w:rsidRDefault="002D4748"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niciuna</w:t>
            </w:r>
          </w:p>
        </w:tc>
        <w:tc>
          <w:tcPr>
            <w:tcW w:w="1248" w:type="dxa"/>
            <w:shd w:val="clear" w:color="auto" w:fill="auto"/>
            <w:vAlign w:val="center"/>
          </w:tcPr>
          <w:p w:rsidR="001A0EB0" w:rsidRPr="00857CDA" w:rsidRDefault="002D4748"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niciuna</w:t>
            </w:r>
          </w:p>
        </w:tc>
      </w:tr>
      <w:tr w:rsidR="00A074FC" w:rsidRPr="00857CDA" w:rsidTr="008E3896">
        <w:trPr>
          <w:cantSplit/>
        </w:trPr>
        <w:tc>
          <w:tcPr>
            <w:tcW w:w="1869" w:type="dxa"/>
            <w:shd w:val="clear" w:color="auto" w:fill="auto"/>
            <w:vAlign w:val="center"/>
          </w:tcPr>
          <w:p w:rsidR="001A0EB0" w:rsidRPr="00857CDA" w:rsidRDefault="001A0EB0" w:rsidP="00F5502B">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 xml:space="preserve">B, </w:t>
            </w:r>
            <w:r w:rsidR="00F5502B" w:rsidRPr="00857CDA">
              <w:rPr>
                <w:szCs w:val="18"/>
                <w:lang w:val="ro-RO"/>
              </w:rPr>
              <w:t>alocată la</w:t>
            </w:r>
            <w:r w:rsidRPr="00857CDA">
              <w:rPr>
                <w:szCs w:val="18"/>
                <w:lang w:val="ro-RO"/>
              </w:rPr>
              <w:t xml:space="preserve"> </w:t>
            </w:r>
            <w:r w:rsidR="00217674" w:rsidRPr="00857CDA">
              <w:rPr>
                <w:szCs w:val="18"/>
                <w:lang w:val="ro-RO"/>
              </w:rPr>
              <w:t>grupa de ambalare</w:t>
            </w:r>
            <w:r w:rsidRPr="00857CDA">
              <w:rPr>
                <w:szCs w:val="18"/>
                <w:lang w:val="ro-RO"/>
              </w:rPr>
              <w:t xml:space="preserve"> I</w:t>
            </w:r>
          </w:p>
        </w:tc>
        <w:tc>
          <w:tcPr>
            <w:tcW w:w="1190" w:type="dxa"/>
            <w:shd w:val="clear" w:color="auto" w:fill="auto"/>
            <w:vAlign w:val="center"/>
          </w:tcPr>
          <w:p w:rsidR="001A0EB0" w:rsidRPr="00857CDA" w:rsidRDefault="001A0EB0"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2</w:t>
            </w:r>
          </w:p>
        </w:tc>
        <w:tc>
          <w:tcPr>
            <w:tcW w:w="1245" w:type="dxa"/>
            <w:shd w:val="clear" w:color="auto" w:fill="auto"/>
            <w:vAlign w:val="center"/>
          </w:tcPr>
          <w:p w:rsidR="001A0EB0" w:rsidRPr="00857CDA" w:rsidRDefault="001A0EB0"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20 %</w:t>
            </w:r>
          </w:p>
        </w:tc>
        <w:tc>
          <w:tcPr>
            <w:tcW w:w="1246" w:type="dxa"/>
            <w:shd w:val="clear" w:color="auto" w:fill="auto"/>
            <w:vAlign w:val="center"/>
          </w:tcPr>
          <w:p w:rsidR="001A0EB0" w:rsidRPr="00857CDA" w:rsidRDefault="001A0EB0"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10%</w:t>
            </w:r>
          </w:p>
        </w:tc>
        <w:tc>
          <w:tcPr>
            <w:tcW w:w="1248" w:type="dxa"/>
            <w:shd w:val="clear" w:color="auto" w:fill="auto"/>
            <w:vAlign w:val="center"/>
          </w:tcPr>
          <w:p w:rsidR="001A0EB0" w:rsidRPr="00857CDA" w:rsidRDefault="002D4748"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niciuna</w:t>
            </w:r>
          </w:p>
        </w:tc>
      </w:tr>
      <w:tr w:rsidR="00A074FC" w:rsidRPr="00857CDA" w:rsidTr="008E3896">
        <w:trPr>
          <w:cantSplit/>
        </w:trPr>
        <w:tc>
          <w:tcPr>
            <w:tcW w:w="1869" w:type="dxa"/>
            <w:shd w:val="clear" w:color="auto" w:fill="auto"/>
            <w:vAlign w:val="center"/>
          </w:tcPr>
          <w:p w:rsidR="001A0EB0" w:rsidRPr="00857CDA" w:rsidRDefault="001A0EB0" w:rsidP="00F5502B">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C, a</w:t>
            </w:r>
            <w:r w:rsidR="00F5502B" w:rsidRPr="00857CDA">
              <w:rPr>
                <w:szCs w:val="18"/>
                <w:lang w:val="ro-RO"/>
              </w:rPr>
              <w:t xml:space="preserve">locată la </w:t>
            </w:r>
            <w:r w:rsidR="00217674" w:rsidRPr="00857CDA">
              <w:rPr>
                <w:szCs w:val="18"/>
                <w:lang w:val="ro-RO"/>
              </w:rPr>
              <w:t>grupa de ambalare</w:t>
            </w:r>
            <w:r w:rsidRPr="00857CDA">
              <w:rPr>
                <w:szCs w:val="18"/>
                <w:lang w:val="ro-RO"/>
              </w:rPr>
              <w:t xml:space="preserve"> III</w:t>
            </w:r>
          </w:p>
        </w:tc>
        <w:tc>
          <w:tcPr>
            <w:tcW w:w="1190" w:type="dxa"/>
            <w:shd w:val="clear" w:color="auto" w:fill="auto"/>
            <w:vAlign w:val="center"/>
          </w:tcPr>
          <w:p w:rsidR="001A0EB0" w:rsidRPr="00857CDA" w:rsidRDefault="001A0EB0"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10</w:t>
            </w:r>
          </w:p>
        </w:tc>
        <w:tc>
          <w:tcPr>
            <w:tcW w:w="1245" w:type="dxa"/>
            <w:shd w:val="clear" w:color="auto" w:fill="auto"/>
            <w:vAlign w:val="center"/>
          </w:tcPr>
          <w:p w:rsidR="001A0EB0" w:rsidRPr="00857CDA" w:rsidRDefault="002D4748"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niciuna</w:t>
            </w:r>
          </w:p>
        </w:tc>
        <w:tc>
          <w:tcPr>
            <w:tcW w:w="1246" w:type="dxa"/>
            <w:shd w:val="clear" w:color="auto" w:fill="auto"/>
            <w:vAlign w:val="center"/>
          </w:tcPr>
          <w:p w:rsidR="001A0EB0" w:rsidRPr="00857CDA" w:rsidRDefault="002D4748"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niciuna</w:t>
            </w:r>
          </w:p>
        </w:tc>
        <w:tc>
          <w:tcPr>
            <w:tcW w:w="1248" w:type="dxa"/>
            <w:shd w:val="clear" w:color="auto" w:fill="auto"/>
            <w:vAlign w:val="center"/>
          </w:tcPr>
          <w:p w:rsidR="001A0EB0" w:rsidRPr="00857CDA" w:rsidRDefault="002D4748" w:rsidP="008E3896">
            <w:pPr>
              <w:kinsoku w:val="0"/>
              <w:overflowPunct w:val="0"/>
              <w:autoSpaceDE w:val="0"/>
              <w:autoSpaceDN w:val="0"/>
              <w:adjustRightInd w:val="0"/>
              <w:snapToGrid w:val="0"/>
              <w:spacing w:before="40" w:after="40" w:line="220" w:lineRule="exact"/>
              <w:ind w:left="57" w:right="28"/>
              <w:jc w:val="center"/>
              <w:rPr>
                <w:szCs w:val="18"/>
                <w:lang w:val="ro-RO"/>
              </w:rPr>
            </w:pPr>
            <w:r w:rsidRPr="00857CDA">
              <w:rPr>
                <w:szCs w:val="18"/>
                <w:lang w:val="ro-RO"/>
              </w:rPr>
              <w:t>niciuna</w:t>
            </w:r>
          </w:p>
        </w:tc>
      </w:tr>
    </w:tbl>
    <w:p w:rsidR="001A0EB0" w:rsidRPr="00857CDA" w:rsidRDefault="001A0EB0" w:rsidP="001A0EB0">
      <w:pPr>
        <w:spacing w:before="120" w:after="120" w:line="240" w:lineRule="auto"/>
        <w:ind w:left="1134" w:right="1134"/>
        <w:jc w:val="both"/>
        <w:rPr>
          <w:i/>
          <w:lang w:val="ro-RO"/>
        </w:rPr>
      </w:pPr>
      <w:r w:rsidRPr="00857CDA">
        <w:rPr>
          <w:i/>
          <w:lang w:val="ro-RO"/>
        </w:rPr>
        <w:t>Calc</w:t>
      </w:r>
      <w:r w:rsidR="00771312" w:rsidRPr="00857CDA">
        <w:rPr>
          <w:i/>
          <w:lang w:val="ro-RO"/>
        </w:rPr>
        <w:t xml:space="preserve">ul </w:t>
      </w:r>
      <w:r w:rsidR="00991390" w:rsidRPr="00857CDA">
        <w:rPr>
          <w:i/>
          <w:lang w:val="ro-RO"/>
        </w:rPr>
        <w:t>pentru</w:t>
      </w:r>
      <w:r w:rsidR="00771312" w:rsidRPr="00857CDA">
        <w:rPr>
          <w:i/>
          <w:lang w:val="ro-RO"/>
        </w:rPr>
        <w:t xml:space="preserve"> </w:t>
      </w:r>
      <w:r w:rsidR="00217674" w:rsidRPr="00857CDA">
        <w:rPr>
          <w:i/>
          <w:lang w:val="ro-RO"/>
        </w:rPr>
        <w:t>grupa de ambalare</w:t>
      </w:r>
      <w:r w:rsidR="00771312" w:rsidRPr="00857CDA">
        <w:rPr>
          <w:i/>
          <w:lang w:val="ro-RO"/>
        </w:rPr>
        <w:t xml:space="preserve"> I</w:t>
      </w:r>
      <w:r w:rsidR="00091658" w:rsidRPr="00857CDA">
        <w:rPr>
          <w:lang w:val="ro-RO"/>
        </w:rPr>
        <w:t>:</w:t>
      </w:r>
      <w:r w:rsidRPr="00857CDA">
        <w:rPr>
          <w:i/>
          <w:lang w:val="ro-RO"/>
        </w:rPr>
        <w:tab/>
      </w:r>
      <m:oMath>
        <m:f>
          <m:fPr>
            <m:ctrlPr>
              <w:rPr>
                <w:rFonts w:ascii="Cambria Math" w:hAnsi="Cambria Math"/>
                <w:i/>
                <w:vertAlign w:val="subscript"/>
                <w:lang w:val="ro-RO"/>
              </w:rPr>
            </m:ctrlPr>
          </m:fPr>
          <m:num>
            <m:r>
              <w:rPr>
                <w:rFonts w:ascii="Cambria Math" w:hAnsi="Cambria Math"/>
                <w:lang w:val="ro-RO"/>
              </w:rPr>
              <m:t>3 (conc A)</m:t>
            </m:r>
          </m:num>
          <m:den>
            <m:r>
              <w:rPr>
                <w:rFonts w:ascii="Cambria Math" w:hAnsi="Cambria Math"/>
                <w:vertAlign w:val="subscript"/>
                <w:lang w:val="ro-RO"/>
              </w:rPr>
              <m:t>30 (SCL PGI)</m:t>
            </m:r>
          </m:den>
        </m:f>
        <m:r>
          <w:rPr>
            <w:rFonts w:ascii="Cambria Math" w:hAnsi="Cambria Math"/>
            <w:vertAlign w:val="subscript"/>
            <w:lang w:val="ro-RO"/>
          </w:rPr>
          <m:t xml:space="preserve">  + </m:t>
        </m:r>
        <m:f>
          <m:fPr>
            <m:ctrlPr>
              <w:rPr>
                <w:rFonts w:ascii="Cambria Math" w:hAnsi="Cambria Math"/>
                <w:i/>
                <w:vertAlign w:val="subscript"/>
                <w:lang w:val="ro-RO"/>
              </w:rPr>
            </m:ctrlPr>
          </m:fPr>
          <m:num>
            <m:r>
              <w:rPr>
                <w:rFonts w:ascii="Cambria Math" w:hAnsi="Cambria Math"/>
                <w:vertAlign w:val="subscript"/>
                <w:lang w:val="ro-RO"/>
              </w:rPr>
              <m:t xml:space="preserve">2 (conc B)  </m:t>
            </m:r>
          </m:num>
          <m:den>
            <m:r>
              <w:rPr>
                <w:rFonts w:ascii="Cambria Math" w:hAnsi="Cambria Math"/>
                <w:vertAlign w:val="subscript"/>
                <w:lang w:val="ro-RO"/>
              </w:rPr>
              <m:t>20 (SCL PGI)</m:t>
            </m:r>
          </m:den>
        </m:f>
        <m:r>
          <w:rPr>
            <w:rFonts w:ascii="Cambria Math" w:hAnsi="Cambria Math"/>
            <w:vertAlign w:val="subscript"/>
            <w:lang w:val="ro-RO"/>
          </w:rPr>
          <m:t>=0,2&lt;1</m:t>
        </m:r>
      </m:oMath>
    </w:p>
    <w:p w:rsidR="001A0EB0" w:rsidRPr="00857CDA" w:rsidRDefault="006F77C9" w:rsidP="001A0EB0">
      <w:pPr>
        <w:spacing w:before="120" w:after="120" w:line="240" w:lineRule="auto"/>
        <w:ind w:left="1134" w:right="1134"/>
        <w:jc w:val="both"/>
        <w:rPr>
          <w:i/>
          <w:lang w:val="ro-RO"/>
        </w:rPr>
      </w:pPr>
      <w:r w:rsidRPr="00857CDA">
        <w:rPr>
          <w:i/>
          <w:lang w:val="ro-RO"/>
        </w:rPr>
        <w:t>Criteriul</w:t>
      </w:r>
      <w:r w:rsidR="001A0EB0" w:rsidRPr="00857CDA">
        <w:rPr>
          <w:i/>
          <w:lang w:val="ro-RO"/>
        </w:rPr>
        <w:t xml:space="preserve"> </w:t>
      </w:r>
      <w:r w:rsidR="00991390" w:rsidRPr="00857CDA">
        <w:rPr>
          <w:i/>
          <w:lang w:val="ro-RO"/>
        </w:rPr>
        <w:t>pentru</w:t>
      </w:r>
      <w:r w:rsidR="001A0EB0" w:rsidRPr="00857CDA">
        <w:rPr>
          <w:i/>
          <w:lang w:val="ro-RO"/>
        </w:rPr>
        <w:t xml:space="preserve"> </w:t>
      </w:r>
      <w:r w:rsidR="00217674" w:rsidRPr="00857CDA">
        <w:rPr>
          <w:i/>
          <w:lang w:val="ro-RO"/>
        </w:rPr>
        <w:t>grupa de ambalare</w:t>
      </w:r>
      <w:r w:rsidR="001A0EB0" w:rsidRPr="00857CDA">
        <w:rPr>
          <w:i/>
          <w:lang w:val="ro-RO"/>
        </w:rPr>
        <w:t xml:space="preserve"> I n</w:t>
      </w:r>
      <w:r w:rsidRPr="00857CDA">
        <w:rPr>
          <w:i/>
          <w:lang w:val="ro-RO"/>
        </w:rPr>
        <w:t>u este respectat</w:t>
      </w:r>
      <w:r w:rsidR="001A0EB0" w:rsidRPr="00857CDA">
        <w:rPr>
          <w:i/>
          <w:lang w:val="ro-RO"/>
        </w:rPr>
        <w:t>.</w:t>
      </w:r>
    </w:p>
    <w:p w:rsidR="001A0EB0" w:rsidRPr="00857CDA" w:rsidRDefault="001A0EB0" w:rsidP="001A0EB0">
      <w:pPr>
        <w:spacing w:before="120" w:after="120" w:line="240" w:lineRule="auto"/>
        <w:ind w:left="1134" w:right="1134"/>
        <w:jc w:val="both"/>
        <w:rPr>
          <w:i/>
          <w:vertAlign w:val="subscript"/>
          <w:lang w:val="ro-RO"/>
        </w:rPr>
      </w:pPr>
      <w:r w:rsidRPr="00857CDA">
        <w:rPr>
          <w:i/>
          <w:lang w:val="ro-RO"/>
        </w:rPr>
        <w:t>Calcu</w:t>
      </w:r>
      <w:r w:rsidR="00771312" w:rsidRPr="00857CDA">
        <w:rPr>
          <w:i/>
          <w:lang w:val="ro-RO"/>
        </w:rPr>
        <w:t xml:space="preserve">l </w:t>
      </w:r>
      <w:r w:rsidR="00991390" w:rsidRPr="00857CDA">
        <w:rPr>
          <w:i/>
          <w:lang w:val="ro-RO"/>
        </w:rPr>
        <w:t>pentru</w:t>
      </w:r>
      <w:r w:rsidR="00771312" w:rsidRPr="00857CDA">
        <w:rPr>
          <w:i/>
          <w:lang w:val="ro-RO"/>
        </w:rPr>
        <w:t xml:space="preserve"> </w:t>
      </w:r>
      <w:r w:rsidR="00217674" w:rsidRPr="00857CDA">
        <w:rPr>
          <w:i/>
          <w:lang w:val="ro-RO"/>
        </w:rPr>
        <w:t>grupa de ambalare</w:t>
      </w:r>
      <w:r w:rsidR="00771312" w:rsidRPr="00857CDA">
        <w:rPr>
          <w:i/>
          <w:lang w:val="ro-RO"/>
        </w:rPr>
        <w:t xml:space="preserve"> II</w:t>
      </w:r>
      <w:r w:rsidR="00091658" w:rsidRPr="00857CDA">
        <w:rPr>
          <w:lang w:val="ro-RO"/>
        </w:rPr>
        <w:t>:</w:t>
      </w:r>
      <w:r w:rsidRPr="00857CDA">
        <w:rPr>
          <w:i/>
          <w:lang w:val="ro-RO"/>
        </w:rPr>
        <w:tab/>
      </w:r>
      <m:oMath>
        <m:f>
          <m:fPr>
            <m:ctrlPr>
              <w:rPr>
                <w:rFonts w:ascii="Cambria Math" w:hAnsi="Cambria Math"/>
                <w:i/>
                <w:vertAlign w:val="subscript"/>
                <w:lang w:val="ro-RO"/>
              </w:rPr>
            </m:ctrlPr>
          </m:fPr>
          <m:num>
            <m:r>
              <w:rPr>
                <w:rFonts w:ascii="Cambria Math" w:hAnsi="Cambria Math"/>
                <w:lang w:val="ro-RO"/>
              </w:rPr>
              <m:t>3 (conc A)</m:t>
            </m:r>
          </m:num>
          <m:den>
            <m:r>
              <w:rPr>
                <w:rFonts w:ascii="Cambria Math" w:hAnsi="Cambria Math"/>
                <w:vertAlign w:val="subscript"/>
                <w:lang w:val="ro-RO"/>
              </w:rPr>
              <m:t>5 (GCL PG II)</m:t>
            </m:r>
          </m:den>
        </m:f>
        <m:r>
          <w:rPr>
            <w:rFonts w:ascii="Cambria Math" w:hAnsi="Cambria Math"/>
            <w:vertAlign w:val="subscript"/>
            <w:lang w:val="ro-RO"/>
          </w:rPr>
          <m:t xml:space="preserve">  + </m:t>
        </m:r>
        <m:f>
          <m:fPr>
            <m:ctrlPr>
              <w:rPr>
                <w:rFonts w:ascii="Cambria Math" w:hAnsi="Cambria Math"/>
                <w:i/>
                <w:vertAlign w:val="subscript"/>
                <w:lang w:val="ro-RO"/>
              </w:rPr>
            </m:ctrlPr>
          </m:fPr>
          <m:num>
            <m:r>
              <w:rPr>
                <w:rFonts w:ascii="Cambria Math" w:hAnsi="Cambria Math"/>
                <w:vertAlign w:val="subscript"/>
                <w:lang w:val="ro-RO"/>
              </w:rPr>
              <m:t xml:space="preserve">2 (conc B)  </m:t>
            </m:r>
          </m:num>
          <m:den>
            <m:r>
              <w:rPr>
                <w:rFonts w:ascii="Cambria Math" w:hAnsi="Cambria Math"/>
                <w:vertAlign w:val="subscript"/>
                <w:lang w:val="ro-RO"/>
              </w:rPr>
              <m:t>10 (SCL PG II)</m:t>
            </m:r>
          </m:den>
        </m:f>
        <m:r>
          <w:rPr>
            <w:rFonts w:ascii="Cambria Math" w:hAnsi="Cambria Math"/>
            <w:vertAlign w:val="subscript"/>
            <w:lang w:val="ro-RO"/>
          </w:rPr>
          <m:t>=0,8&lt;1</m:t>
        </m:r>
      </m:oMath>
    </w:p>
    <w:p w:rsidR="001A0EB0" w:rsidRPr="00857CDA" w:rsidRDefault="006F77C9" w:rsidP="001A0EB0">
      <w:pPr>
        <w:spacing w:before="120" w:after="120" w:line="240" w:lineRule="auto"/>
        <w:ind w:left="1134" w:right="1134"/>
        <w:jc w:val="both"/>
        <w:rPr>
          <w:i/>
          <w:lang w:val="ro-RO"/>
        </w:rPr>
      </w:pPr>
      <w:r w:rsidRPr="00857CDA">
        <w:rPr>
          <w:i/>
          <w:lang w:val="ro-RO"/>
        </w:rPr>
        <w:t>Criteriul pentru grupa de ambalare II nu este respectat</w:t>
      </w:r>
      <w:r w:rsidR="001A0EB0" w:rsidRPr="00857CDA">
        <w:rPr>
          <w:i/>
          <w:lang w:val="ro-RO"/>
        </w:rPr>
        <w:t>.</w:t>
      </w:r>
    </w:p>
    <w:p w:rsidR="001A0EB0" w:rsidRPr="00857CDA" w:rsidRDefault="001A0EB0" w:rsidP="001A0EB0">
      <w:pPr>
        <w:spacing w:before="120" w:after="120" w:line="240" w:lineRule="auto"/>
        <w:ind w:left="1134" w:right="1134"/>
        <w:jc w:val="both"/>
        <w:rPr>
          <w:i/>
          <w:lang w:val="ro-RO"/>
        </w:rPr>
      </w:pPr>
      <w:r w:rsidRPr="00857CDA">
        <w:rPr>
          <w:i/>
          <w:lang w:val="ro-RO"/>
        </w:rPr>
        <w:t>Calcul</w:t>
      </w:r>
      <w:r w:rsidR="00771312" w:rsidRPr="00857CDA">
        <w:rPr>
          <w:i/>
          <w:lang w:val="ro-RO"/>
        </w:rPr>
        <w:t xml:space="preserve"> </w:t>
      </w:r>
      <w:r w:rsidR="00991390" w:rsidRPr="00857CDA">
        <w:rPr>
          <w:i/>
          <w:lang w:val="ro-RO"/>
        </w:rPr>
        <w:t>pentru</w:t>
      </w:r>
      <w:r w:rsidR="006F77C9" w:rsidRPr="00857CDA">
        <w:rPr>
          <w:i/>
          <w:lang w:val="ro-RO"/>
        </w:rPr>
        <w:t xml:space="preserve"> </w:t>
      </w:r>
      <w:r w:rsidR="00217674" w:rsidRPr="00857CDA">
        <w:rPr>
          <w:i/>
          <w:lang w:val="ro-RO"/>
        </w:rPr>
        <w:t>grupa de ambalare</w:t>
      </w:r>
      <w:r w:rsidR="00771312" w:rsidRPr="00857CDA">
        <w:rPr>
          <w:i/>
          <w:lang w:val="ro-RO"/>
        </w:rPr>
        <w:t xml:space="preserve"> III</w:t>
      </w:r>
      <w:r w:rsidR="00091658" w:rsidRPr="00857CDA">
        <w:rPr>
          <w:lang w:val="ro-RO"/>
        </w:rPr>
        <w:t>:</w:t>
      </w:r>
    </w:p>
    <w:p w:rsidR="001A0EB0" w:rsidRPr="00857CDA" w:rsidRDefault="001A0EB0" w:rsidP="001A0EB0">
      <w:pPr>
        <w:spacing w:before="120" w:after="120" w:line="240" w:lineRule="auto"/>
        <w:ind w:left="1134" w:right="1134"/>
        <w:jc w:val="both"/>
        <w:rPr>
          <w:i/>
          <w:vertAlign w:val="subscript"/>
          <w:lang w:val="ro-RO"/>
        </w:rPr>
      </w:pPr>
      <w:r w:rsidRPr="00857CDA">
        <w:rPr>
          <w:i/>
          <w:lang w:val="ro-RO"/>
        </w:rPr>
        <w:tab/>
      </w:r>
      <m:oMath>
        <m:f>
          <m:fPr>
            <m:ctrlPr>
              <w:rPr>
                <w:rFonts w:ascii="Cambria Math" w:hAnsi="Cambria Math"/>
                <w:i/>
                <w:vertAlign w:val="subscript"/>
                <w:lang w:val="ro-RO"/>
              </w:rPr>
            </m:ctrlPr>
          </m:fPr>
          <m:num>
            <m:r>
              <w:rPr>
                <w:rFonts w:ascii="Cambria Math" w:hAnsi="Cambria Math"/>
                <w:lang w:val="ro-RO"/>
              </w:rPr>
              <m:t>3 (conc A)</m:t>
            </m:r>
          </m:num>
          <m:den>
            <m:r>
              <w:rPr>
                <w:rFonts w:ascii="Cambria Math" w:hAnsi="Cambria Math"/>
                <w:vertAlign w:val="subscript"/>
                <w:lang w:val="ro-RO"/>
              </w:rPr>
              <m:t>5 (GCL PGIII)</m:t>
            </m:r>
          </m:den>
        </m:f>
        <m:r>
          <w:rPr>
            <w:rFonts w:ascii="Cambria Math" w:hAnsi="Cambria Math"/>
            <w:vertAlign w:val="subscript"/>
            <w:lang w:val="ro-RO"/>
          </w:rPr>
          <m:t xml:space="preserve">  + </m:t>
        </m:r>
        <m:f>
          <m:fPr>
            <m:ctrlPr>
              <w:rPr>
                <w:rFonts w:ascii="Cambria Math" w:hAnsi="Cambria Math"/>
                <w:i/>
                <w:vertAlign w:val="subscript"/>
                <w:lang w:val="ro-RO"/>
              </w:rPr>
            </m:ctrlPr>
          </m:fPr>
          <m:num>
            <m:r>
              <w:rPr>
                <w:rFonts w:ascii="Cambria Math" w:hAnsi="Cambria Math"/>
                <w:vertAlign w:val="subscript"/>
                <w:lang w:val="ro-RO"/>
              </w:rPr>
              <m:t xml:space="preserve">2 (conc B)  </m:t>
            </m:r>
          </m:num>
          <m:den>
            <m:r>
              <w:rPr>
                <w:rFonts w:ascii="Cambria Math" w:hAnsi="Cambria Math"/>
                <w:vertAlign w:val="subscript"/>
                <w:lang w:val="ro-RO"/>
              </w:rPr>
              <m:t>5 (GCL PG III)</m:t>
            </m:r>
          </m:den>
        </m:f>
        <m:r>
          <w:rPr>
            <w:rFonts w:ascii="Cambria Math" w:hAnsi="Cambria Math"/>
            <w:vertAlign w:val="subscript"/>
            <w:lang w:val="ro-RO"/>
          </w:rPr>
          <m:t xml:space="preserve"> + </m:t>
        </m:r>
        <m:f>
          <m:fPr>
            <m:ctrlPr>
              <w:rPr>
                <w:rFonts w:ascii="Cambria Math" w:hAnsi="Cambria Math"/>
                <w:i/>
                <w:vertAlign w:val="subscript"/>
                <w:lang w:val="ro-RO"/>
              </w:rPr>
            </m:ctrlPr>
          </m:fPr>
          <m:num>
            <m:r>
              <w:rPr>
                <w:rFonts w:ascii="Cambria Math" w:hAnsi="Cambria Math"/>
                <w:vertAlign w:val="subscript"/>
                <w:lang w:val="ro-RO"/>
              </w:rPr>
              <m:t xml:space="preserve">10 (conc C)  </m:t>
            </m:r>
          </m:num>
          <m:den>
            <m:r>
              <w:rPr>
                <w:rFonts w:ascii="Cambria Math" w:hAnsi="Cambria Math"/>
                <w:vertAlign w:val="subscript"/>
                <w:lang w:val="ro-RO"/>
              </w:rPr>
              <m:t>5 GCL PG III)</m:t>
            </m:r>
          </m:den>
        </m:f>
        <m:r>
          <w:rPr>
            <w:rFonts w:ascii="Cambria Math" w:hAnsi="Cambria Math"/>
            <w:vertAlign w:val="subscript"/>
            <w:lang w:val="ro-RO"/>
          </w:rPr>
          <m:t>=3 ≥ 1</m:t>
        </m:r>
      </m:oMath>
    </w:p>
    <w:p w:rsidR="00B762BD" w:rsidRPr="00857CDA" w:rsidRDefault="006F77C9" w:rsidP="001A0EB0">
      <w:pPr>
        <w:spacing w:before="120" w:after="120" w:line="240" w:lineRule="auto"/>
        <w:ind w:left="1134" w:right="1134"/>
        <w:jc w:val="both"/>
        <w:rPr>
          <w:lang w:val="ro-RO"/>
        </w:rPr>
      </w:pPr>
      <w:r w:rsidRPr="00857CDA">
        <w:rPr>
          <w:i/>
          <w:lang w:val="ro-RO"/>
        </w:rPr>
        <w:t>Criteriul pentru grupa de ambalare III este respectat</w:t>
      </w:r>
      <w:r w:rsidR="001A0EB0" w:rsidRPr="00857CDA">
        <w:rPr>
          <w:i/>
          <w:lang w:val="ro-RO"/>
        </w:rPr>
        <w:t xml:space="preserve">; </w:t>
      </w:r>
      <w:r w:rsidRPr="00857CDA">
        <w:rPr>
          <w:i/>
          <w:lang w:val="ro-RO"/>
        </w:rPr>
        <w:t>amestecul e</w:t>
      </w:r>
      <w:r w:rsidR="001A0EB0" w:rsidRPr="00857CDA">
        <w:rPr>
          <w:i/>
          <w:lang w:val="ro-RO"/>
        </w:rPr>
        <w:t>st</w:t>
      </w:r>
      <w:r w:rsidRPr="00857CDA">
        <w:rPr>
          <w:i/>
          <w:lang w:val="ro-RO"/>
        </w:rPr>
        <w:t>e</w:t>
      </w:r>
      <w:r w:rsidR="001A0EB0" w:rsidRPr="00857CDA">
        <w:rPr>
          <w:i/>
          <w:lang w:val="ro-RO"/>
        </w:rPr>
        <w:t xml:space="preserve"> a</w:t>
      </w:r>
      <w:r w:rsidRPr="00857CDA">
        <w:rPr>
          <w:i/>
          <w:lang w:val="ro-RO"/>
        </w:rPr>
        <w:t>locat</w:t>
      </w:r>
      <w:r w:rsidR="001A0EB0" w:rsidRPr="00857CDA">
        <w:rPr>
          <w:i/>
          <w:lang w:val="ro-RO"/>
        </w:rPr>
        <w:t xml:space="preserve"> la </w:t>
      </w:r>
      <w:r w:rsidR="002B679C" w:rsidRPr="00857CDA">
        <w:rPr>
          <w:i/>
          <w:lang w:val="ro-RO"/>
        </w:rPr>
        <w:t>clasa</w:t>
      </w:r>
      <w:r w:rsidR="001A0EB0" w:rsidRPr="00857CDA">
        <w:rPr>
          <w:i/>
          <w:lang w:val="ro-RO"/>
        </w:rPr>
        <w:t xml:space="preserve"> 8, </w:t>
      </w:r>
      <w:r w:rsidR="00217674" w:rsidRPr="00857CDA">
        <w:rPr>
          <w:i/>
          <w:lang w:val="ro-RO"/>
        </w:rPr>
        <w:t>grupa de ambalare</w:t>
      </w:r>
      <w:r w:rsidR="001A0EB0" w:rsidRPr="00857CDA">
        <w:rPr>
          <w:i/>
          <w:lang w:val="ro-RO"/>
        </w:rPr>
        <w:t xml:space="preserve"> III.</w:t>
      </w:r>
    </w:p>
    <w:p w:rsidR="001A0EB0" w:rsidRPr="00857CDA" w:rsidRDefault="001A0EB0" w:rsidP="001A0EB0">
      <w:pPr>
        <w:spacing w:before="120" w:after="120" w:line="240" w:lineRule="auto"/>
        <w:ind w:left="1134" w:right="1134"/>
        <w:jc w:val="center"/>
        <w:rPr>
          <w:b/>
          <w:lang w:val="ro-RO"/>
        </w:rPr>
      </w:pPr>
      <w:r w:rsidRPr="00857CDA">
        <w:rPr>
          <w:b/>
          <w:lang w:val="ro-RO"/>
        </w:rPr>
        <w:t>Figur</w:t>
      </w:r>
      <w:r w:rsidR="00047D4D" w:rsidRPr="00857CDA">
        <w:rPr>
          <w:b/>
          <w:lang w:val="ro-RO"/>
        </w:rPr>
        <w:t>a</w:t>
      </w:r>
      <w:r w:rsidRPr="00857CDA">
        <w:rPr>
          <w:b/>
          <w:lang w:val="ro-RO"/>
        </w:rPr>
        <w:t xml:space="preserve"> </w:t>
      </w:r>
      <w:r w:rsidR="006F0B9F" w:rsidRPr="00857CDA">
        <w:rPr>
          <w:b/>
          <w:lang w:val="ro-RO"/>
        </w:rPr>
        <w:t>2.2.8.1.6.3</w:t>
      </w:r>
      <w:r w:rsidRPr="00857CDA">
        <w:rPr>
          <w:b/>
          <w:lang w:val="ro-RO"/>
        </w:rPr>
        <w:t>: M</w:t>
      </w:r>
      <w:r w:rsidR="00047D4D" w:rsidRPr="00857CDA">
        <w:rPr>
          <w:b/>
          <w:lang w:val="ro-RO"/>
        </w:rPr>
        <w:t>e</w:t>
      </w:r>
      <w:r w:rsidRPr="00857CDA">
        <w:rPr>
          <w:b/>
          <w:lang w:val="ro-RO"/>
        </w:rPr>
        <w:t>tod</w:t>
      </w:r>
      <w:r w:rsidR="00047D4D" w:rsidRPr="00857CDA">
        <w:rPr>
          <w:b/>
          <w:lang w:val="ro-RO"/>
        </w:rPr>
        <w:t>ă</w:t>
      </w:r>
      <w:r w:rsidRPr="00857CDA">
        <w:rPr>
          <w:b/>
          <w:lang w:val="ro-RO"/>
        </w:rPr>
        <w:t xml:space="preserve"> de calcul</w:t>
      </w:r>
    </w:p>
    <w:p w:rsidR="004337F4" w:rsidRPr="00857CDA" w:rsidRDefault="00FE20D9" w:rsidP="00FE20D9">
      <w:pPr>
        <w:spacing w:before="120" w:after="120" w:line="240" w:lineRule="auto"/>
        <w:ind w:left="567" w:right="1134"/>
        <w:jc w:val="center"/>
        <w:rPr>
          <w:lang w:val="ro-RO"/>
        </w:rPr>
      </w:pPr>
      <w:r w:rsidRPr="00857CDA">
        <w:rPr>
          <w:noProof/>
          <w:lang w:val="ro-RO" w:eastAsia="ro-RO"/>
        </w:rPr>
        <w:drawing>
          <wp:inline distT="0" distB="0" distL="0" distR="0">
            <wp:extent cx="5517931" cy="3925614"/>
            <wp:effectExtent l="0" t="0" r="6569" b="0"/>
            <wp:docPr id="1" name="Obi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560865"/>
                      <a:chOff x="0" y="0"/>
                      <a:chExt cx="9144000" cy="6560865"/>
                    </a:xfrm>
                  </a:grpSpPr>
                  <a:grpSp>
                    <a:nvGrpSpPr>
                      <a:cNvPr id="23" name="Grupare 22"/>
                      <a:cNvGrpSpPr/>
                    </a:nvGrpSpPr>
                    <a:grpSpPr>
                      <a:xfrm>
                        <a:off x="0" y="0"/>
                        <a:ext cx="9144000" cy="6560865"/>
                        <a:chOff x="0" y="0"/>
                        <a:chExt cx="9144000" cy="6560865"/>
                      </a:xfrm>
                    </a:grpSpPr>
                    <a:sp>
                      <a:nvSpPr>
                        <a:cNvPr id="1026" name="Rectangle 2"/>
                        <a:cNvSpPr>
                          <a:spLocks noChangeArrowheads="1"/>
                        </a:cNvSpPr>
                      </a:nvSpPr>
                      <a:spPr bwMode="auto">
                        <a:xfrm>
                          <a:off x="0" y="0"/>
                          <a:ext cx="9144000" cy="0"/>
                        </a:xfrm>
                        <a:prstGeom prst="rect">
                          <a:avLst/>
                        </a:prstGeom>
                        <a:noFill/>
                        <a:ln w="9525">
                          <a:noFill/>
                          <a:miter lim="800000"/>
                          <a:headEnd/>
                          <a:tailEnd/>
                        </a:ln>
                        <a:effectLst/>
                      </a:spPr>
                      <a:txSp>
                        <a:txBody>
                          <a:bodyPr vert="horz" wrap="non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0" name="Object 2"/>
                        <a:cNvPicPr>
                          <a:picLocks noChangeAspect="1" noChangeArrowheads="1"/>
                        </a:cNvPicPr>
                      </a:nvPicPr>
                      <a:blipFill>
                        <a:blip r:embed="rId10"/>
                        <a:srcRect/>
                        <a:stretch>
                          <a:fillRect/>
                        </a:stretch>
                      </a:blipFill>
                      <a:spPr bwMode="auto">
                        <a:xfrm>
                          <a:off x="395288" y="188913"/>
                          <a:ext cx="8362950" cy="6372225"/>
                        </a:xfrm>
                        <a:prstGeom prst="rect">
                          <a:avLst/>
                        </a:prstGeom>
                        <a:noFill/>
                      </a:spPr>
                    </a:pic>
                    <a:sp>
                      <a:nvSpPr>
                        <a:cNvPr id="8" name="CasetăText 7"/>
                        <a:cNvSpPr txBox="1"/>
                      </a:nvSpPr>
                      <a:spPr>
                        <a:xfrm>
                          <a:off x="1864160" y="437322"/>
                          <a:ext cx="3744416"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Amestec care conține substanțe din clasa 8</a:t>
                            </a:r>
                            <a:endParaRPr lang="ro-RO" sz="1600" dirty="0">
                              <a:latin typeface="Times New Roman" pitchFamily="18" charset="0"/>
                              <a:cs typeface="Times New Roman" pitchFamily="18" charset="0"/>
                            </a:endParaRPr>
                          </a:p>
                        </a:txBody>
                        <a:useSpRect/>
                      </a:txSp>
                    </a:sp>
                    <a:sp>
                      <a:nvSpPr>
                        <a:cNvPr id="10" name="CasetăText 9"/>
                        <a:cNvSpPr txBox="1"/>
                      </a:nvSpPr>
                      <a:spPr>
                        <a:xfrm>
                          <a:off x="3779912" y="1052736"/>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Da</a:t>
                            </a:r>
                            <a:endParaRPr lang="en-US" sz="1600" dirty="0">
                              <a:latin typeface="Times New Roman" pitchFamily="18" charset="0"/>
                              <a:cs typeface="Times New Roman" pitchFamily="18" charset="0"/>
                            </a:endParaRPr>
                          </a:p>
                        </a:txBody>
                        <a:useSpRect/>
                      </a:txSp>
                    </a:sp>
                    <a:sp>
                      <a:nvSpPr>
                        <a:cNvPr id="11" name="CasetăText 10"/>
                        <a:cNvSpPr txBox="1"/>
                      </a:nvSpPr>
                      <a:spPr>
                        <a:xfrm>
                          <a:off x="1735224" y="2165228"/>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Da</a:t>
                            </a:r>
                            <a:endParaRPr lang="en-US" sz="1600" dirty="0">
                              <a:latin typeface="Times New Roman" pitchFamily="18" charset="0"/>
                              <a:cs typeface="Times New Roman" pitchFamily="18" charset="0"/>
                            </a:endParaRPr>
                          </a:p>
                        </a:txBody>
                        <a:useSpRect/>
                      </a:txSp>
                    </a:sp>
                    <a:sp>
                      <a:nvSpPr>
                        <a:cNvPr id="12" name="CasetăText 11"/>
                        <a:cNvSpPr txBox="1"/>
                      </a:nvSpPr>
                      <a:spPr>
                        <a:xfrm>
                          <a:off x="600674" y="4188430"/>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Da</a:t>
                            </a:r>
                            <a:endParaRPr lang="en-US" sz="1600" dirty="0">
                              <a:latin typeface="Times New Roman" pitchFamily="18" charset="0"/>
                              <a:cs typeface="Times New Roman" pitchFamily="18" charset="0"/>
                            </a:endParaRPr>
                          </a:p>
                        </a:txBody>
                        <a:useSpRect/>
                      </a:txSp>
                    </a:sp>
                    <a:sp>
                      <a:nvSpPr>
                        <a:cNvPr id="13" name="CasetăText 12"/>
                        <a:cNvSpPr txBox="1"/>
                      </a:nvSpPr>
                      <a:spPr>
                        <a:xfrm>
                          <a:off x="4067944" y="4181738"/>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Da</a:t>
                            </a:r>
                            <a:endParaRPr lang="en-US" sz="1600" dirty="0">
                              <a:latin typeface="Times New Roman" pitchFamily="18" charset="0"/>
                              <a:cs typeface="Times New Roman" pitchFamily="18" charset="0"/>
                            </a:endParaRPr>
                          </a:p>
                        </a:txBody>
                        <a:useSpRect/>
                      </a:txSp>
                    </a:sp>
                    <a:sp>
                      <a:nvSpPr>
                        <a:cNvPr id="14" name="CasetăText 13"/>
                        <a:cNvSpPr txBox="1"/>
                      </a:nvSpPr>
                      <a:spPr>
                        <a:xfrm>
                          <a:off x="4716016" y="4991404"/>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Da</a:t>
                            </a:r>
                            <a:endParaRPr lang="en-US" sz="1600" dirty="0">
                              <a:latin typeface="Times New Roman" pitchFamily="18" charset="0"/>
                              <a:cs typeface="Times New Roman" pitchFamily="18" charset="0"/>
                            </a:endParaRPr>
                          </a:p>
                        </a:txBody>
                        <a:useSpRect/>
                      </a:txSp>
                    </a:sp>
                    <a:sp>
                      <a:nvSpPr>
                        <a:cNvPr id="15" name="CasetăText 14"/>
                        <a:cNvSpPr txBox="1"/>
                      </a:nvSpPr>
                      <a:spPr>
                        <a:xfrm>
                          <a:off x="5220072" y="2204864"/>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Nu</a:t>
                            </a:r>
                            <a:endParaRPr lang="en-US" sz="1600" dirty="0">
                              <a:latin typeface="Times New Roman" pitchFamily="18" charset="0"/>
                              <a:cs typeface="Times New Roman" pitchFamily="18" charset="0"/>
                            </a:endParaRPr>
                          </a:p>
                        </a:txBody>
                        <a:useSpRect/>
                      </a:txSp>
                    </a:sp>
                    <a:sp>
                      <a:nvSpPr>
                        <a:cNvPr id="16" name="CasetăText 15"/>
                        <a:cNvSpPr txBox="1"/>
                      </a:nvSpPr>
                      <a:spPr>
                        <a:xfrm>
                          <a:off x="6804248" y="3429000"/>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Nu</a:t>
                            </a:r>
                            <a:endParaRPr lang="en-US" sz="1600" dirty="0">
                              <a:latin typeface="Times New Roman" pitchFamily="18" charset="0"/>
                              <a:cs typeface="Times New Roman" pitchFamily="18" charset="0"/>
                            </a:endParaRPr>
                          </a:p>
                        </a:txBody>
                        <a:useSpRect/>
                      </a:txSp>
                    </a:sp>
                    <a:sp>
                      <a:nvSpPr>
                        <a:cNvPr id="17" name="CasetăText 16"/>
                        <a:cNvSpPr txBox="1"/>
                      </a:nvSpPr>
                      <a:spPr>
                        <a:xfrm>
                          <a:off x="2771800" y="4221088"/>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Nu</a:t>
                            </a:r>
                            <a:endParaRPr lang="en-US" sz="1600" dirty="0">
                              <a:latin typeface="Times New Roman" pitchFamily="18" charset="0"/>
                              <a:cs typeface="Times New Roman" pitchFamily="18" charset="0"/>
                            </a:endParaRPr>
                          </a:p>
                        </a:txBody>
                        <a:useSpRect/>
                      </a:txSp>
                    </a:sp>
                    <a:sp>
                      <a:nvSpPr>
                        <a:cNvPr id="18" name="CasetăText 17"/>
                        <a:cNvSpPr txBox="1"/>
                      </a:nvSpPr>
                      <a:spPr>
                        <a:xfrm>
                          <a:off x="7956376" y="4941168"/>
                          <a:ext cx="576064" cy="338554"/>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Nu</a:t>
                            </a:r>
                            <a:endParaRPr lang="en-US" sz="1600" dirty="0">
                              <a:latin typeface="Times New Roman" pitchFamily="18" charset="0"/>
                              <a:cs typeface="Times New Roman" pitchFamily="18" charset="0"/>
                            </a:endParaRPr>
                          </a:p>
                        </a:txBody>
                        <a:useSpRect/>
                      </a:txSp>
                    </a:sp>
                    <a:sp>
                      <a:nvSpPr>
                        <a:cNvPr id="19" name="CasetăText 18"/>
                        <a:cNvSpPr txBox="1"/>
                      </a:nvSpPr>
                      <a:spPr>
                        <a:xfrm>
                          <a:off x="539552" y="5711484"/>
                          <a:ext cx="1440160" cy="584775"/>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Clasa 8, Grupa de ambalare I</a:t>
                            </a:r>
                            <a:endParaRPr lang="ro-RO" sz="1600" dirty="0">
                              <a:latin typeface="Times New Roman" pitchFamily="18" charset="0"/>
                              <a:cs typeface="Times New Roman" pitchFamily="18" charset="0"/>
                            </a:endParaRPr>
                          </a:p>
                        </a:txBody>
                        <a:useSpRect/>
                      </a:txSp>
                    </a:sp>
                    <a:sp>
                      <a:nvSpPr>
                        <a:cNvPr id="20" name="CasetăText 19"/>
                        <a:cNvSpPr txBox="1"/>
                      </a:nvSpPr>
                      <a:spPr>
                        <a:xfrm>
                          <a:off x="2782686" y="5704792"/>
                          <a:ext cx="1440160" cy="584775"/>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Clasa 8, Grupa de ambalare II</a:t>
                            </a:r>
                            <a:endParaRPr lang="ro-RO" sz="1600" dirty="0">
                              <a:latin typeface="Times New Roman" pitchFamily="18" charset="0"/>
                              <a:cs typeface="Times New Roman" pitchFamily="18" charset="0"/>
                            </a:endParaRPr>
                          </a:p>
                        </a:txBody>
                        <a:useSpRect/>
                      </a:txSp>
                    </a:sp>
                    <a:sp>
                      <a:nvSpPr>
                        <a:cNvPr id="21" name="CasetăText 20"/>
                        <a:cNvSpPr txBox="1"/>
                      </a:nvSpPr>
                      <a:spPr>
                        <a:xfrm>
                          <a:off x="4759560" y="5704792"/>
                          <a:ext cx="1440160" cy="584775"/>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Clasa 8, Grupa de ambalare III</a:t>
                            </a:r>
                            <a:endParaRPr lang="ro-RO" sz="1600" dirty="0">
                              <a:latin typeface="Times New Roman" pitchFamily="18" charset="0"/>
                              <a:cs typeface="Times New Roman" pitchFamily="18" charset="0"/>
                            </a:endParaRPr>
                          </a:p>
                        </a:txBody>
                        <a:useSpRect/>
                      </a:txSp>
                    </a:sp>
                    <a:sp>
                      <a:nvSpPr>
                        <a:cNvPr id="22" name="CasetăText 21"/>
                        <a:cNvSpPr txBox="1"/>
                      </a:nvSpPr>
                      <a:spPr>
                        <a:xfrm>
                          <a:off x="7157596" y="5711484"/>
                          <a:ext cx="1440160" cy="584775"/>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o-RO" sz="1600" dirty="0" smtClean="0">
                                <a:latin typeface="Times New Roman" pitchFamily="18" charset="0"/>
                                <a:cs typeface="Times New Roman" pitchFamily="18" charset="0"/>
                              </a:rPr>
                              <a:t>Nu este din Clasa 8</a:t>
                            </a:r>
                            <a:endParaRPr lang="ro-RO" sz="1600" dirty="0">
                              <a:latin typeface="Times New Roman" pitchFamily="18" charset="0"/>
                              <a:cs typeface="Times New Roman" pitchFamily="18" charset="0"/>
                            </a:endParaRPr>
                          </a:p>
                        </a:txBody>
                        <a:useSpRect/>
                      </a:txSp>
                    </a:sp>
                  </a:grpSp>
                </lc:lockedCanvas>
              </a:graphicData>
            </a:graphic>
          </wp:inline>
        </w:drawing>
      </w:r>
    </w:p>
    <w:p w:rsidR="00047D4D" w:rsidRPr="00857CDA" w:rsidRDefault="002C398C" w:rsidP="002C398C">
      <w:pPr>
        <w:spacing w:before="120" w:after="120" w:line="240" w:lineRule="auto"/>
        <w:ind w:left="1134" w:right="1134"/>
        <w:jc w:val="both"/>
        <w:rPr>
          <w:lang w:val="ro-RO"/>
        </w:rPr>
      </w:pPr>
      <w:r w:rsidRPr="00857CDA">
        <w:rPr>
          <w:lang w:val="ro-RO"/>
        </w:rPr>
        <w:lastRenderedPageBreak/>
        <w:t>2.2.8.1.7</w:t>
      </w:r>
      <w:r w:rsidRPr="00857CDA">
        <w:rPr>
          <w:lang w:val="ro-RO"/>
        </w:rPr>
        <w:tab/>
      </w:r>
      <w:r w:rsidR="00047D4D" w:rsidRPr="00857CDA">
        <w:rPr>
          <w:lang w:val="ro-RO"/>
        </w:rPr>
        <w:t>În cazul în care substanțele din Clasa 8, ca urmare a adăugărilor, trec la alte categorii de pericol decât cele din care fac parte substanțele menționate în tabelul A din capitolul 3.2, acele amestecuri sau soluții trebuie să fie atribuite rubricilor din care fac parte pe baza pericolului lor real.</w:t>
      </w:r>
    </w:p>
    <w:p w:rsidR="002C398C" w:rsidRPr="00857CDA" w:rsidRDefault="002C398C" w:rsidP="002C398C">
      <w:pPr>
        <w:spacing w:before="120" w:after="120" w:line="240" w:lineRule="auto"/>
        <w:ind w:left="1134" w:right="1134"/>
        <w:jc w:val="both"/>
        <w:rPr>
          <w:i/>
          <w:lang w:val="ro-RO"/>
        </w:rPr>
      </w:pPr>
      <w:r w:rsidRPr="00857CDA">
        <w:rPr>
          <w:i/>
          <w:lang w:val="ro-RO"/>
        </w:rPr>
        <w:tab/>
      </w:r>
      <w:r w:rsidRPr="00857CDA">
        <w:rPr>
          <w:b/>
          <w:i/>
          <w:lang w:val="ro-RO"/>
        </w:rPr>
        <w:t>NOT</w:t>
      </w:r>
      <w:r w:rsidR="00574124" w:rsidRPr="00857CDA">
        <w:rPr>
          <w:b/>
          <w:i/>
          <w:lang w:val="ro-RO"/>
        </w:rPr>
        <w:t>Ă</w:t>
      </w:r>
      <w:r w:rsidRPr="00857CDA">
        <w:rPr>
          <w:b/>
          <w:i/>
          <w:lang w:val="ro-RO"/>
        </w:rPr>
        <w:t>:</w:t>
      </w:r>
      <w:r w:rsidRPr="00857CDA">
        <w:rPr>
          <w:i/>
          <w:lang w:val="ro-RO"/>
        </w:rPr>
        <w:t xml:space="preserve"> </w:t>
      </w:r>
      <w:r w:rsidRPr="00857CDA">
        <w:rPr>
          <w:i/>
          <w:lang w:val="ro-RO"/>
        </w:rPr>
        <w:tab/>
      </w:r>
      <w:r w:rsidR="00991390" w:rsidRPr="00857CDA">
        <w:rPr>
          <w:i/>
          <w:lang w:val="ro-RO"/>
        </w:rPr>
        <w:t>Pentru</w:t>
      </w:r>
      <w:r w:rsidRPr="00857CDA">
        <w:rPr>
          <w:i/>
          <w:lang w:val="ro-RO"/>
        </w:rPr>
        <w:t xml:space="preserve"> </w:t>
      </w:r>
      <w:r w:rsidR="00824EFF" w:rsidRPr="00857CDA">
        <w:rPr>
          <w:i/>
          <w:lang w:val="ro-RO"/>
        </w:rPr>
        <w:t>clas</w:t>
      </w:r>
      <w:r w:rsidR="00574124" w:rsidRPr="00857CDA">
        <w:rPr>
          <w:i/>
          <w:lang w:val="ro-RO"/>
        </w:rPr>
        <w:t>ificarea</w:t>
      </w:r>
      <w:r w:rsidRPr="00857CDA">
        <w:rPr>
          <w:i/>
          <w:lang w:val="ro-RO"/>
        </w:rPr>
        <w:t xml:space="preserve"> solu</w:t>
      </w:r>
      <w:r w:rsidR="00574124" w:rsidRPr="00857CDA">
        <w:rPr>
          <w:i/>
          <w:lang w:val="ro-RO"/>
        </w:rPr>
        <w:t>ț</w:t>
      </w:r>
      <w:r w:rsidRPr="00857CDA">
        <w:rPr>
          <w:i/>
          <w:lang w:val="ro-RO"/>
        </w:rPr>
        <w:t>i</w:t>
      </w:r>
      <w:r w:rsidR="00574124" w:rsidRPr="00857CDA">
        <w:rPr>
          <w:i/>
          <w:lang w:val="ro-RO"/>
        </w:rPr>
        <w:t>ilor</w:t>
      </w:r>
      <w:r w:rsidR="004C27AD" w:rsidRPr="00857CDA">
        <w:rPr>
          <w:i/>
          <w:lang w:val="ro-RO"/>
        </w:rPr>
        <w:t xml:space="preserve"> și </w:t>
      </w:r>
      <w:r w:rsidR="00574124" w:rsidRPr="00857CDA">
        <w:rPr>
          <w:i/>
          <w:lang w:val="ro-RO"/>
        </w:rPr>
        <w:t>amestecurilor</w:t>
      </w:r>
      <w:r w:rsidRPr="00857CDA">
        <w:rPr>
          <w:i/>
          <w:lang w:val="ro-RO"/>
        </w:rPr>
        <w:t xml:space="preserve"> (</w:t>
      </w:r>
      <w:r w:rsidR="00574124" w:rsidRPr="00857CDA">
        <w:rPr>
          <w:i/>
          <w:lang w:val="ro-RO"/>
        </w:rPr>
        <w:t>precum</w:t>
      </w:r>
      <w:r w:rsidRPr="00857CDA">
        <w:rPr>
          <w:i/>
          <w:lang w:val="ro-RO"/>
        </w:rPr>
        <w:t xml:space="preserve"> pr</w:t>
      </w:r>
      <w:r w:rsidR="00574124" w:rsidRPr="00857CDA">
        <w:rPr>
          <w:i/>
          <w:lang w:val="ro-RO"/>
        </w:rPr>
        <w:t>e</w:t>
      </w:r>
      <w:r w:rsidRPr="00857CDA">
        <w:rPr>
          <w:i/>
          <w:lang w:val="ro-RO"/>
        </w:rPr>
        <w:t>parat</w:t>
      </w:r>
      <w:r w:rsidR="00574124" w:rsidRPr="00857CDA">
        <w:rPr>
          <w:i/>
          <w:lang w:val="ro-RO"/>
        </w:rPr>
        <w:t>ele</w:t>
      </w:r>
      <w:r w:rsidR="004C27AD" w:rsidRPr="00857CDA">
        <w:rPr>
          <w:i/>
          <w:lang w:val="ro-RO"/>
        </w:rPr>
        <w:t xml:space="preserve"> și </w:t>
      </w:r>
      <w:r w:rsidRPr="00857CDA">
        <w:rPr>
          <w:i/>
          <w:lang w:val="ro-RO"/>
        </w:rPr>
        <w:t>d</w:t>
      </w:r>
      <w:r w:rsidR="00574124" w:rsidRPr="00857CDA">
        <w:rPr>
          <w:i/>
          <w:lang w:val="ro-RO"/>
        </w:rPr>
        <w:t>e</w:t>
      </w:r>
      <w:r w:rsidR="00857CDA">
        <w:rPr>
          <w:i/>
          <w:lang w:val="ro-RO"/>
        </w:rPr>
        <w:t>ș</w:t>
      </w:r>
      <w:r w:rsidR="00574124" w:rsidRPr="00857CDA">
        <w:rPr>
          <w:i/>
          <w:lang w:val="ro-RO"/>
        </w:rPr>
        <w:t>eurile</w:t>
      </w:r>
      <w:r w:rsidRPr="00857CDA">
        <w:rPr>
          <w:i/>
          <w:lang w:val="ro-RO"/>
        </w:rPr>
        <w:t xml:space="preserve">), </w:t>
      </w:r>
      <w:r w:rsidR="00574124" w:rsidRPr="00857CDA">
        <w:rPr>
          <w:i/>
          <w:lang w:val="ro-RO"/>
        </w:rPr>
        <w:t>a</w:t>
      </w:r>
      <w:r w:rsidR="0043120D" w:rsidRPr="00857CDA">
        <w:rPr>
          <w:i/>
          <w:lang w:val="ro-RO"/>
        </w:rPr>
        <w:t xml:space="preserve"> se vedea</w:t>
      </w:r>
      <w:r w:rsidR="00574124" w:rsidRPr="00857CDA">
        <w:rPr>
          <w:i/>
          <w:lang w:val="ro-RO"/>
        </w:rPr>
        <w:t>, de asemenea,</w:t>
      </w:r>
      <w:r w:rsidRPr="00857CDA">
        <w:rPr>
          <w:i/>
          <w:lang w:val="ro-RO"/>
        </w:rPr>
        <w:t xml:space="preserve"> 2.1.3.</w:t>
      </w:r>
    </w:p>
    <w:p w:rsidR="00F64B37" w:rsidRPr="00857CDA" w:rsidRDefault="002C398C" w:rsidP="002C398C">
      <w:pPr>
        <w:spacing w:before="120" w:after="120" w:line="240" w:lineRule="auto"/>
        <w:ind w:left="1134" w:right="1134"/>
        <w:jc w:val="both"/>
        <w:rPr>
          <w:lang w:val="ro-RO"/>
        </w:rPr>
      </w:pPr>
      <w:r w:rsidRPr="00857CDA">
        <w:rPr>
          <w:lang w:val="ro-RO"/>
        </w:rPr>
        <w:t>2.2.8.1.8</w:t>
      </w:r>
      <w:r w:rsidRPr="00857CDA">
        <w:rPr>
          <w:lang w:val="ro-RO"/>
        </w:rPr>
        <w:tab/>
      </w:r>
      <w:r w:rsidR="00F64B37" w:rsidRPr="00857CDA">
        <w:rPr>
          <w:lang w:val="ro-RO"/>
        </w:rPr>
        <w:t xml:space="preserve">Pe baza criteriilor de la 2.2.8.1.6, este, de asemenea, posibil să se determine dacă natura unei soluții sau a unui amestec menționat nominal sau care conține o substanță menționată nominal este de așa natură încât soluția sau amestecul nu </w:t>
      </w:r>
      <w:r w:rsidR="00834CEF" w:rsidRPr="00857CDA">
        <w:rPr>
          <w:lang w:val="ro-RO"/>
        </w:rPr>
        <w:t>fac obiectul</w:t>
      </w:r>
      <w:r w:rsidR="00F64B37" w:rsidRPr="00857CDA">
        <w:rPr>
          <w:lang w:val="ro-RO"/>
        </w:rPr>
        <w:t xml:space="preserve"> prescripțiilor referitoare la prezenta clasă.</w:t>
      </w:r>
    </w:p>
    <w:p w:rsidR="002C398C" w:rsidRPr="00857CDA" w:rsidRDefault="002C398C" w:rsidP="002C398C">
      <w:pPr>
        <w:spacing w:before="120" w:after="120" w:line="240" w:lineRule="auto"/>
        <w:ind w:left="1134" w:right="1134"/>
        <w:jc w:val="both"/>
        <w:rPr>
          <w:i/>
          <w:lang w:val="ro-RO"/>
        </w:rPr>
      </w:pPr>
      <w:r w:rsidRPr="00857CDA">
        <w:rPr>
          <w:i/>
          <w:lang w:val="ro-RO"/>
        </w:rPr>
        <w:tab/>
      </w:r>
      <w:r w:rsidRPr="00857CDA">
        <w:rPr>
          <w:b/>
          <w:i/>
          <w:lang w:val="ro-RO"/>
        </w:rPr>
        <w:t>NOT</w:t>
      </w:r>
      <w:r w:rsidR="00F64B37" w:rsidRPr="00857CDA">
        <w:rPr>
          <w:b/>
          <w:i/>
          <w:lang w:val="ro-RO"/>
        </w:rPr>
        <w:t>Ă</w:t>
      </w:r>
      <w:r w:rsidRPr="00857CDA">
        <w:rPr>
          <w:b/>
          <w:i/>
          <w:lang w:val="ro-RO"/>
        </w:rPr>
        <w:t>:</w:t>
      </w:r>
      <w:r w:rsidRPr="00857CDA">
        <w:rPr>
          <w:i/>
          <w:lang w:val="ro-RO"/>
        </w:rPr>
        <w:t xml:space="preserve"> </w:t>
      </w:r>
      <w:r w:rsidRPr="00857CDA">
        <w:rPr>
          <w:i/>
          <w:lang w:val="ro-RO"/>
        </w:rPr>
        <w:tab/>
      </w:r>
      <w:r w:rsidR="002B679C" w:rsidRPr="00857CDA">
        <w:rPr>
          <w:i/>
          <w:lang w:val="ro-RO"/>
        </w:rPr>
        <w:t>Nr. ONU</w:t>
      </w:r>
      <w:r w:rsidRPr="00857CDA">
        <w:rPr>
          <w:i/>
          <w:lang w:val="ro-RO"/>
        </w:rPr>
        <w:t xml:space="preserve"> 1910 ox</w:t>
      </w:r>
      <w:r w:rsidR="008C5846" w:rsidRPr="00857CDA">
        <w:rPr>
          <w:i/>
          <w:lang w:val="ro-RO"/>
        </w:rPr>
        <w:t>i</w:t>
      </w:r>
      <w:r w:rsidRPr="00857CDA">
        <w:rPr>
          <w:i/>
          <w:lang w:val="ro-RO"/>
        </w:rPr>
        <w:t>d de calciu</w:t>
      </w:r>
      <w:r w:rsidR="004C27AD" w:rsidRPr="00857CDA">
        <w:rPr>
          <w:i/>
          <w:lang w:val="ro-RO"/>
        </w:rPr>
        <w:t xml:space="preserve"> și </w:t>
      </w:r>
      <w:r w:rsidR="008C5846" w:rsidRPr="00857CDA">
        <w:rPr>
          <w:i/>
          <w:lang w:val="ro-RO"/>
        </w:rPr>
        <w:t xml:space="preserve">Nr. ONU </w:t>
      </w:r>
      <w:r w:rsidRPr="00857CDA">
        <w:rPr>
          <w:i/>
          <w:lang w:val="ro-RO"/>
        </w:rPr>
        <w:t>2812 aluminat de sodiu</w:t>
      </w:r>
      <w:r w:rsidR="008C5846" w:rsidRPr="00857CDA">
        <w:rPr>
          <w:i/>
          <w:lang w:val="ro-RO"/>
        </w:rPr>
        <w:t xml:space="preserve"> care figurează în </w:t>
      </w:r>
      <w:r w:rsidR="007C4A3C" w:rsidRPr="00857CDA">
        <w:rPr>
          <w:i/>
          <w:lang w:val="ro-RO"/>
        </w:rPr>
        <w:t>Regulamentul tip ONU</w:t>
      </w:r>
      <w:r w:rsidRPr="00857CDA">
        <w:rPr>
          <w:i/>
          <w:lang w:val="ro-RO"/>
        </w:rPr>
        <w:t xml:space="preserve"> </w:t>
      </w:r>
      <w:r w:rsidR="008C5846" w:rsidRPr="00857CDA">
        <w:rPr>
          <w:i/>
          <w:lang w:val="ro-RO"/>
        </w:rPr>
        <w:t>nu se supun</w:t>
      </w:r>
      <w:r w:rsidRPr="00857CDA">
        <w:rPr>
          <w:i/>
          <w:lang w:val="ro-RO"/>
        </w:rPr>
        <w:t xml:space="preserve"> prescrip</w:t>
      </w:r>
      <w:r w:rsidR="008C5846" w:rsidRPr="00857CDA">
        <w:rPr>
          <w:i/>
          <w:lang w:val="ro-RO"/>
        </w:rPr>
        <w:t xml:space="preserve">țiilor </w:t>
      </w:r>
      <w:r w:rsidRPr="00857CDA">
        <w:rPr>
          <w:i/>
          <w:lang w:val="ro-RO"/>
        </w:rPr>
        <w:t xml:space="preserve">ADR. </w:t>
      </w:r>
    </w:p>
    <w:p w:rsidR="001A0EB0" w:rsidRPr="00857CDA" w:rsidRDefault="00845C7A" w:rsidP="001A0EB0">
      <w:pPr>
        <w:spacing w:before="120" w:after="120" w:line="240" w:lineRule="auto"/>
        <w:ind w:left="1134" w:right="1134"/>
        <w:jc w:val="both"/>
        <w:rPr>
          <w:b/>
          <w:i/>
          <w:lang w:val="ro-RO"/>
        </w:rPr>
      </w:pPr>
      <w:r w:rsidRPr="00857CDA">
        <w:rPr>
          <w:b/>
          <w:lang w:val="ro-RO"/>
        </w:rPr>
        <w:t>2.2.8.2</w:t>
      </w:r>
      <w:r w:rsidR="001A0EB0" w:rsidRPr="00857CDA">
        <w:rPr>
          <w:b/>
          <w:lang w:val="ro-RO"/>
        </w:rPr>
        <w:t xml:space="preserve"> </w:t>
      </w:r>
      <w:r w:rsidR="001A0EB0" w:rsidRPr="00857CDA">
        <w:rPr>
          <w:b/>
          <w:lang w:val="ro-RO"/>
        </w:rPr>
        <w:tab/>
      </w:r>
      <w:r w:rsidR="008C5846" w:rsidRPr="00857CDA">
        <w:rPr>
          <w:b/>
          <w:i/>
          <w:lang w:val="ro-RO"/>
        </w:rPr>
        <w:t>Substanţe neadmise la transport</w:t>
      </w:r>
    </w:p>
    <w:p w:rsidR="00175646" w:rsidRPr="00857CDA" w:rsidRDefault="00845C7A" w:rsidP="00845C7A">
      <w:pPr>
        <w:pStyle w:val="SingleTxtG"/>
        <w:rPr>
          <w:i/>
          <w:lang w:val="ro-RO"/>
        </w:rPr>
      </w:pPr>
      <w:r w:rsidRPr="00857CDA">
        <w:rPr>
          <w:lang w:val="ro-RO"/>
        </w:rPr>
        <w:t xml:space="preserve">2.2.8.2.1 </w:t>
      </w:r>
      <w:r w:rsidR="00175646" w:rsidRPr="00857CDA">
        <w:rPr>
          <w:lang w:val="ro-RO"/>
        </w:rPr>
        <w:tab/>
      </w:r>
      <w:r w:rsidR="00175646" w:rsidRPr="00857CDA">
        <w:rPr>
          <w:i/>
          <w:lang w:val="ro-RO"/>
        </w:rPr>
        <w:t>Text</w:t>
      </w:r>
      <w:r w:rsidR="000476F2" w:rsidRPr="00857CDA">
        <w:rPr>
          <w:i/>
          <w:lang w:val="ro-RO"/>
        </w:rPr>
        <w:t>ul existent rămâne neschimbat</w:t>
      </w:r>
      <w:r w:rsidR="00175646" w:rsidRPr="00857CDA">
        <w:rPr>
          <w:i/>
          <w:lang w:val="ro-RO"/>
        </w:rPr>
        <w:t>.</w:t>
      </w:r>
    </w:p>
    <w:p w:rsidR="00845C7A" w:rsidRPr="00857CDA" w:rsidRDefault="00845C7A" w:rsidP="00845C7A">
      <w:pPr>
        <w:pStyle w:val="SingleTxtG"/>
        <w:rPr>
          <w:lang w:val="ro-RO"/>
        </w:rPr>
      </w:pPr>
      <w:r w:rsidRPr="00857CDA">
        <w:rPr>
          <w:lang w:val="ro-RO"/>
        </w:rPr>
        <w:t xml:space="preserve">2.2.8.2.2 </w:t>
      </w:r>
      <w:r w:rsidRPr="00857CDA">
        <w:rPr>
          <w:lang w:val="ro-RO"/>
        </w:rPr>
        <w:tab/>
      </w:r>
      <w:r w:rsidR="000476F2" w:rsidRPr="00857CDA">
        <w:rPr>
          <w:i/>
          <w:lang w:val="ro-RO"/>
        </w:rPr>
        <w:t>Textul existent rămâne neschimbat</w:t>
      </w:r>
      <w:r w:rsidRPr="00857CDA">
        <w:rPr>
          <w:i/>
          <w:lang w:val="ro-RO"/>
        </w:rPr>
        <w:t>.</w:t>
      </w:r>
    </w:p>
    <w:p w:rsidR="003A049C" w:rsidRPr="00857CDA" w:rsidRDefault="00845C7A" w:rsidP="00845C7A">
      <w:pPr>
        <w:pStyle w:val="SingleTxtG"/>
        <w:rPr>
          <w:lang w:val="ro-RO"/>
        </w:rPr>
      </w:pPr>
      <w:r w:rsidRPr="00857CDA">
        <w:rPr>
          <w:b/>
          <w:lang w:val="ro-RO"/>
        </w:rPr>
        <w:t>2.2.8.3</w:t>
      </w:r>
      <w:r w:rsidRPr="00857CDA">
        <w:rPr>
          <w:b/>
          <w:lang w:val="ro-RO"/>
        </w:rPr>
        <w:tab/>
      </w:r>
      <w:r w:rsidR="00255383" w:rsidRPr="00857CDA">
        <w:rPr>
          <w:b/>
          <w:lang w:val="ro-RO"/>
        </w:rPr>
        <w:tab/>
      </w:r>
      <w:r w:rsidR="00B77FBA" w:rsidRPr="00857CDA">
        <w:rPr>
          <w:i/>
          <w:lang w:val="ro-RO"/>
        </w:rPr>
        <w:t>Textul existent rămâne neschimbat, cu modificările următoare: În „Lista rubricilor colective”, în titluri, se modifică: „fără risc secundar” cu „fără pericol secundar”(de două ori) și „risc(riscuri)” cu „pericol(e)”, iar pentru „Obiecte C11”, se adaugă „3547 OBIECTE CARE CONȚIN O SUBSTANȚĂ COROSIVĂ, N.S.A.”.</w:t>
      </w:r>
    </w:p>
    <w:p w:rsidR="00845C7A" w:rsidRPr="00857CDA" w:rsidRDefault="00845C7A" w:rsidP="00F64B37">
      <w:pPr>
        <w:pStyle w:val="SingleTxtG"/>
        <w:rPr>
          <w:lang w:val="ro-RO"/>
        </w:rPr>
      </w:pPr>
      <w:r w:rsidRPr="00857CDA">
        <w:rPr>
          <w:lang w:val="ro-RO"/>
        </w:rPr>
        <w:t>2.2.9.1.2</w:t>
      </w:r>
      <w:r w:rsidRPr="00857CDA">
        <w:rPr>
          <w:lang w:val="ro-RO"/>
        </w:rPr>
        <w:tab/>
      </w:r>
      <w:r w:rsidR="002B679C" w:rsidRPr="00857CDA">
        <w:rPr>
          <w:lang w:val="ro-RO"/>
        </w:rPr>
        <w:t>Se modifică</w:t>
      </w:r>
      <w:r w:rsidRPr="00857CDA">
        <w:rPr>
          <w:lang w:val="ro-RO"/>
        </w:rPr>
        <w:t xml:space="preserve"> </w:t>
      </w:r>
      <w:r w:rsidR="00F64B37" w:rsidRPr="00857CDA">
        <w:rPr>
          <w:lang w:val="ro-RO"/>
        </w:rPr>
        <w:t>titlul</w:t>
      </w:r>
      <w:r w:rsidRPr="00857CDA">
        <w:rPr>
          <w:lang w:val="ro-RO"/>
        </w:rPr>
        <w:t xml:space="preserve"> sub</w:t>
      </w:r>
      <w:r w:rsidR="00F64B37" w:rsidRPr="00857CDA">
        <w:rPr>
          <w:lang w:val="ro-RO"/>
        </w:rPr>
        <w:t>-</w:t>
      </w:r>
      <w:r w:rsidRPr="00857CDA">
        <w:rPr>
          <w:lang w:val="ro-RO"/>
        </w:rPr>
        <w:t>divi</w:t>
      </w:r>
      <w:r w:rsidR="00F64B37" w:rsidRPr="00857CDA">
        <w:rPr>
          <w:lang w:val="ro-RO"/>
        </w:rPr>
        <w:t>z</w:t>
      </w:r>
      <w:r w:rsidRPr="00857CDA">
        <w:rPr>
          <w:lang w:val="ro-RO"/>
        </w:rPr>
        <w:t>i</w:t>
      </w:r>
      <w:r w:rsidR="00F64B37" w:rsidRPr="00857CDA">
        <w:rPr>
          <w:lang w:val="ro-RO"/>
        </w:rPr>
        <w:t>u</w:t>
      </w:r>
      <w:r w:rsidRPr="00857CDA">
        <w:rPr>
          <w:lang w:val="ro-RO"/>
        </w:rPr>
        <w:t>n</w:t>
      </w:r>
      <w:r w:rsidR="00F64B37" w:rsidRPr="00857CDA">
        <w:rPr>
          <w:lang w:val="ro-RO"/>
        </w:rPr>
        <w:t>ii</w:t>
      </w:r>
      <w:r w:rsidRPr="00857CDA">
        <w:rPr>
          <w:lang w:val="ro-RO"/>
        </w:rPr>
        <w:t xml:space="preserve"> </w:t>
      </w:r>
      <w:r w:rsidR="00824EFF" w:rsidRPr="00857CDA">
        <w:rPr>
          <w:lang w:val="ro-RO"/>
        </w:rPr>
        <w:t>„</w:t>
      </w:r>
      <w:r w:rsidRPr="00857CDA">
        <w:rPr>
          <w:lang w:val="ro-RO"/>
        </w:rPr>
        <w:t>M11</w:t>
      </w:r>
      <w:r w:rsidR="00660131" w:rsidRPr="00857CDA">
        <w:rPr>
          <w:lang w:val="ro-RO"/>
        </w:rPr>
        <w:t>”</w:t>
      </w:r>
      <w:r w:rsidR="00F64B37" w:rsidRPr="00857CDA">
        <w:rPr>
          <w:lang w:val="ro-RO"/>
        </w:rPr>
        <w:t>, după cum urmează:</w:t>
      </w:r>
      <w:r w:rsidRPr="00857CDA">
        <w:rPr>
          <w:lang w:val="ro-RO"/>
        </w:rPr>
        <w:t xml:space="preserve"> </w:t>
      </w:r>
      <w:r w:rsidR="00824EFF" w:rsidRPr="00857CDA">
        <w:rPr>
          <w:lang w:val="ro-RO"/>
        </w:rPr>
        <w:t>„</w:t>
      </w:r>
      <w:r w:rsidR="00F64B37" w:rsidRPr="00857CDA">
        <w:rPr>
          <w:lang w:val="ro-RO"/>
        </w:rPr>
        <w:t>Alte substanțe și obiecte care prezintă un pericol în timpul transportului, dar care nu corespund definiției niciunei alte clase</w:t>
      </w:r>
      <w:r w:rsidR="00660131" w:rsidRPr="00857CDA">
        <w:rPr>
          <w:lang w:val="ro-RO"/>
        </w:rPr>
        <w:t>”</w:t>
      </w:r>
      <w:r w:rsidRPr="00857CDA">
        <w:rPr>
          <w:lang w:val="ro-RO"/>
        </w:rPr>
        <w:t>.</w:t>
      </w:r>
    </w:p>
    <w:p w:rsidR="003778F9" w:rsidRPr="00857CDA" w:rsidRDefault="003778F9" w:rsidP="003778F9">
      <w:pPr>
        <w:pStyle w:val="SingleTxtG"/>
        <w:rPr>
          <w:lang w:val="ro-RO"/>
        </w:rPr>
      </w:pPr>
      <w:r w:rsidRPr="00857CDA">
        <w:rPr>
          <w:lang w:val="ro-RO"/>
        </w:rPr>
        <w:t>2.2.9.1.3</w:t>
      </w:r>
      <w:r w:rsidRPr="00857CDA">
        <w:rPr>
          <w:lang w:val="ro-RO"/>
        </w:rPr>
        <w:tab/>
      </w:r>
      <w:r w:rsidR="00902C44" w:rsidRPr="00857CDA">
        <w:rPr>
          <w:lang w:val="ro-RO"/>
        </w:rPr>
        <w:t>Se modifică</w:t>
      </w:r>
      <w:r w:rsidRPr="00857CDA">
        <w:rPr>
          <w:lang w:val="ro-RO"/>
        </w:rPr>
        <w:t xml:space="preserve"> </w:t>
      </w:r>
      <w:r w:rsidR="00824EFF" w:rsidRPr="00857CDA">
        <w:rPr>
          <w:lang w:val="ro-RO"/>
        </w:rPr>
        <w:t>„</w:t>
      </w:r>
      <w:r w:rsidR="00F64B37" w:rsidRPr="00857CDA">
        <w:rPr>
          <w:lang w:val="ro-RO"/>
        </w:rPr>
        <w:t xml:space="preserve">de la </w:t>
      </w:r>
      <w:r w:rsidRPr="00857CDA">
        <w:rPr>
          <w:lang w:val="ro-RO"/>
        </w:rPr>
        <w:t xml:space="preserve">2.2.9.1.4 </w:t>
      </w:r>
      <w:r w:rsidR="00F64B37" w:rsidRPr="00857CDA">
        <w:rPr>
          <w:lang w:val="ro-RO"/>
        </w:rPr>
        <w:t xml:space="preserve">până </w:t>
      </w:r>
      <w:r w:rsidR="00824EFF" w:rsidRPr="00857CDA">
        <w:rPr>
          <w:lang w:val="ro-RO"/>
        </w:rPr>
        <w:t>la</w:t>
      </w:r>
      <w:r w:rsidRPr="00857CDA">
        <w:rPr>
          <w:lang w:val="ro-RO"/>
        </w:rPr>
        <w:t xml:space="preserve"> 2.2.9.1.14</w:t>
      </w:r>
      <w:r w:rsidR="00660131" w:rsidRPr="00857CDA">
        <w:rPr>
          <w:lang w:val="ro-RO"/>
        </w:rPr>
        <w:t>”</w:t>
      </w:r>
      <w:r w:rsidR="00902C44" w:rsidRPr="00857CDA">
        <w:rPr>
          <w:lang w:val="ro-RO"/>
        </w:rPr>
        <w:t xml:space="preserve"> cu </w:t>
      </w:r>
      <w:r w:rsidR="00824EFF" w:rsidRPr="00857CDA">
        <w:rPr>
          <w:lang w:val="ro-RO"/>
        </w:rPr>
        <w:t>„</w:t>
      </w:r>
      <w:r w:rsidR="00F64B37" w:rsidRPr="00857CDA">
        <w:rPr>
          <w:lang w:val="ro-RO"/>
        </w:rPr>
        <w:t xml:space="preserve">de la </w:t>
      </w:r>
      <w:r w:rsidRPr="00857CDA">
        <w:rPr>
          <w:lang w:val="ro-RO"/>
        </w:rPr>
        <w:t xml:space="preserve">2.2.9.1.4 </w:t>
      </w:r>
      <w:r w:rsidR="00F64B37" w:rsidRPr="00857CDA">
        <w:rPr>
          <w:lang w:val="ro-RO"/>
        </w:rPr>
        <w:t xml:space="preserve">până </w:t>
      </w:r>
      <w:r w:rsidR="008C5846" w:rsidRPr="00857CDA">
        <w:rPr>
          <w:lang w:val="ro-RO"/>
        </w:rPr>
        <w:t>la</w:t>
      </w:r>
      <w:r w:rsidRPr="00857CDA">
        <w:rPr>
          <w:lang w:val="ro-RO"/>
        </w:rPr>
        <w:t xml:space="preserve"> 2.2.9.1.8, 2.2.9.1.10, 2.2.9.1.11, 2.2.9.1.13</w:t>
      </w:r>
      <w:r w:rsidR="004C27AD" w:rsidRPr="00857CDA">
        <w:rPr>
          <w:lang w:val="ro-RO"/>
        </w:rPr>
        <w:t xml:space="preserve"> și </w:t>
      </w:r>
      <w:r w:rsidRPr="00857CDA">
        <w:rPr>
          <w:lang w:val="ro-RO"/>
        </w:rPr>
        <w:t>2.2.9.1.14</w:t>
      </w:r>
      <w:r w:rsidR="00660131" w:rsidRPr="00857CDA">
        <w:rPr>
          <w:lang w:val="ro-RO"/>
        </w:rPr>
        <w:t>”</w:t>
      </w:r>
      <w:r w:rsidRPr="00857CDA">
        <w:rPr>
          <w:lang w:val="ro-RO"/>
        </w:rPr>
        <w:t>.</w:t>
      </w:r>
    </w:p>
    <w:p w:rsidR="00214BCF" w:rsidRPr="00857CDA" w:rsidRDefault="00214BCF" w:rsidP="00EE09DD">
      <w:pPr>
        <w:pStyle w:val="SingleTxtG"/>
        <w:rPr>
          <w:lang w:val="ro-RO"/>
        </w:rPr>
      </w:pPr>
      <w:r w:rsidRPr="00857CDA">
        <w:rPr>
          <w:lang w:val="ro-RO"/>
        </w:rPr>
        <w:t>2.2.9.1.7</w:t>
      </w:r>
      <w:r w:rsidRPr="00857CDA">
        <w:rPr>
          <w:lang w:val="ro-RO"/>
        </w:rPr>
        <w:tab/>
      </w:r>
      <w:r w:rsidR="00F64B37" w:rsidRPr="00857CDA">
        <w:rPr>
          <w:lang w:val="ro-RO"/>
        </w:rPr>
        <w:t>La primul</w:t>
      </w:r>
      <w:r w:rsidRPr="00857CDA">
        <w:rPr>
          <w:lang w:val="ro-RO"/>
        </w:rPr>
        <w:t xml:space="preserve"> </w:t>
      </w:r>
      <w:r w:rsidR="00970E20" w:rsidRPr="00857CDA">
        <w:rPr>
          <w:lang w:val="ro-RO"/>
        </w:rPr>
        <w:t>paragraf</w:t>
      </w:r>
      <w:r w:rsidRPr="00857CDA">
        <w:rPr>
          <w:lang w:val="ro-RO"/>
        </w:rPr>
        <w:t xml:space="preserve">, </w:t>
      </w:r>
      <w:r w:rsidR="00F64B37" w:rsidRPr="00857CDA">
        <w:rPr>
          <w:lang w:val="ro-RO"/>
        </w:rPr>
        <w:t>se adaugă o nouă Notă, după cum urmează</w:t>
      </w:r>
      <w:r w:rsidR="00091658" w:rsidRPr="00857CDA">
        <w:rPr>
          <w:lang w:val="ro-RO"/>
        </w:rPr>
        <w:t>:</w:t>
      </w:r>
    </w:p>
    <w:p w:rsidR="00EE09DD" w:rsidRPr="00857CDA" w:rsidRDefault="00824EFF" w:rsidP="00214BCF">
      <w:pPr>
        <w:pStyle w:val="SingleTxtG"/>
        <w:rPr>
          <w:lang w:val="ro-RO"/>
        </w:rPr>
      </w:pPr>
      <w:r w:rsidRPr="00857CDA">
        <w:rPr>
          <w:lang w:val="ro-RO"/>
        </w:rPr>
        <w:t>„</w:t>
      </w:r>
      <w:r w:rsidR="00214BCF" w:rsidRPr="00857CDA">
        <w:rPr>
          <w:b/>
          <w:i/>
          <w:lang w:val="ro-RO"/>
        </w:rPr>
        <w:t>NOT</w:t>
      </w:r>
      <w:r w:rsidR="000476F2" w:rsidRPr="00857CDA">
        <w:rPr>
          <w:b/>
          <w:i/>
          <w:lang w:val="ro-RO"/>
        </w:rPr>
        <w:t>Ă</w:t>
      </w:r>
      <w:r w:rsidR="00091658" w:rsidRPr="00857CDA">
        <w:rPr>
          <w:lang w:val="ro-RO"/>
        </w:rPr>
        <w:t>:</w:t>
      </w:r>
      <w:r w:rsidR="00214BCF" w:rsidRPr="00857CDA">
        <w:rPr>
          <w:i/>
          <w:lang w:val="ro-RO"/>
        </w:rPr>
        <w:t xml:space="preserve"> </w:t>
      </w:r>
      <w:r w:rsidR="00991390" w:rsidRPr="00857CDA">
        <w:rPr>
          <w:i/>
          <w:lang w:val="ro-RO"/>
        </w:rPr>
        <w:t>Pentru</w:t>
      </w:r>
      <w:r w:rsidR="00214BCF" w:rsidRPr="00857CDA">
        <w:rPr>
          <w:i/>
          <w:lang w:val="ro-RO"/>
        </w:rPr>
        <w:t xml:space="preserve"> </w:t>
      </w:r>
      <w:r w:rsidR="00121893" w:rsidRPr="00857CDA">
        <w:rPr>
          <w:i/>
          <w:lang w:val="ro-RO"/>
        </w:rPr>
        <w:t>Nr.</w:t>
      </w:r>
      <w:r w:rsidR="002B679C" w:rsidRPr="00857CDA">
        <w:rPr>
          <w:i/>
          <w:lang w:val="ro-RO"/>
        </w:rPr>
        <w:t xml:space="preserve"> ONU</w:t>
      </w:r>
      <w:r w:rsidR="00214BCF" w:rsidRPr="00857CDA">
        <w:rPr>
          <w:i/>
          <w:lang w:val="ro-RO"/>
        </w:rPr>
        <w:t xml:space="preserve"> </w:t>
      </w:r>
      <w:r w:rsidR="00EE09DD" w:rsidRPr="00857CDA">
        <w:rPr>
          <w:i/>
          <w:lang w:val="ro-RO"/>
        </w:rPr>
        <w:t>3536</w:t>
      </w:r>
      <w:r w:rsidR="00214BCF" w:rsidRPr="00857CDA">
        <w:rPr>
          <w:i/>
          <w:lang w:val="ro-RO"/>
        </w:rPr>
        <w:t xml:space="preserve"> </w:t>
      </w:r>
      <w:r w:rsidR="000476F2" w:rsidRPr="00857CDA">
        <w:rPr>
          <w:i/>
          <w:lang w:val="ro-RO"/>
        </w:rPr>
        <w:t>BATERII CU LITIU INSTALATE ÎN UNITĂȚI DE TRANSPORT MARFĂ</w:t>
      </w:r>
      <w:r w:rsidR="00214BCF" w:rsidRPr="00857CDA">
        <w:rPr>
          <w:i/>
          <w:lang w:val="ro-RO"/>
        </w:rPr>
        <w:t xml:space="preserve">, </w:t>
      </w:r>
      <w:r w:rsidR="000476F2" w:rsidRPr="00857CDA">
        <w:rPr>
          <w:i/>
          <w:lang w:val="ro-RO"/>
        </w:rPr>
        <w:t>a se vedea</w:t>
      </w:r>
      <w:r w:rsidR="00214BCF" w:rsidRPr="00857CDA">
        <w:rPr>
          <w:i/>
          <w:lang w:val="ro-RO"/>
        </w:rPr>
        <w:t xml:space="preserve"> dispo</w:t>
      </w:r>
      <w:r w:rsidR="000476F2" w:rsidRPr="00857CDA">
        <w:rPr>
          <w:i/>
          <w:lang w:val="ro-RO"/>
        </w:rPr>
        <w:t>ziția specială</w:t>
      </w:r>
      <w:r w:rsidR="00214BCF" w:rsidRPr="00857CDA">
        <w:rPr>
          <w:i/>
          <w:lang w:val="ro-RO"/>
        </w:rPr>
        <w:t xml:space="preserve"> 389 </w:t>
      </w:r>
      <w:r w:rsidR="000476F2" w:rsidRPr="00857CDA">
        <w:rPr>
          <w:i/>
          <w:lang w:val="ro-RO"/>
        </w:rPr>
        <w:t>de la</w:t>
      </w:r>
      <w:r w:rsidR="00214BCF" w:rsidRPr="00857CDA">
        <w:rPr>
          <w:i/>
          <w:lang w:val="ro-RO"/>
        </w:rPr>
        <w:t xml:space="preserve"> </w:t>
      </w:r>
      <w:r w:rsidR="00902C44" w:rsidRPr="00857CDA">
        <w:rPr>
          <w:i/>
          <w:lang w:val="ro-RO"/>
        </w:rPr>
        <w:t>Capitolul</w:t>
      </w:r>
      <w:r w:rsidR="00214BCF" w:rsidRPr="00857CDA">
        <w:rPr>
          <w:i/>
          <w:lang w:val="ro-RO"/>
        </w:rPr>
        <w:t xml:space="preserve"> 3.3.</w:t>
      </w:r>
      <w:r w:rsidR="00660131" w:rsidRPr="00857CDA">
        <w:rPr>
          <w:lang w:val="ro-RO"/>
        </w:rPr>
        <w:t>”</w:t>
      </w:r>
      <w:r w:rsidR="00EE09DD" w:rsidRPr="00857CDA">
        <w:rPr>
          <w:lang w:val="ro-RO"/>
        </w:rPr>
        <w:t>.</w:t>
      </w:r>
    </w:p>
    <w:p w:rsidR="00214BCF" w:rsidRPr="00857CDA" w:rsidRDefault="00214BCF" w:rsidP="00214BCF">
      <w:pPr>
        <w:pStyle w:val="SingleTxtG"/>
        <w:rPr>
          <w:iCs/>
          <w:lang w:val="ro-RO"/>
        </w:rPr>
      </w:pPr>
      <w:r w:rsidRPr="00857CDA">
        <w:rPr>
          <w:lang w:val="ro-RO"/>
        </w:rPr>
        <w:t>2.2.9.1.7</w:t>
      </w:r>
      <w:r w:rsidRPr="00857CDA">
        <w:rPr>
          <w:iCs/>
          <w:lang w:val="ro-RO"/>
        </w:rPr>
        <w:tab/>
      </w:r>
      <w:r w:rsidR="00902C44" w:rsidRPr="00857CDA">
        <w:rPr>
          <w:iCs/>
          <w:lang w:val="ro-RO"/>
        </w:rPr>
        <w:t>Se adaugă</w:t>
      </w:r>
      <w:r w:rsidRPr="00857CDA">
        <w:rPr>
          <w:iCs/>
          <w:lang w:val="ro-RO"/>
        </w:rPr>
        <w:t xml:space="preserve"> </w:t>
      </w:r>
      <w:r w:rsidR="00F26854" w:rsidRPr="00857CDA">
        <w:rPr>
          <w:iCs/>
          <w:lang w:val="ro-RO"/>
        </w:rPr>
        <w:t>noile</w:t>
      </w:r>
      <w:r w:rsidRPr="00857CDA">
        <w:rPr>
          <w:iCs/>
          <w:lang w:val="ro-RO"/>
        </w:rPr>
        <w:t xml:space="preserve"> alin</w:t>
      </w:r>
      <w:r w:rsidR="00F26854" w:rsidRPr="00857CDA">
        <w:rPr>
          <w:iCs/>
          <w:lang w:val="ro-RO"/>
        </w:rPr>
        <w:t>eate</w:t>
      </w:r>
      <w:r w:rsidRPr="00857CDA">
        <w:rPr>
          <w:iCs/>
          <w:lang w:val="ro-RO"/>
        </w:rPr>
        <w:t xml:space="preserve"> f)</w:t>
      </w:r>
      <w:r w:rsidR="004C27AD" w:rsidRPr="00857CDA">
        <w:rPr>
          <w:iCs/>
          <w:lang w:val="ro-RO"/>
        </w:rPr>
        <w:t xml:space="preserve"> și </w:t>
      </w:r>
      <w:r w:rsidRPr="00857CDA">
        <w:rPr>
          <w:iCs/>
          <w:lang w:val="ro-RO"/>
        </w:rPr>
        <w:t>g)</w:t>
      </w:r>
      <w:r w:rsidR="00F26854" w:rsidRPr="00857CDA">
        <w:rPr>
          <w:iCs/>
          <w:lang w:val="ro-RO"/>
        </w:rPr>
        <w:t>, după cum urmează</w:t>
      </w:r>
      <w:r w:rsidRPr="00857CDA">
        <w:rPr>
          <w:iCs/>
          <w:lang w:val="ro-RO"/>
        </w:rPr>
        <w:t>:</w:t>
      </w:r>
    </w:p>
    <w:p w:rsidR="00214BCF" w:rsidRPr="00857CDA" w:rsidRDefault="00824EFF" w:rsidP="00A01F9B">
      <w:pPr>
        <w:pStyle w:val="SingleTxtG"/>
        <w:rPr>
          <w:iCs/>
          <w:lang w:val="ro-RO"/>
        </w:rPr>
      </w:pPr>
      <w:r w:rsidRPr="00857CDA">
        <w:rPr>
          <w:lang w:val="ro-RO"/>
        </w:rPr>
        <w:t>„</w:t>
      </w:r>
      <w:r w:rsidR="00214BCF" w:rsidRPr="00857CDA">
        <w:rPr>
          <w:iCs/>
          <w:lang w:val="ro-RO"/>
        </w:rPr>
        <w:t>f)</w:t>
      </w:r>
      <w:r w:rsidR="00214BCF" w:rsidRPr="00857CDA">
        <w:rPr>
          <w:iCs/>
          <w:lang w:val="ro-RO"/>
        </w:rPr>
        <w:tab/>
      </w:r>
      <w:r w:rsidR="002D4748" w:rsidRPr="00857CDA">
        <w:rPr>
          <w:iCs/>
          <w:lang w:val="ro-RO"/>
        </w:rPr>
        <w:t xml:space="preserve">Bateriile cu litiu, care conțin atât </w:t>
      </w:r>
      <w:r w:rsidR="006E6645" w:rsidRPr="00857CDA">
        <w:rPr>
          <w:iCs/>
          <w:lang w:val="ro-RO"/>
        </w:rPr>
        <w:t>pile</w:t>
      </w:r>
      <w:r w:rsidR="002D4748" w:rsidRPr="00857CDA">
        <w:rPr>
          <w:iCs/>
          <w:lang w:val="ro-RO"/>
        </w:rPr>
        <w:t xml:space="preserve"> primare </w:t>
      </w:r>
      <w:r w:rsidR="00FE20D9" w:rsidRPr="00857CDA">
        <w:rPr>
          <w:iCs/>
          <w:lang w:val="ro-RO"/>
        </w:rPr>
        <w:t>cu</w:t>
      </w:r>
      <w:r w:rsidR="002D4748" w:rsidRPr="00857CDA">
        <w:rPr>
          <w:iCs/>
          <w:lang w:val="ro-RO"/>
        </w:rPr>
        <w:t xml:space="preserve"> litiu metal, cât și </w:t>
      </w:r>
      <w:r w:rsidR="006E6645" w:rsidRPr="00857CDA">
        <w:rPr>
          <w:iCs/>
          <w:lang w:val="ro-RO"/>
        </w:rPr>
        <w:t>pile</w:t>
      </w:r>
      <w:r w:rsidR="00FE20D9" w:rsidRPr="00857CDA">
        <w:rPr>
          <w:iCs/>
          <w:lang w:val="ro-RO"/>
        </w:rPr>
        <w:t xml:space="preserve"> cu</w:t>
      </w:r>
      <w:r w:rsidR="002D4748" w:rsidRPr="00857CDA">
        <w:rPr>
          <w:iCs/>
          <w:lang w:val="ro-RO"/>
        </w:rPr>
        <w:t xml:space="preserve"> litiu</w:t>
      </w:r>
      <w:r w:rsidR="00F12AF9" w:rsidRPr="00857CDA">
        <w:rPr>
          <w:iCs/>
          <w:lang w:val="ro-RO"/>
        </w:rPr>
        <w:t xml:space="preserve"> </w:t>
      </w:r>
      <w:r w:rsidR="002D4748" w:rsidRPr="00857CDA">
        <w:rPr>
          <w:iCs/>
          <w:lang w:val="ro-RO"/>
        </w:rPr>
        <w:t>ion</w:t>
      </w:r>
      <w:r w:rsidR="00575D11" w:rsidRPr="00857CDA">
        <w:rPr>
          <w:iCs/>
          <w:lang w:val="ro-RO"/>
        </w:rPr>
        <w:t xml:space="preserve"> reîncărcabile</w:t>
      </w:r>
      <w:r w:rsidR="002D4748" w:rsidRPr="00857CDA">
        <w:rPr>
          <w:iCs/>
          <w:lang w:val="ro-RO"/>
        </w:rPr>
        <w:t xml:space="preserve">, care nu sunt proiectate să fie încărcate extern (a se vedea dispoziția specială 387 din capitolul 3.3) trebuie să îndeplinească </w:t>
      </w:r>
      <w:r w:rsidR="00A01F9B" w:rsidRPr="00857CDA">
        <w:rPr>
          <w:iCs/>
          <w:lang w:val="ro-RO"/>
        </w:rPr>
        <w:t xml:space="preserve">condițiile </w:t>
      </w:r>
      <w:r w:rsidR="002D4748" w:rsidRPr="00857CDA">
        <w:rPr>
          <w:iCs/>
          <w:lang w:val="ro-RO"/>
        </w:rPr>
        <w:t>următoarele:</w:t>
      </w:r>
    </w:p>
    <w:p w:rsidR="00214BCF" w:rsidRPr="00857CDA" w:rsidRDefault="00214BCF" w:rsidP="006E6645">
      <w:pPr>
        <w:pStyle w:val="SingleTxtG"/>
        <w:ind w:left="1701"/>
        <w:rPr>
          <w:iCs/>
          <w:lang w:val="ro-RO"/>
        </w:rPr>
      </w:pPr>
      <w:r w:rsidRPr="00857CDA">
        <w:rPr>
          <w:iCs/>
          <w:lang w:val="ro-RO"/>
        </w:rPr>
        <w:t>i)</w:t>
      </w:r>
      <w:r w:rsidRPr="00857CDA">
        <w:rPr>
          <w:iCs/>
          <w:lang w:val="ro-RO"/>
        </w:rPr>
        <w:tab/>
      </w:r>
      <w:r w:rsidR="006E6645" w:rsidRPr="00857CDA">
        <w:rPr>
          <w:iCs/>
          <w:lang w:val="ro-RO"/>
        </w:rPr>
        <w:t>Pilele cu</w:t>
      </w:r>
      <w:r w:rsidRPr="00857CDA">
        <w:rPr>
          <w:iCs/>
          <w:lang w:val="ro-RO"/>
        </w:rPr>
        <w:t xml:space="preserve"> litiu ion</w:t>
      </w:r>
      <w:r w:rsidR="006E6645" w:rsidRPr="00857CDA">
        <w:rPr>
          <w:iCs/>
          <w:lang w:val="ro-RO"/>
        </w:rPr>
        <w:t xml:space="preserve"> </w:t>
      </w:r>
      <w:r w:rsidR="00524B1C" w:rsidRPr="00857CDA">
        <w:rPr>
          <w:iCs/>
          <w:lang w:val="ro-RO"/>
        </w:rPr>
        <w:t xml:space="preserve">reîncărcabile </w:t>
      </w:r>
      <w:r w:rsidR="006E6645" w:rsidRPr="00857CDA">
        <w:rPr>
          <w:iCs/>
          <w:lang w:val="ro-RO"/>
        </w:rPr>
        <w:t>pot fi încărcate numai de la pile primare cu litiu metal</w:t>
      </w:r>
      <w:r w:rsidRPr="00857CDA">
        <w:rPr>
          <w:iCs/>
          <w:lang w:val="ro-RO"/>
        </w:rPr>
        <w:t>;</w:t>
      </w:r>
    </w:p>
    <w:p w:rsidR="006E6645" w:rsidRPr="00857CDA" w:rsidRDefault="00214BCF" w:rsidP="00214BCF">
      <w:pPr>
        <w:pStyle w:val="SingleTxtG"/>
        <w:ind w:left="1701"/>
        <w:rPr>
          <w:iCs/>
          <w:lang w:val="ro-RO"/>
        </w:rPr>
      </w:pPr>
      <w:r w:rsidRPr="00857CDA">
        <w:rPr>
          <w:iCs/>
          <w:lang w:val="ro-RO"/>
        </w:rPr>
        <w:t xml:space="preserve">ii) </w:t>
      </w:r>
      <w:r w:rsidRPr="00857CDA">
        <w:rPr>
          <w:iCs/>
          <w:lang w:val="ro-RO"/>
        </w:rPr>
        <w:tab/>
      </w:r>
      <w:r w:rsidR="00524B1C" w:rsidRPr="00857CDA">
        <w:rPr>
          <w:iCs/>
          <w:lang w:val="ro-RO"/>
        </w:rPr>
        <w:t xml:space="preserve">Supraîncărcarea </w:t>
      </w:r>
      <w:r w:rsidR="006E6645" w:rsidRPr="00857CDA">
        <w:rPr>
          <w:iCs/>
          <w:lang w:val="ro-RO"/>
        </w:rPr>
        <w:t>pilelor cu litiu</w:t>
      </w:r>
      <w:r w:rsidR="00F12AF9" w:rsidRPr="00857CDA">
        <w:rPr>
          <w:iCs/>
          <w:lang w:val="ro-RO"/>
        </w:rPr>
        <w:t xml:space="preserve"> </w:t>
      </w:r>
      <w:r w:rsidR="006E6645" w:rsidRPr="00857CDA">
        <w:rPr>
          <w:iCs/>
          <w:lang w:val="ro-RO"/>
        </w:rPr>
        <w:t xml:space="preserve">ion reîncărcabile este exclusă </w:t>
      </w:r>
      <w:r w:rsidR="00524B1C" w:rsidRPr="00857CDA">
        <w:rPr>
          <w:iCs/>
          <w:lang w:val="ro-RO"/>
        </w:rPr>
        <w:t>d</w:t>
      </w:r>
      <w:r w:rsidR="006E6645" w:rsidRPr="00857CDA">
        <w:rPr>
          <w:iCs/>
          <w:lang w:val="ro-RO"/>
        </w:rPr>
        <w:t>in proiectare</w:t>
      </w:r>
      <w:r w:rsidR="00524B1C" w:rsidRPr="00857CDA">
        <w:rPr>
          <w:iCs/>
          <w:lang w:val="ro-RO"/>
        </w:rPr>
        <w:t>;</w:t>
      </w:r>
      <w:r w:rsidR="006E6645" w:rsidRPr="00857CDA">
        <w:rPr>
          <w:iCs/>
          <w:lang w:val="ro-RO"/>
        </w:rPr>
        <w:t xml:space="preserve"> </w:t>
      </w:r>
    </w:p>
    <w:p w:rsidR="00214BCF" w:rsidRPr="00857CDA" w:rsidRDefault="00214BCF" w:rsidP="00214BCF">
      <w:pPr>
        <w:pStyle w:val="SingleTxtG"/>
        <w:ind w:left="1701"/>
        <w:rPr>
          <w:iCs/>
          <w:lang w:val="ro-RO"/>
        </w:rPr>
      </w:pPr>
      <w:r w:rsidRPr="00857CDA">
        <w:rPr>
          <w:iCs/>
          <w:lang w:val="ro-RO"/>
        </w:rPr>
        <w:t>iii)</w:t>
      </w:r>
      <w:r w:rsidRPr="00857CDA">
        <w:rPr>
          <w:iCs/>
          <w:lang w:val="ro-RO"/>
        </w:rPr>
        <w:tab/>
      </w:r>
      <w:r w:rsidR="00524B1C" w:rsidRPr="00857CDA">
        <w:rPr>
          <w:iCs/>
          <w:lang w:val="ro-RO"/>
        </w:rPr>
        <w:t>Bateri</w:t>
      </w:r>
      <w:r w:rsidRPr="00857CDA">
        <w:rPr>
          <w:iCs/>
          <w:lang w:val="ro-RO"/>
        </w:rPr>
        <w:t xml:space="preserve">a </w:t>
      </w:r>
      <w:r w:rsidR="00524B1C" w:rsidRPr="00857CDA">
        <w:rPr>
          <w:iCs/>
          <w:lang w:val="ro-RO"/>
        </w:rPr>
        <w:t>a fost încercată ca o baterie primară cu litiu</w:t>
      </w:r>
      <w:r w:rsidRPr="00857CDA">
        <w:rPr>
          <w:iCs/>
          <w:lang w:val="ro-RO"/>
        </w:rPr>
        <w:t>;</w:t>
      </w:r>
    </w:p>
    <w:p w:rsidR="00214BCF" w:rsidRPr="00857CDA" w:rsidRDefault="00214BCF" w:rsidP="00214BCF">
      <w:pPr>
        <w:pStyle w:val="SingleTxtG"/>
        <w:ind w:left="1701"/>
        <w:rPr>
          <w:iCs/>
          <w:lang w:val="ro-RO"/>
        </w:rPr>
      </w:pPr>
      <w:r w:rsidRPr="00857CDA">
        <w:rPr>
          <w:iCs/>
          <w:lang w:val="ro-RO"/>
        </w:rPr>
        <w:t>iv)</w:t>
      </w:r>
      <w:r w:rsidRPr="00857CDA">
        <w:rPr>
          <w:iCs/>
          <w:lang w:val="ro-RO"/>
        </w:rPr>
        <w:tab/>
      </w:r>
      <w:r w:rsidR="00524B1C" w:rsidRPr="00857CDA">
        <w:rPr>
          <w:iCs/>
          <w:lang w:val="ro-RO"/>
        </w:rPr>
        <w:t>Pilele care compun bateria trebuie să fie conforme unui tip care îndeplinește prescripțiile de încercare din Manualul de Încercări și Criterii, Partea III, Sub-secțiunea 38.3</w:t>
      </w:r>
      <w:r w:rsidR="00AC5A1F" w:rsidRPr="00857CDA">
        <w:rPr>
          <w:iCs/>
          <w:lang w:val="ro-RO"/>
        </w:rPr>
        <w:t>;</w:t>
      </w:r>
    </w:p>
    <w:p w:rsidR="00214BCF" w:rsidRPr="00857CDA" w:rsidRDefault="00214BCF" w:rsidP="00524B1C">
      <w:pPr>
        <w:pStyle w:val="SingleTxtG"/>
        <w:rPr>
          <w:iCs/>
          <w:lang w:val="ro-RO"/>
        </w:rPr>
      </w:pPr>
      <w:r w:rsidRPr="00857CDA">
        <w:rPr>
          <w:iCs/>
          <w:lang w:val="ro-RO"/>
        </w:rPr>
        <w:t>g)</w:t>
      </w:r>
      <w:r w:rsidRPr="00857CDA">
        <w:rPr>
          <w:iCs/>
          <w:lang w:val="ro-RO"/>
        </w:rPr>
        <w:tab/>
      </w:r>
      <w:r w:rsidR="00524B1C" w:rsidRPr="00857CDA">
        <w:rPr>
          <w:iCs/>
          <w:lang w:val="ro-RO"/>
        </w:rPr>
        <w:t>Producătorii și distribuitorii de pile sau baterii trebuie să pună la dispoziție rezumatul încercărilor, astfel cum se specifică în Manualul de Încercări și Criterii, Partea III, Sub-secțiunea 38.3, paragraful 38.3.5</w:t>
      </w:r>
      <w:r w:rsidRPr="00857CDA">
        <w:rPr>
          <w:lang w:val="ro-RO"/>
        </w:rPr>
        <w:t>.</w:t>
      </w:r>
      <w:r w:rsidR="00660131" w:rsidRPr="00857CDA">
        <w:rPr>
          <w:lang w:val="ro-RO"/>
        </w:rPr>
        <w:t>”</w:t>
      </w:r>
      <w:r w:rsidRPr="00857CDA">
        <w:rPr>
          <w:iCs/>
          <w:lang w:val="ro-RO"/>
        </w:rPr>
        <w:t>.</w:t>
      </w:r>
    </w:p>
    <w:p w:rsidR="003A687B" w:rsidRPr="00857CDA" w:rsidRDefault="003A687B" w:rsidP="003A687B">
      <w:pPr>
        <w:pStyle w:val="SingleTxtG"/>
        <w:rPr>
          <w:lang w:val="ro-RO"/>
        </w:rPr>
      </w:pPr>
      <w:r w:rsidRPr="00857CDA">
        <w:rPr>
          <w:lang w:val="ro-RO"/>
        </w:rPr>
        <w:t>2.2.9.1.10.4.6.5</w:t>
      </w:r>
      <w:r w:rsidRPr="00857CDA">
        <w:rPr>
          <w:lang w:val="ro-RO"/>
        </w:rPr>
        <w:tab/>
      </w:r>
      <w:r w:rsidR="00524B1C" w:rsidRPr="00857CDA">
        <w:rPr>
          <w:lang w:val="ro-RO"/>
        </w:rPr>
        <w:t>La sfârșit</w:t>
      </w:r>
      <w:r w:rsidRPr="00857CDA">
        <w:rPr>
          <w:lang w:val="ro-RO"/>
        </w:rPr>
        <w:t xml:space="preserve">, </w:t>
      </w:r>
      <w:r w:rsidR="00524B1C" w:rsidRPr="00857CDA">
        <w:rPr>
          <w:lang w:val="ro-RO"/>
        </w:rPr>
        <w:t>s</w:t>
      </w:r>
      <w:r w:rsidR="00902C44" w:rsidRPr="00857CDA">
        <w:rPr>
          <w:lang w:val="ro-RO"/>
        </w:rPr>
        <w:t>e șterge</w:t>
      </w:r>
      <w:r w:rsidRPr="00857CDA">
        <w:rPr>
          <w:lang w:val="ro-RO"/>
        </w:rPr>
        <w:t xml:space="preserve"> </w:t>
      </w:r>
      <w:r w:rsidR="00824EFF" w:rsidRPr="00857CDA">
        <w:rPr>
          <w:lang w:val="ro-RO"/>
        </w:rPr>
        <w:t>„</w:t>
      </w:r>
      <w:r w:rsidR="005D26D0" w:rsidRPr="00857CDA">
        <w:rPr>
          <w:lang w:val="ro-RO"/>
        </w:rPr>
        <w:t>și a unei declarații suplimentare prin care: „procentul x din amestec constă din ingredientul (ingredienții) cu pericol necunoscut pentru mediul acvatic.”</w:t>
      </w:r>
      <w:r w:rsidRPr="00857CDA">
        <w:rPr>
          <w:lang w:val="ro-RO"/>
        </w:rPr>
        <w:t>.</w:t>
      </w:r>
    </w:p>
    <w:p w:rsidR="003A687B" w:rsidRPr="00857CDA" w:rsidRDefault="003A687B" w:rsidP="00BD056C">
      <w:pPr>
        <w:pStyle w:val="SingleTxtG"/>
        <w:rPr>
          <w:lang w:val="ro-RO"/>
        </w:rPr>
      </w:pPr>
      <w:r w:rsidRPr="00857CDA">
        <w:rPr>
          <w:lang w:val="ro-RO"/>
        </w:rPr>
        <w:lastRenderedPageBreak/>
        <w:t>2.2.9.1.14</w:t>
      </w:r>
      <w:r w:rsidRPr="00857CDA">
        <w:rPr>
          <w:lang w:val="ro-RO"/>
        </w:rPr>
        <w:tab/>
      </w:r>
      <w:r w:rsidR="002B679C" w:rsidRPr="00857CDA">
        <w:rPr>
          <w:lang w:val="ro-RO"/>
        </w:rPr>
        <w:t>Se modifică</w:t>
      </w:r>
      <w:r w:rsidRPr="00857CDA">
        <w:rPr>
          <w:lang w:val="ro-RO"/>
        </w:rPr>
        <w:t xml:space="preserve"> </w:t>
      </w:r>
      <w:r w:rsidR="00F66E7D" w:rsidRPr="00857CDA">
        <w:rPr>
          <w:lang w:val="ro-RO"/>
        </w:rPr>
        <w:t>titlul, după cum urmează:</w:t>
      </w:r>
      <w:r w:rsidRPr="00857CDA">
        <w:rPr>
          <w:lang w:val="ro-RO"/>
        </w:rPr>
        <w:t xml:space="preserve"> </w:t>
      </w:r>
      <w:r w:rsidR="00824EFF" w:rsidRPr="00857CDA">
        <w:rPr>
          <w:lang w:val="ro-RO"/>
        </w:rPr>
        <w:t>„</w:t>
      </w:r>
      <w:r w:rsidR="00F66E7D" w:rsidRPr="00857CDA">
        <w:rPr>
          <w:lang w:val="ro-RO"/>
        </w:rPr>
        <w:t>Alte substanțe care prezintă un pericol în timpul transportului, dar care nu corespund definiției niciunei alte clase</w:t>
      </w:r>
      <w:r w:rsidR="00660131" w:rsidRPr="00857CDA">
        <w:rPr>
          <w:lang w:val="ro-RO"/>
        </w:rPr>
        <w:t>”</w:t>
      </w:r>
      <w:r w:rsidRPr="00857CDA">
        <w:rPr>
          <w:lang w:val="ro-RO"/>
        </w:rPr>
        <w:t>.</w:t>
      </w:r>
    </w:p>
    <w:p w:rsidR="00732101" w:rsidRPr="00857CDA" w:rsidRDefault="00732101" w:rsidP="00F66E7D">
      <w:pPr>
        <w:pStyle w:val="SingleTxtG"/>
        <w:rPr>
          <w:lang w:val="ro-RO"/>
        </w:rPr>
      </w:pPr>
      <w:r w:rsidRPr="00857CDA">
        <w:rPr>
          <w:lang w:val="ro-RO"/>
        </w:rPr>
        <w:t>2.2.9.1.14</w:t>
      </w:r>
      <w:r w:rsidRPr="00857CDA">
        <w:rPr>
          <w:lang w:val="ro-RO"/>
        </w:rPr>
        <w:tab/>
      </w:r>
      <w:r w:rsidR="00902C44" w:rsidRPr="00857CDA">
        <w:rPr>
          <w:lang w:val="ro-RO"/>
        </w:rPr>
        <w:t>Se modifică</w:t>
      </w:r>
      <w:r w:rsidRPr="00857CDA">
        <w:rPr>
          <w:lang w:val="ro-RO"/>
        </w:rPr>
        <w:t xml:space="preserve"> </w:t>
      </w:r>
      <w:r w:rsidR="00824EFF" w:rsidRPr="00857CDA">
        <w:rPr>
          <w:lang w:val="ro-RO"/>
        </w:rPr>
        <w:t>„</w:t>
      </w:r>
      <w:r w:rsidR="00F66E7D" w:rsidRPr="00857CDA">
        <w:rPr>
          <w:lang w:val="ro-RO"/>
        </w:rPr>
        <w:t>Ditionită cu risc mic</w:t>
      </w:r>
      <w:r w:rsidR="00660131" w:rsidRPr="00857CDA">
        <w:rPr>
          <w:lang w:val="ro-RO"/>
        </w:rPr>
        <w:t>”</w:t>
      </w:r>
      <w:r w:rsidR="00902C44" w:rsidRPr="00857CDA">
        <w:rPr>
          <w:lang w:val="ro-RO"/>
        </w:rPr>
        <w:t xml:space="preserve"> cu </w:t>
      </w:r>
      <w:r w:rsidR="00824EFF" w:rsidRPr="00857CDA">
        <w:rPr>
          <w:lang w:val="ro-RO"/>
        </w:rPr>
        <w:t>„</w:t>
      </w:r>
      <w:r w:rsidR="00F66E7D" w:rsidRPr="00857CDA">
        <w:rPr>
          <w:lang w:val="ro-RO"/>
        </w:rPr>
        <w:t>Ditionită cu pericol redus</w:t>
      </w:r>
      <w:r w:rsidR="00660131" w:rsidRPr="00857CDA">
        <w:rPr>
          <w:lang w:val="ro-RO"/>
        </w:rPr>
        <w:t>”</w:t>
      </w:r>
      <w:r w:rsidRPr="00857CDA">
        <w:rPr>
          <w:lang w:val="ro-RO"/>
        </w:rPr>
        <w:t>.</w:t>
      </w:r>
    </w:p>
    <w:p w:rsidR="003A687B" w:rsidRPr="00857CDA" w:rsidRDefault="003A687B" w:rsidP="003A687B">
      <w:pPr>
        <w:pStyle w:val="SingleTxtG"/>
        <w:rPr>
          <w:lang w:val="ro-RO"/>
        </w:rPr>
      </w:pPr>
      <w:r w:rsidRPr="00857CDA">
        <w:rPr>
          <w:lang w:val="ro-RO"/>
        </w:rPr>
        <w:t>2.2.9.1.14</w:t>
      </w:r>
      <w:r w:rsidRPr="00857CDA">
        <w:rPr>
          <w:lang w:val="ro-RO"/>
        </w:rPr>
        <w:tab/>
      </w:r>
      <w:r w:rsidR="00991390" w:rsidRPr="00857CDA">
        <w:rPr>
          <w:lang w:val="ro-RO"/>
        </w:rPr>
        <w:t>După</w:t>
      </w:r>
      <w:r w:rsidRPr="00857CDA">
        <w:rPr>
          <w:lang w:val="ro-RO"/>
        </w:rPr>
        <w:t xml:space="preserve"> </w:t>
      </w:r>
      <w:r w:rsidR="00824EFF" w:rsidRPr="00857CDA">
        <w:rPr>
          <w:lang w:val="ro-RO"/>
        </w:rPr>
        <w:t>„</w:t>
      </w:r>
      <w:r w:rsidR="00F66E7D" w:rsidRPr="00857CDA">
        <w:rPr>
          <w:lang w:val="ro-RO"/>
        </w:rPr>
        <w:t>Vehicule, motoare și utilaje cu ardere internă</w:t>
      </w:r>
      <w:r w:rsidR="00660131" w:rsidRPr="00857CDA">
        <w:rPr>
          <w:lang w:val="ro-RO"/>
        </w:rPr>
        <w:t>”</w:t>
      </w:r>
      <w:r w:rsidRPr="00857CDA">
        <w:rPr>
          <w:lang w:val="ro-RO"/>
        </w:rPr>
        <w:t xml:space="preserve">, </w:t>
      </w:r>
      <w:r w:rsidR="00902C44" w:rsidRPr="00857CDA">
        <w:rPr>
          <w:lang w:val="ro-RO"/>
        </w:rPr>
        <w:t>se adaugă</w:t>
      </w:r>
      <w:r w:rsidR="00857CDA">
        <w:rPr>
          <w:lang w:val="ro-RO"/>
        </w:rPr>
        <w:t xml:space="preserve"> </w:t>
      </w:r>
      <w:r w:rsidR="00F66E7D" w:rsidRPr="00857CDA">
        <w:rPr>
          <w:lang w:val="ro-RO"/>
        </w:rPr>
        <w:t>un rând nou, după cum urmează</w:t>
      </w:r>
      <w:r w:rsidRPr="00857CDA">
        <w:rPr>
          <w:lang w:val="ro-RO"/>
        </w:rPr>
        <w:t xml:space="preserve">: </w:t>
      </w:r>
      <w:r w:rsidR="00824EFF" w:rsidRPr="00857CDA">
        <w:rPr>
          <w:lang w:val="ro-RO"/>
        </w:rPr>
        <w:t>„</w:t>
      </w:r>
      <w:r w:rsidR="00857CDA" w:rsidRPr="00857CDA">
        <w:rPr>
          <w:lang w:val="ro-RO"/>
        </w:rPr>
        <w:t>Obiecte</w:t>
      </w:r>
      <w:r w:rsidR="00F66E7D" w:rsidRPr="00857CDA">
        <w:rPr>
          <w:lang w:val="ro-RO"/>
        </w:rPr>
        <w:t xml:space="preserve"> care conțin m</w:t>
      </w:r>
      <w:r w:rsidR="00655DA9" w:rsidRPr="00857CDA">
        <w:rPr>
          <w:lang w:val="ro-RO"/>
        </w:rPr>
        <w:t>ărfuri periculoase</w:t>
      </w:r>
      <w:r w:rsidRPr="00857CDA">
        <w:rPr>
          <w:lang w:val="ro-RO"/>
        </w:rPr>
        <w:t xml:space="preserve"> diverse</w:t>
      </w:r>
      <w:r w:rsidR="00660131" w:rsidRPr="00857CDA">
        <w:rPr>
          <w:lang w:val="ro-RO"/>
        </w:rPr>
        <w:t>”</w:t>
      </w:r>
      <w:r w:rsidRPr="00857CDA">
        <w:rPr>
          <w:lang w:val="ro-RO"/>
        </w:rPr>
        <w:t>.</w:t>
      </w:r>
    </w:p>
    <w:p w:rsidR="003A687B" w:rsidRPr="00857CDA" w:rsidRDefault="003A687B" w:rsidP="003A687B">
      <w:pPr>
        <w:pStyle w:val="SingleTxtG"/>
        <w:rPr>
          <w:lang w:val="ro-RO"/>
        </w:rPr>
      </w:pPr>
      <w:r w:rsidRPr="00857CDA">
        <w:rPr>
          <w:lang w:val="ro-RO"/>
        </w:rPr>
        <w:t>2.2.9.1.14</w:t>
      </w:r>
      <w:r w:rsidRPr="00857CDA">
        <w:rPr>
          <w:lang w:val="ro-RO"/>
        </w:rPr>
        <w:tab/>
      </w:r>
      <w:r w:rsidR="00902C44" w:rsidRPr="00857CDA">
        <w:rPr>
          <w:lang w:val="ro-RO"/>
        </w:rPr>
        <w:t xml:space="preserve">În </w:t>
      </w:r>
      <w:r w:rsidRPr="00857CDA">
        <w:rPr>
          <w:lang w:val="ro-RO"/>
        </w:rPr>
        <w:t>Not</w:t>
      </w:r>
      <w:r w:rsidR="00F66E7D" w:rsidRPr="00857CDA">
        <w:rPr>
          <w:lang w:val="ro-RO"/>
        </w:rPr>
        <w:t>ă</w:t>
      </w:r>
      <w:r w:rsidRPr="00857CDA">
        <w:rPr>
          <w:lang w:val="ro-RO"/>
        </w:rPr>
        <w:t xml:space="preserve">, </w:t>
      </w:r>
      <w:r w:rsidR="00F66E7D" w:rsidRPr="00857CDA">
        <w:rPr>
          <w:lang w:val="ro-RO"/>
        </w:rPr>
        <w:t>s</w:t>
      </w:r>
      <w:r w:rsidR="00902C44" w:rsidRPr="00857CDA">
        <w:rPr>
          <w:lang w:val="ro-RO"/>
        </w:rPr>
        <w:t>e șterge</w:t>
      </w:r>
      <w:r w:rsidRPr="00857CDA">
        <w:rPr>
          <w:lang w:val="ro-RO"/>
        </w:rPr>
        <w:t xml:space="preserve"> </w:t>
      </w:r>
      <w:r w:rsidR="00824EFF" w:rsidRPr="00857CDA">
        <w:rPr>
          <w:lang w:val="ro-RO"/>
        </w:rPr>
        <w:t>„</w:t>
      </w:r>
      <w:r w:rsidR="00DC4667" w:rsidRPr="00857CDA">
        <w:rPr>
          <w:lang w:val="ro-RO"/>
        </w:rPr>
        <w:t>Nr. ONU 2071 îngrășăminte cu azotat de amoniu sau nitrat de amoniu,</w:t>
      </w:r>
      <w:r w:rsidR="00660131" w:rsidRPr="00857CDA">
        <w:rPr>
          <w:lang w:val="ro-RO"/>
        </w:rPr>
        <w:t>”</w:t>
      </w:r>
      <w:r w:rsidRPr="00857CDA">
        <w:rPr>
          <w:lang w:val="ro-RO"/>
        </w:rPr>
        <w:t>.</w:t>
      </w:r>
    </w:p>
    <w:p w:rsidR="003A687B" w:rsidRPr="00857CDA" w:rsidRDefault="003A687B" w:rsidP="003A687B">
      <w:pPr>
        <w:pStyle w:val="SingleTxtG"/>
        <w:rPr>
          <w:lang w:val="ro-RO"/>
        </w:rPr>
      </w:pPr>
      <w:r w:rsidRPr="00857CDA">
        <w:rPr>
          <w:lang w:val="ro-RO"/>
        </w:rPr>
        <w:t>2.2.9.1.14</w:t>
      </w:r>
      <w:r w:rsidRPr="00857CDA">
        <w:rPr>
          <w:lang w:val="ro-RO"/>
        </w:rPr>
        <w:tab/>
      </w:r>
      <w:r w:rsidR="00902C44" w:rsidRPr="00857CDA">
        <w:rPr>
          <w:lang w:val="ro-RO"/>
        </w:rPr>
        <w:t xml:space="preserve">În </w:t>
      </w:r>
      <w:r w:rsidRPr="00857CDA">
        <w:rPr>
          <w:lang w:val="ro-RO"/>
        </w:rPr>
        <w:t>Not</w:t>
      </w:r>
      <w:r w:rsidR="00DC4667" w:rsidRPr="00857CDA">
        <w:rPr>
          <w:lang w:val="ro-RO"/>
        </w:rPr>
        <w:t>ă</w:t>
      </w:r>
      <w:r w:rsidRPr="00857CDA">
        <w:rPr>
          <w:lang w:val="ro-RO"/>
        </w:rPr>
        <w:t xml:space="preserve">, </w:t>
      </w:r>
      <w:r w:rsidR="00DC4667" w:rsidRPr="00857CDA">
        <w:rPr>
          <w:lang w:val="ro-RO"/>
        </w:rPr>
        <w:t>s</w:t>
      </w:r>
      <w:r w:rsidR="00902C44" w:rsidRPr="00857CDA">
        <w:rPr>
          <w:lang w:val="ro-RO"/>
        </w:rPr>
        <w:t>e modifică</w:t>
      </w:r>
      <w:r w:rsidRPr="00857CDA">
        <w:rPr>
          <w:lang w:val="ro-RO"/>
        </w:rPr>
        <w:t xml:space="preserve"> </w:t>
      </w:r>
      <w:r w:rsidR="007E4212" w:rsidRPr="00857CDA">
        <w:rPr>
          <w:lang w:val="ro-RO"/>
        </w:rPr>
        <w:t>“</w:t>
      </w:r>
      <w:r w:rsidR="00D85951" w:rsidRPr="00857CDA">
        <w:rPr>
          <w:lang w:val="ro-RO"/>
        </w:rPr>
        <w:t>,</w:t>
      </w:r>
      <w:r w:rsidRPr="00857CDA">
        <w:rPr>
          <w:lang w:val="ro-RO"/>
        </w:rPr>
        <w:t> </w:t>
      </w:r>
      <w:r w:rsidR="007E4212" w:rsidRPr="00857CDA">
        <w:rPr>
          <w:i/>
          <w:lang w:val="ro-RO"/>
        </w:rPr>
        <w:t>Nr. ONU 3335 substanță solidă reglementată pentru aviație, n.s.a. și Nr. ONU 3363 mărfuri periculoase conținute în utilaje sau mărfuri periculoase conținute în aparate,</w:t>
      </w:r>
      <w:r w:rsidR="00660131" w:rsidRPr="00857CDA">
        <w:rPr>
          <w:lang w:val="ro-RO"/>
        </w:rPr>
        <w:t>”</w:t>
      </w:r>
      <w:r w:rsidR="00902C44" w:rsidRPr="00857CDA">
        <w:rPr>
          <w:lang w:val="ro-RO"/>
        </w:rPr>
        <w:t xml:space="preserve"> cu </w:t>
      </w:r>
      <w:r w:rsidR="00660131" w:rsidRPr="00857CDA">
        <w:rPr>
          <w:lang w:val="ro-RO"/>
        </w:rPr>
        <w:t>“</w:t>
      </w:r>
      <w:r w:rsidR="004C27AD" w:rsidRPr="00857CDA">
        <w:rPr>
          <w:i/>
          <w:lang w:val="ro-RO"/>
        </w:rPr>
        <w:t xml:space="preserve">și </w:t>
      </w:r>
      <w:r w:rsidR="007E4212" w:rsidRPr="00857CDA">
        <w:rPr>
          <w:i/>
          <w:lang w:val="ro-RO"/>
        </w:rPr>
        <w:t xml:space="preserve">Nr. ONU </w:t>
      </w:r>
      <w:r w:rsidRPr="00857CDA">
        <w:rPr>
          <w:i/>
          <w:lang w:val="ro-RO"/>
        </w:rPr>
        <w:t xml:space="preserve">3335 </w:t>
      </w:r>
      <w:r w:rsidR="007E4212" w:rsidRPr="00857CDA">
        <w:rPr>
          <w:i/>
          <w:lang w:val="ro-RO"/>
        </w:rPr>
        <w:t>substanță solidă reglementată pentru aviație, n.s.a.</w:t>
      </w:r>
      <w:r w:rsidR="00660131" w:rsidRPr="00857CDA">
        <w:rPr>
          <w:lang w:val="ro-RO"/>
        </w:rPr>
        <w:t>”</w:t>
      </w:r>
      <w:r w:rsidRPr="00857CDA">
        <w:rPr>
          <w:lang w:val="ro-RO"/>
        </w:rPr>
        <w:t>.</w:t>
      </w:r>
    </w:p>
    <w:p w:rsidR="005A32BE" w:rsidRPr="00857CDA" w:rsidRDefault="005A32BE" w:rsidP="00B956B7">
      <w:pPr>
        <w:pStyle w:val="SingleTxtG"/>
        <w:tabs>
          <w:tab w:val="left" w:pos="2268"/>
        </w:tabs>
        <w:rPr>
          <w:lang w:val="ro-RO"/>
        </w:rPr>
      </w:pPr>
      <w:r w:rsidRPr="00857CDA">
        <w:rPr>
          <w:lang w:val="ro-RO"/>
        </w:rPr>
        <w:t>2.2.9.3</w:t>
      </w:r>
      <w:r w:rsidRPr="00857CDA">
        <w:rPr>
          <w:lang w:val="ro-RO"/>
        </w:rPr>
        <w:tab/>
      </w:r>
      <w:r w:rsidR="00991390" w:rsidRPr="00857CDA">
        <w:rPr>
          <w:lang w:val="ro-RO"/>
        </w:rPr>
        <w:t>Pentru</w:t>
      </w:r>
      <w:r w:rsidRPr="00857CDA">
        <w:rPr>
          <w:lang w:val="ro-RO"/>
        </w:rPr>
        <w:t xml:space="preserve"> </w:t>
      </w:r>
      <w:r w:rsidR="00121893" w:rsidRPr="00857CDA">
        <w:rPr>
          <w:lang w:val="ro-RO"/>
        </w:rPr>
        <w:t>„</w:t>
      </w:r>
      <w:r w:rsidR="00DE2C86" w:rsidRPr="00857CDA">
        <w:rPr>
          <w:lang w:val="ro-RO"/>
        </w:rPr>
        <w:t>Baterii c</w:t>
      </w:r>
      <w:r w:rsidRPr="00857CDA">
        <w:rPr>
          <w:lang w:val="ro-RO"/>
        </w:rPr>
        <w:t xml:space="preserve">u </w:t>
      </w:r>
      <w:r w:rsidR="00857CDA" w:rsidRPr="00857CDA">
        <w:rPr>
          <w:lang w:val="ro-RO"/>
        </w:rPr>
        <w:t>litiu</w:t>
      </w:r>
      <w:r w:rsidRPr="00857CDA">
        <w:rPr>
          <w:lang w:val="ro-RO"/>
        </w:rPr>
        <w:t xml:space="preserve"> M4</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DE2C86" w:rsidRPr="00857CDA">
        <w:rPr>
          <w:lang w:val="ro-RO"/>
        </w:rPr>
        <w:t>o nouă rubrică, după cum urmează</w:t>
      </w:r>
      <w:r w:rsidR="00091658" w:rsidRPr="00857CDA">
        <w:rPr>
          <w:lang w:val="ro-RO"/>
        </w:rPr>
        <w:t>:</w:t>
      </w:r>
    </w:p>
    <w:p w:rsidR="005A32BE" w:rsidRPr="00857CDA" w:rsidRDefault="00121893" w:rsidP="00C64110">
      <w:pPr>
        <w:pStyle w:val="SingleTxtG"/>
        <w:rPr>
          <w:lang w:val="ro-RO"/>
        </w:rPr>
      </w:pPr>
      <w:r w:rsidRPr="00857CDA">
        <w:rPr>
          <w:lang w:val="ro-RO"/>
        </w:rPr>
        <w:t>„</w:t>
      </w:r>
      <w:r w:rsidR="005A32BE" w:rsidRPr="00857CDA">
        <w:rPr>
          <w:lang w:val="ro-RO"/>
        </w:rPr>
        <w:t xml:space="preserve">3536 </w:t>
      </w:r>
      <w:r w:rsidR="000476F2" w:rsidRPr="00857CDA">
        <w:rPr>
          <w:lang w:val="ro-RO"/>
        </w:rPr>
        <w:t>BATERII CU LITIU INSTALATE ÎN UNITĂȚI DE TRANSPORT MARFĂ baterii cu litiu ion sau baterii cu litiu metal</w:t>
      </w:r>
      <w:r w:rsidR="00660131" w:rsidRPr="00857CDA">
        <w:rPr>
          <w:lang w:val="ro-RO"/>
        </w:rPr>
        <w:t>”</w:t>
      </w:r>
      <w:r w:rsidR="005A32BE" w:rsidRPr="00857CDA">
        <w:rPr>
          <w:lang w:val="ro-RO"/>
        </w:rPr>
        <w:t>.</w:t>
      </w:r>
    </w:p>
    <w:p w:rsidR="00A3434F" w:rsidRPr="00857CDA" w:rsidRDefault="00A3434F" w:rsidP="00610DD9">
      <w:pPr>
        <w:pStyle w:val="SingleTxtG"/>
        <w:tabs>
          <w:tab w:val="left" w:pos="2268"/>
        </w:tabs>
        <w:rPr>
          <w:lang w:val="ro-RO"/>
        </w:rPr>
      </w:pPr>
      <w:r w:rsidRPr="00857CDA">
        <w:rPr>
          <w:lang w:val="ro-RO"/>
        </w:rPr>
        <w:t>2.2.9.3</w:t>
      </w:r>
      <w:r w:rsidR="00196C06" w:rsidRPr="00857CDA">
        <w:rPr>
          <w:lang w:val="ro-RO"/>
        </w:rPr>
        <w:tab/>
      </w:r>
      <w:r w:rsidR="002B679C" w:rsidRPr="00857CDA">
        <w:rPr>
          <w:lang w:val="ro-RO"/>
        </w:rPr>
        <w:t>Se modifică</w:t>
      </w:r>
      <w:r w:rsidRPr="00857CDA">
        <w:rPr>
          <w:lang w:val="ro-RO"/>
        </w:rPr>
        <w:t xml:space="preserve"> </w:t>
      </w:r>
      <w:r w:rsidR="00DE2C86" w:rsidRPr="00857CDA">
        <w:rPr>
          <w:lang w:val="ro-RO"/>
        </w:rPr>
        <w:t>t</w:t>
      </w:r>
      <w:r w:rsidRPr="00857CDA">
        <w:rPr>
          <w:lang w:val="ro-RO"/>
        </w:rPr>
        <w:t>it</w:t>
      </w:r>
      <w:r w:rsidR="00DE2C86" w:rsidRPr="00857CDA">
        <w:rPr>
          <w:lang w:val="ro-RO"/>
        </w:rPr>
        <w:t>lul</w:t>
      </w:r>
      <w:r w:rsidRPr="00857CDA">
        <w:rPr>
          <w:lang w:val="ro-RO"/>
        </w:rPr>
        <w:t xml:space="preserve"> sub</w:t>
      </w:r>
      <w:r w:rsidR="00DE2C86" w:rsidRPr="00857CDA">
        <w:rPr>
          <w:lang w:val="ro-RO"/>
        </w:rPr>
        <w:t>-</w:t>
      </w:r>
      <w:r w:rsidRPr="00857CDA">
        <w:rPr>
          <w:lang w:val="ro-RO"/>
        </w:rPr>
        <w:t>divi</w:t>
      </w:r>
      <w:r w:rsidR="00DE2C86" w:rsidRPr="00857CDA">
        <w:rPr>
          <w:lang w:val="ro-RO"/>
        </w:rPr>
        <w:t>z</w:t>
      </w:r>
      <w:r w:rsidRPr="00857CDA">
        <w:rPr>
          <w:lang w:val="ro-RO"/>
        </w:rPr>
        <w:t>i</w:t>
      </w:r>
      <w:r w:rsidR="00DE2C86" w:rsidRPr="00857CDA">
        <w:rPr>
          <w:lang w:val="ro-RO"/>
        </w:rPr>
        <w:t>unii</w:t>
      </w:r>
      <w:r w:rsidRPr="00857CDA">
        <w:rPr>
          <w:lang w:val="ro-RO"/>
        </w:rPr>
        <w:t xml:space="preserve"> </w:t>
      </w:r>
      <w:r w:rsidR="00121893" w:rsidRPr="00857CDA">
        <w:rPr>
          <w:lang w:val="ro-RO"/>
        </w:rPr>
        <w:t>„</w:t>
      </w:r>
      <w:r w:rsidRPr="00857CDA">
        <w:rPr>
          <w:lang w:val="ro-RO"/>
        </w:rPr>
        <w:t>M11</w:t>
      </w:r>
      <w:r w:rsidR="00660131" w:rsidRPr="00857CDA">
        <w:rPr>
          <w:lang w:val="ro-RO"/>
        </w:rPr>
        <w:t>”</w:t>
      </w:r>
      <w:r w:rsidR="00DE2C86" w:rsidRPr="00857CDA">
        <w:rPr>
          <w:lang w:val="ro-RO"/>
        </w:rPr>
        <w:t>, după cum urmează:</w:t>
      </w:r>
      <w:r w:rsidR="00196C06" w:rsidRPr="00857CDA">
        <w:rPr>
          <w:lang w:val="ro-RO"/>
        </w:rPr>
        <w:t xml:space="preserve"> </w:t>
      </w:r>
      <w:r w:rsidR="00660131" w:rsidRPr="00857CDA">
        <w:rPr>
          <w:lang w:val="ro-RO"/>
        </w:rPr>
        <w:t>“</w:t>
      </w:r>
      <w:r w:rsidR="00DE2C86" w:rsidRPr="00857CDA">
        <w:rPr>
          <w:lang w:val="ro-RO"/>
        </w:rPr>
        <w:t>Alte substanțe și obiecte care prezintă un pericol în timpul transportului, care nu corespund definiției niciunei alte clase</w:t>
      </w:r>
      <w:r w:rsidR="00660131" w:rsidRPr="00857CDA">
        <w:rPr>
          <w:lang w:val="ro-RO"/>
        </w:rPr>
        <w:t>”</w:t>
      </w:r>
      <w:r w:rsidR="00EE09DD" w:rsidRPr="00857CDA">
        <w:rPr>
          <w:lang w:val="ro-RO"/>
        </w:rPr>
        <w:t xml:space="preserve">. </w:t>
      </w:r>
    </w:p>
    <w:p w:rsidR="00EE09DD" w:rsidRPr="00857CDA" w:rsidRDefault="00A3434F" w:rsidP="00C64110">
      <w:pPr>
        <w:pStyle w:val="SingleTxtG"/>
        <w:rPr>
          <w:lang w:val="ro-RO"/>
        </w:rPr>
      </w:pPr>
      <w:r w:rsidRPr="00857CDA">
        <w:rPr>
          <w:lang w:val="ro-RO"/>
        </w:rPr>
        <w:t>2.2.9.3</w:t>
      </w:r>
      <w:r w:rsidRPr="00857CDA">
        <w:rPr>
          <w:lang w:val="ro-RO"/>
        </w:rPr>
        <w:tab/>
      </w:r>
      <w:r w:rsidRPr="00857CDA">
        <w:rPr>
          <w:lang w:val="ro-RO"/>
        </w:rPr>
        <w:tab/>
      </w:r>
      <w:r w:rsidR="00991390" w:rsidRPr="00857CDA">
        <w:rPr>
          <w:lang w:val="ro-RO"/>
        </w:rPr>
        <w:t>Pentru</w:t>
      </w:r>
      <w:r w:rsidRPr="00857CDA">
        <w:rPr>
          <w:lang w:val="ro-RO"/>
        </w:rPr>
        <w:t xml:space="preserve"> </w:t>
      </w:r>
      <w:r w:rsidR="00121893" w:rsidRPr="00857CDA">
        <w:rPr>
          <w:lang w:val="ro-RO"/>
        </w:rPr>
        <w:t>„</w:t>
      </w:r>
      <w:r w:rsidR="00DE2C86" w:rsidRPr="00857CDA">
        <w:rPr>
          <w:lang w:val="ro-RO"/>
        </w:rPr>
        <w:t xml:space="preserve">Alte substanțe și obiecte care prezintă un pericol în timpul transportului, care nu corespund definiției niciunei alte clase </w:t>
      </w:r>
      <w:r w:rsidRPr="00857CDA">
        <w:rPr>
          <w:lang w:val="ro-RO"/>
        </w:rPr>
        <w:t>M11</w:t>
      </w:r>
      <w:r w:rsidR="00660131" w:rsidRPr="00857CDA">
        <w:rPr>
          <w:lang w:val="ro-RO"/>
        </w:rPr>
        <w:t>”</w:t>
      </w:r>
      <w:r w:rsidRPr="00857CDA">
        <w:rPr>
          <w:lang w:val="ro-RO"/>
        </w:rPr>
        <w:t xml:space="preserve">, </w:t>
      </w:r>
      <w:r w:rsidR="00902C44" w:rsidRPr="00857CDA">
        <w:rPr>
          <w:lang w:val="ro-RO"/>
        </w:rPr>
        <w:t>se adaugă</w:t>
      </w:r>
      <w:r w:rsidR="00AD051F" w:rsidRPr="00857CDA">
        <w:rPr>
          <w:lang w:val="ro-RO"/>
        </w:rPr>
        <w:t xml:space="preserve"> </w:t>
      </w:r>
      <w:r w:rsidR="006A1ED1" w:rsidRPr="00857CDA">
        <w:rPr>
          <w:lang w:val="ro-RO"/>
        </w:rPr>
        <w:t>noile</w:t>
      </w:r>
      <w:r w:rsidR="00EE09DD" w:rsidRPr="00857CDA">
        <w:rPr>
          <w:lang w:val="ro-RO"/>
        </w:rPr>
        <w:t xml:space="preserve"> </w:t>
      </w:r>
      <w:r w:rsidR="00DE2C86" w:rsidRPr="00857CDA">
        <w:rPr>
          <w:lang w:val="ro-RO"/>
        </w:rPr>
        <w:t>rubrici, după cum urmează</w:t>
      </w:r>
      <w:r w:rsidR="00091658" w:rsidRPr="00857CDA">
        <w:rPr>
          <w:lang w:val="ro-RO"/>
        </w:rPr>
        <w:t>:</w:t>
      </w:r>
    </w:p>
    <w:p w:rsidR="00AD051F" w:rsidRPr="00857CDA" w:rsidRDefault="00121893" w:rsidP="000A1FEE">
      <w:pPr>
        <w:pStyle w:val="SingleTxtG"/>
        <w:tabs>
          <w:tab w:val="left" w:pos="1276"/>
        </w:tabs>
        <w:jc w:val="left"/>
        <w:rPr>
          <w:lang w:val="ro-RO"/>
        </w:rPr>
      </w:pPr>
      <w:r w:rsidRPr="00857CDA">
        <w:rPr>
          <w:lang w:val="ro-RO"/>
        </w:rPr>
        <w:t>„</w:t>
      </w:r>
      <w:r w:rsidR="00A3434F" w:rsidRPr="00857CDA">
        <w:rPr>
          <w:lang w:val="ro-RO"/>
        </w:rPr>
        <w:t>2071</w:t>
      </w:r>
      <w:r w:rsidR="00A3434F" w:rsidRPr="00857CDA">
        <w:rPr>
          <w:lang w:val="ro-RO"/>
        </w:rPr>
        <w:tab/>
      </w:r>
      <w:r w:rsidR="000A1FEE" w:rsidRPr="00857CDA">
        <w:rPr>
          <w:lang w:val="ro-RO"/>
        </w:rPr>
        <w:t>ÎNGRĂȘĂMINTE CU AZOTAT DE AMONIU sau  2071 ÎNGRĂȘĂMINTE CU NITRAT DE AMONIU</w:t>
      </w:r>
      <w:r w:rsidR="00660131" w:rsidRPr="00857CDA">
        <w:rPr>
          <w:lang w:val="ro-RO"/>
        </w:rPr>
        <w:t>”</w:t>
      </w:r>
      <w:r w:rsidR="00A3434F" w:rsidRPr="00857CDA">
        <w:rPr>
          <w:lang w:val="ro-RO"/>
        </w:rPr>
        <w:br/>
      </w:r>
      <w:r w:rsidRPr="00857CDA">
        <w:rPr>
          <w:lang w:val="ro-RO"/>
        </w:rPr>
        <w:t>„</w:t>
      </w:r>
      <w:r w:rsidR="00A3434F" w:rsidRPr="00857CDA">
        <w:rPr>
          <w:lang w:val="ro-RO"/>
        </w:rPr>
        <w:t>3363</w:t>
      </w:r>
      <w:r w:rsidR="00A3434F" w:rsidRPr="00857CDA">
        <w:rPr>
          <w:lang w:val="ro-RO"/>
        </w:rPr>
        <w:tab/>
      </w:r>
      <w:r w:rsidR="000A1FEE" w:rsidRPr="00857CDA">
        <w:rPr>
          <w:lang w:val="ro-RO"/>
        </w:rPr>
        <w:t>MĂRFURI PERICULOASE CONȚINUTE ÎN UTILAJE sau 3363 MĂRFURI PERICULOASE CONȚINUTE ÎN APARATE</w:t>
      </w:r>
      <w:r w:rsidR="00660131" w:rsidRPr="00857CDA">
        <w:rPr>
          <w:lang w:val="ro-RO"/>
        </w:rPr>
        <w:t>”</w:t>
      </w:r>
      <w:r w:rsidR="00A3434F" w:rsidRPr="00857CDA">
        <w:rPr>
          <w:lang w:val="ro-RO"/>
        </w:rPr>
        <w:br/>
      </w:r>
      <w:r w:rsidRPr="00857CDA">
        <w:rPr>
          <w:lang w:val="ro-RO"/>
        </w:rPr>
        <w:t>„</w:t>
      </w:r>
      <w:r w:rsidR="00EE09DD" w:rsidRPr="00857CDA">
        <w:rPr>
          <w:lang w:val="ro-RO"/>
        </w:rPr>
        <w:t>3548</w:t>
      </w:r>
      <w:r w:rsidR="00EE09DD" w:rsidRPr="00857CDA">
        <w:rPr>
          <w:lang w:val="ro-RO"/>
        </w:rPr>
        <w:tab/>
      </w:r>
      <w:r w:rsidR="000A1FEE" w:rsidRPr="00857CDA">
        <w:rPr>
          <w:lang w:val="ro-RO"/>
        </w:rPr>
        <w:t>OBIECTE CARE CONȚIN MĂRFURI PERICULOASE DIVERSE, N.S.A.</w:t>
      </w:r>
      <w:r w:rsidR="00660131" w:rsidRPr="00857CDA">
        <w:rPr>
          <w:lang w:val="ro-RO"/>
        </w:rPr>
        <w:t>”</w:t>
      </w:r>
      <w:r w:rsidR="00EE09DD" w:rsidRPr="00857CDA">
        <w:rPr>
          <w:lang w:val="ro-RO"/>
        </w:rPr>
        <w:t>.</w:t>
      </w:r>
    </w:p>
    <w:p w:rsidR="00A3434F" w:rsidRPr="00857CDA" w:rsidRDefault="00A3434F" w:rsidP="00B956B7">
      <w:pPr>
        <w:pStyle w:val="SingleTxtG"/>
        <w:tabs>
          <w:tab w:val="left" w:pos="2268"/>
        </w:tabs>
        <w:rPr>
          <w:lang w:val="ro-RO"/>
        </w:rPr>
      </w:pPr>
      <w:r w:rsidRPr="00857CDA">
        <w:rPr>
          <w:lang w:val="ro-RO"/>
        </w:rPr>
        <w:t>2.2.9.3</w:t>
      </w:r>
      <w:r w:rsidRPr="00857CDA">
        <w:rPr>
          <w:lang w:val="ro-RO"/>
        </w:rPr>
        <w:tab/>
      </w:r>
      <w:r w:rsidR="00991390" w:rsidRPr="00857CDA">
        <w:rPr>
          <w:lang w:val="ro-RO"/>
        </w:rPr>
        <w:t>Pentru</w:t>
      </w:r>
      <w:r w:rsidRPr="00857CDA">
        <w:rPr>
          <w:lang w:val="ro-RO"/>
        </w:rPr>
        <w:t xml:space="preserve"> </w:t>
      </w:r>
      <w:r w:rsidR="00121893" w:rsidRPr="00857CDA">
        <w:rPr>
          <w:lang w:val="ro-RO"/>
        </w:rPr>
        <w:t>„</w:t>
      </w:r>
      <w:r w:rsidR="00DE2C86" w:rsidRPr="00857CDA">
        <w:rPr>
          <w:lang w:val="ro-RO"/>
        </w:rPr>
        <w:t xml:space="preserve">Alte substanțe și obiecte care prezintă un pericol în timpul transportului, care nu corespund definiției niciunei alte clase </w:t>
      </w:r>
      <w:r w:rsidRPr="00857CDA">
        <w:rPr>
          <w:lang w:val="ro-RO"/>
        </w:rPr>
        <w:t>M11</w:t>
      </w:r>
      <w:r w:rsidR="00660131" w:rsidRPr="00857CDA">
        <w:rPr>
          <w:lang w:val="ro-RO"/>
        </w:rPr>
        <w:t>”</w:t>
      </w:r>
      <w:r w:rsidRPr="00857CDA">
        <w:rPr>
          <w:lang w:val="ro-RO"/>
        </w:rPr>
        <w:t xml:space="preserve">, </w:t>
      </w:r>
      <w:r w:rsidR="00DE2C86" w:rsidRPr="00857CDA">
        <w:rPr>
          <w:lang w:val="ro-RO"/>
        </w:rPr>
        <w:t xml:space="preserve">sub lista </w:t>
      </w:r>
      <w:r w:rsidRPr="00857CDA">
        <w:rPr>
          <w:lang w:val="ro-RO"/>
        </w:rPr>
        <w:t>rubri</w:t>
      </w:r>
      <w:r w:rsidR="00DE2C86" w:rsidRPr="00857CDA">
        <w:rPr>
          <w:lang w:val="ro-RO"/>
        </w:rPr>
        <w:t>cilor</w:t>
      </w:r>
      <w:r w:rsidRPr="00857CDA">
        <w:rPr>
          <w:lang w:val="ro-RO"/>
        </w:rPr>
        <w:t xml:space="preserve">, </w:t>
      </w:r>
      <w:r w:rsidR="00902C44" w:rsidRPr="00857CDA">
        <w:rPr>
          <w:lang w:val="ro-RO"/>
        </w:rPr>
        <w:t>Se șterge</w:t>
      </w:r>
      <w:r w:rsidRPr="00857CDA">
        <w:rPr>
          <w:lang w:val="ro-RO"/>
        </w:rPr>
        <w:t xml:space="preserve"> </w:t>
      </w:r>
      <w:r w:rsidR="00121893" w:rsidRPr="00857CDA">
        <w:rPr>
          <w:lang w:val="ro-RO"/>
        </w:rPr>
        <w:t>„</w:t>
      </w:r>
      <w:r w:rsidR="009B2214" w:rsidRPr="00857CDA">
        <w:rPr>
          <w:lang w:val="ro-RO"/>
        </w:rPr>
        <w:t>Fără nicio rubrică colectivă</w:t>
      </w:r>
      <w:r w:rsidRPr="00857CDA">
        <w:rPr>
          <w:lang w:val="ro-RO"/>
        </w:rPr>
        <w:t>.</w:t>
      </w:r>
      <w:r w:rsidR="00660131" w:rsidRPr="00857CDA">
        <w:rPr>
          <w:lang w:val="ro-RO"/>
        </w:rPr>
        <w:t>”</w:t>
      </w:r>
      <w:r w:rsidRPr="00857CDA">
        <w:rPr>
          <w:lang w:val="ro-RO"/>
        </w:rPr>
        <w:t xml:space="preserve">. </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3.1</w:t>
      </w:r>
    </w:p>
    <w:p w:rsidR="00583629" w:rsidRPr="00857CDA" w:rsidRDefault="00583629" w:rsidP="0034692A">
      <w:pPr>
        <w:pStyle w:val="SingleTxtG"/>
        <w:rPr>
          <w:lang w:val="ro-RO"/>
        </w:rPr>
      </w:pPr>
      <w:r w:rsidRPr="00857CDA">
        <w:rPr>
          <w:lang w:val="ro-RO"/>
        </w:rPr>
        <w:t>3.1.2.2</w:t>
      </w:r>
      <w:r w:rsidRPr="00857CDA">
        <w:rPr>
          <w:lang w:val="ro-RO"/>
        </w:rPr>
        <w:tab/>
      </w:r>
      <w:r w:rsidRPr="00857CDA">
        <w:rPr>
          <w:lang w:val="ro-RO"/>
        </w:rPr>
        <w:tab/>
      </w:r>
      <w:r w:rsidR="002B679C" w:rsidRPr="00857CDA">
        <w:rPr>
          <w:lang w:val="ro-RO"/>
        </w:rPr>
        <w:t>Se modifică</w:t>
      </w:r>
      <w:r w:rsidRPr="00857CDA">
        <w:rPr>
          <w:lang w:val="ro-RO"/>
        </w:rPr>
        <w:t xml:space="preserve"> </w:t>
      </w:r>
      <w:r w:rsidR="00D85951" w:rsidRPr="00857CDA">
        <w:rPr>
          <w:lang w:val="ro-RO"/>
        </w:rPr>
        <w:t>prima</w:t>
      </w:r>
      <w:r w:rsidR="00DE2C86" w:rsidRPr="00857CDA">
        <w:rPr>
          <w:lang w:val="ro-RO"/>
        </w:rPr>
        <w:t xml:space="preserve"> </w:t>
      </w:r>
      <w:r w:rsidR="00970E20" w:rsidRPr="00857CDA">
        <w:rPr>
          <w:lang w:val="ro-RO"/>
        </w:rPr>
        <w:t>frază</w:t>
      </w:r>
      <w:r w:rsidR="002B679C" w:rsidRPr="00857CDA">
        <w:rPr>
          <w:lang w:val="ro-RO"/>
        </w:rPr>
        <w:t>, după cum urmează</w:t>
      </w:r>
      <w:r w:rsidR="00091658" w:rsidRPr="00857CDA">
        <w:rPr>
          <w:lang w:val="ro-RO"/>
        </w:rPr>
        <w:t>:</w:t>
      </w:r>
      <w:r w:rsidRPr="00857CDA">
        <w:rPr>
          <w:lang w:val="ro-RO"/>
        </w:rPr>
        <w:t xml:space="preserve"> </w:t>
      </w:r>
      <w:r w:rsidR="00121893" w:rsidRPr="00857CDA">
        <w:rPr>
          <w:lang w:val="ro-RO"/>
        </w:rPr>
        <w:t>„</w:t>
      </w:r>
      <w:r w:rsidR="0034692A" w:rsidRPr="00857CDA">
        <w:rPr>
          <w:lang w:val="ro-RO"/>
        </w:rPr>
        <w:t>Atunci când o combinație de mai multe denumiri oficiale de transport figurează la un singur număr ONU și acestea sunt separate de conjuncțiile "și" sau "sau" scrise cu litere mici sau sunt separate prin virgule, în documentul de transport  și pe mărcile de pe colete va fi indicată numai cea mai potrivită</w:t>
      </w:r>
      <w:r w:rsidRPr="00857CDA">
        <w:rPr>
          <w:lang w:val="ro-RO"/>
        </w:rPr>
        <w:t>.</w:t>
      </w:r>
      <w:r w:rsidR="00660131" w:rsidRPr="00857CDA">
        <w:rPr>
          <w:lang w:val="ro-RO"/>
        </w:rPr>
        <w:t>”</w:t>
      </w:r>
      <w:r w:rsidRPr="00857CDA">
        <w:rPr>
          <w:lang w:val="ro-RO"/>
        </w:rPr>
        <w:t xml:space="preserve">. </w:t>
      </w:r>
      <w:r w:rsidR="00902C44" w:rsidRPr="00857CDA">
        <w:rPr>
          <w:lang w:val="ro-RO"/>
        </w:rPr>
        <w:t>Se șterge</w:t>
      </w:r>
      <w:r w:rsidRPr="00857CDA">
        <w:rPr>
          <w:lang w:val="ro-RO"/>
        </w:rPr>
        <w:t xml:space="preserve"> </w:t>
      </w:r>
      <w:r w:rsidR="00970E20" w:rsidRPr="00857CDA">
        <w:rPr>
          <w:lang w:val="ro-RO"/>
        </w:rPr>
        <w:t>a doua frază</w:t>
      </w:r>
      <w:r w:rsidRPr="00857CDA">
        <w:rPr>
          <w:lang w:val="ro-RO"/>
        </w:rPr>
        <w:t>.</w:t>
      </w:r>
    </w:p>
    <w:p w:rsidR="004F04D8" w:rsidRPr="00857CDA" w:rsidRDefault="004F04D8" w:rsidP="004F04D8">
      <w:pPr>
        <w:pStyle w:val="SingleTxtG"/>
        <w:rPr>
          <w:lang w:val="ro-RO"/>
        </w:rPr>
      </w:pPr>
      <w:r w:rsidRPr="00857CDA">
        <w:rPr>
          <w:lang w:val="ro-RO"/>
        </w:rPr>
        <w:t>3.1.2.6 a)</w:t>
      </w:r>
      <w:r w:rsidRPr="00857CDA">
        <w:rPr>
          <w:lang w:val="ro-RO"/>
        </w:rPr>
        <w:tab/>
      </w:r>
      <w:r w:rsidR="00991390" w:rsidRPr="00857CDA">
        <w:rPr>
          <w:lang w:val="ro-RO"/>
        </w:rPr>
        <w:t>După</w:t>
      </w:r>
      <w:r w:rsidRPr="00857CDA">
        <w:rPr>
          <w:lang w:val="ro-RO"/>
        </w:rPr>
        <w:t xml:space="preserve"> </w:t>
      </w:r>
      <w:r w:rsidR="00121893" w:rsidRPr="00857CDA">
        <w:rPr>
          <w:lang w:val="ro-RO"/>
        </w:rPr>
        <w:t>„</w:t>
      </w:r>
      <w:r w:rsidR="00902C44" w:rsidRPr="00857CDA">
        <w:rPr>
          <w:lang w:val="ro-RO"/>
        </w:rPr>
        <w:t>Capitolul</w:t>
      </w:r>
      <w:r w:rsidRPr="00857CDA">
        <w:rPr>
          <w:lang w:val="ro-RO"/>
        </w:rPr>
        <w:t xml:space="preserve"> 3.3,</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121893" w:rsidRPr="00857CDA">
        <w:rPr>
          <w:lang w:val="ro-RO"/>
        </w:rPr>
        <w:t>„</w:t>
      </w:r>
      <w:r w:rsidRPr="00857CDA">
        <w:rPr>
          <w:lang w:val="ro-RO"/>
        </w:rPr>
        <w:t>7.1.7</w:t>
      </w:r>
      <w:r w:rsidR="004C009D" w:rsidRPr="00857CDA">
        <w:rPr>
          <w:lang w:val="ro-RO"/>
        </w:rPr>
        <w:t xml:space="preserve">, </w:t>
      </w:r>
      <w:r w:rsidR="00660131" w:rsidRPr="00857CDA">
        <w:rPr>
          <w:lang w:val="ro-RO"/>
        </w:rPr>
        <w:t>”</w:t>
      </w:r>
      <w:r w:rsidRPr="00857CDA">
        <w:rPr>
          <w:lang w:val="ro-RO"/>
        </w:rPr>
        <w:t xml:space="preserve">. </w:t>
      </w:r>
    </w:p>
    <w:p w:rsidR="004F04D8" w:rsidRPr="00857CDA" w:rsidRDefault="004F04D8" w:rsidP="004F04D8">
      <w:pPr>
        <w:pStyle w:val="SingleTxtG"/>
        <w:tabs>
          <w:tab w:val="left" w:pos="2268"/>
        </w:tabs>
        <w:rPr>
          <w:lang w:val="ro-RO"/>
        </w:rPr>
      </w:pPr>
      <w:r w:rsidRPr="00857CDA">
        <w:rPr>
          <w:lang w:val="ro-RO"/>
        </w:rPr>
        <w:t>3.1.2.6</w:t>
      </w:r>
      <w:r w:rsidRPr="00857CDA">
        <w:rPr>
          <w:lang w:val="ro-RO"/>
        </w:rPr>
        <w:tab/>
        <w:t>L</w:t>
      </w:r>
      <w:r w:rsidR="0034692A" w:rsidRPr="00857CDA">
        <w:rPr>
          <w:lang w:val="ro-RO"/>
        </w:rPr>
        <w:t>itera</w:t>
      </w:r>
      <w:r w:rsidRPr="00857CDA">
        <w:rPr>
          <w:lang w:val="ro-RO"/>
        </w:rPr>
        <w:t xml:space="preserve"> </w:t>
      </w:r>
      <w:r w:rsidR="00156F26" w:rsidRPr="00857CDA">
        <w:rPr>
          <w:lang w:val="ro-RO"/>
        </w:rPr>
        <w:t>(</w:t>
      </w:r>
      <w:r w:rsidRPr="00857CDA">
        <w:rPr>
          <w:lang w:val="ro-RO"/>
        </w:rPr>
        <w:t>b) devin</w:t>
      </w:r>
      <w:r w:rsidR="0034692A" w:rsidRPr="00857CDA">
        <w:rPr>
          <w:lang w:val="ro-RO"/>
        </w:rPr>
        <w:t>e</w:t>
      </w:r>
      <w:r w:rsidRPr="00857CDA">
        <w:rPr>
          <w:lang w:val="ro-RO"/>
        </w:rPr>
        <w:t xml:space="preserve"> li</w:t>
      </w:r>
      <w:r w:rsidR="0034692A" w:rsidRPr="00857CDA">
        <w:rPr>
          <w:lang w:val="ro-RO"/>
        </w:rPr>
        <w:t>tera</w:t>
      </w:r>
      <w:r w:rsidRPr="00857CDA">
        <w:rPr>
          <w:lang w:val="ro-RO"/>
        </w:rPr>
        <w:t xml:space="preserve"> </w:t>
      </w:r>
      <w:r w:rsidR="00156F26" w:rsidRPr="00857CDA">
        <w:rPr>
          <w:lang w:val="ro-RO"/>
        </w:rPr>
        <w:t>(</w:t>
      </w:r>
      <w:r w:rsidRPr="00857CDA">
        <w:rPr>
          <w:lang w:val="ro-RO"/>
        </w:rPr>
        <w:t xml:space="preserve">c). </w:t>
      </w:r>
      <w:r w:rsidR="00772306" w:rsidRPr="00857CDA">
        <w:rPr>
          <w:lang w:val="ro-RO"/>
        </w:rPr>
        <w:t>Se introduce</w:t>
      </w:r>
      <w:r w:rsidR="0034692A" w:rsidRPr="00857CDA">
        <w:rPr>
          <w:lang w:val="ro-RO"/>
        </w:rPr>
        <w:t xml:space="preserve"> o nouă </w:t>
      </w:r>
      <w:r w:rsidRPr="00857CDA">
        <w:rPr>
          <w:lang w:val="ro-RO"/>
        </w:rPr>
        <w:t>li</w:t>
      </w:r>
      <w:r w:rsidR="0034692A" w:rsidRPr="00857CDA">
        <w:rPr>
          <w:lang w:val="ro-RO"/>
        </w:rPr>
        <w:t>teră</w:t>
      </w:r>
      <w:r w:rsidRPr="00857CDA">
        <w:rPr>
          <w:lang w:val="ro-RO"/>
        </w:rPr>
        <w:t xml:space="preserve"> </w:t>
      </w:r>
      <w:r w:rsidR="00156F26" w:rsidRPr="00857CDA">
        <w:rPr>
          <w:lang w:val="ro-RO"/>
        </w:rPr>
        <w:t>(</w:t>
      </w:r>
      <w:r w:rsidRPr="00857CDA">
        <w:rPr>
          <w:lang w:val="ro-RO"/>
        </w:rPr>
        <w:t>b)</w:t>
      </w:r>
      <w:r w:rsidR="002B679C" w:rsidRPr="00857CDA">
        <w:rPr>
          <w:lang w:val="ro-RO"/>
        </w:rPr>
        <w:t>, după cum urmează</w:t>
      </w:r>
      <w:r w:rsidRPr="00857CDA">
        <w:rPr>
          <w:lang w:val="ro-RO"/>
        </w:rPr>
        <w:t>:</w:t>
      </w:r>
    </w:p>
    <w:p w:rsidR="004215B9" w:rsidRPr="00857CDA" w:rsidRDefault="00121893" w:rsidP="004F04D8">
      <w:pPr>
        <w:pStyle w:val="SingleTxtG"/>
        <w:rPr>
          <w:lang w:val="ro-RO"/>
        </w:rPr>
      </w:pPr>
      <w:r w:rsidRPr="00857CDA">
        <w:rPr>
          <w:lang w:val="ro-RO"/>
        </w:rPr>
        <w:t>„</w:t>
      </w:r>
      <w:r w:rsidR="00156F26" w:rsidRPr="00857CDA">
        <w:rPr>
          <w:lang w:val="ro-RO"/>
        </w:rPr>
        <w:t>(</w:t>
      </w:r>
      <w:r w:rsidR="004215B9" w:rsidRPr="00857CDA">
        <w:rPr>
          <w:lang w:val="ro-RO"/>
        </w:rPr>
        <w:t>b)</w:t>
      </w:r>
      <w:r w:rsidR="004215B9" w:rsidRPr="00857CDA">
        <w:rPr>
          <w:lang w:val="ro-RO"/>
        </w:rPr>
        <w:tab/>
      </w:r>
      <w:r w:rsidR="00123664" w:rsidRPr="00857CDA">
        <w:rPr>
          <w:lang w:val="ro-RO" w:eastAsia="ro-RO"/>
        </w:rPr>
        <w:t>Dacă nu figurează deja cu majuscule în denumirea indicată în coloana (2) a tabelului A din capitolul 3.2, mențiunea „</w:t>
      </w:r>
      <w:r w:rsidR="00123664" w:rsidRPr="00857CDA">
        <w:rPr>
          <w:lang w:val="ro-RO"/>
        </w:rPr>
        <w:t>CU REGLAREA TEMPERATURII</w:t>
      </w:r>
      <w:r w:rsidR="00123664" w:rsidRPr="00857CDA">
        <w:rPr>
          <w:lang w:val="ro-RO" w:eastAsia="ro-RO"/>
        </w:rPr>
        <w:t>” trebuie adăugată la denumirea oficială de transport</w:t>
      </w:r>
      <w:r w:rsidR="004215B9" w:rsidRPr="00857CDA">
        <w:rPr>
          <w:lang w:val="ro-RO"/>
        </w:rPr>
        <w:t>;</w:t>
      </w:r>
      <w:r w:rsidR="00660131" w:rsidRPr="00857CDA">
        <w:rPr>
          <w:lang w:val="ro-RO"/>
        </w:rPr>
        <w:t>”</w:t>
      </w:r>
      <w:r w:rsidR="004215B9" w:rsidRPr="00857CDA">
        <w:rPr>
          <w:lang w:val="ro-RO"/>
        </w:rPr>
        <w:t>.</w:t>
      </w:r>
    </w:p>
    <w:p w:rsidR="00196C06" w:rsidRPr="00857CDA" w:rsidRDefault="00196C06" w:rsidP="00196C06">
      <w:pPr>
        <w:pStyle w:val="SingleTxtG"/>
        <w:rPr>
          <w:lang w:val="ro-RO" w:eastAsia="en-GB"/>
        </w:rPr>
      </w:pPr>
      <w:r w:rsidRPr="00857CDA">
        <w:rPr>
          <w:lang w:val="ro-RO"/>
        </w:rPr>
        <w:t xml:space="preserve">3.1.2.8.1.1 </w:t>
      </w:r>
      <w:r w:rsidRPr="00857CDA">
        <w:rPr>
          <w:lang w:val="ro-RO"/>
        </w:rPr>
        <w:tab/>
      </w:r>
      <w:r w:rsidR="00902C44" w:rsidRPr="00857CDA">
        <w:rPr>
          <w:lang w:val="ro-RO"/>
        </w:rPr>
        <w:t xml:space="preserve">În </w:t>
      </w:r>
      <w:r w:rsidR="00970E20" w:rsidRPr="00857CDA">
        <w:rPr>
          <w:lang w:val="ro-RO"/>
        </w:rPr>
        <w:t>ultima frază</w:t>
      </w:r>
      <w:r w:rsidRPr="00857CDA">
        <w:rPr>
          <w:lang w:val="ro-RO"/>
        </w:rPr>
        <w:t xml:space="preserve">, </w:t>
      </w:r>
      <w:r w:rsidR="00902C44" w:rsidRPr="00857CDA">
        <w:rPr>
          <w:lang w:val="ro-RO"/>
        </w:rPr>
        <w:t>Se modifică</w:t>
      </w:r>
      <w:r w:rsidRPr="00857CDA">
        <w:rPr>
          <w:lang w:val="ro-RO"/>
        </w:rPr>
        <w:t xml:space="preserve"> </w:t>
      </w:r>
      <w:r w:rsidR="00121893"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121893" w:rsidRPr="00857CDA">
        <w:rPr>
          <w:lang w:val="ro-RO"/>
        </w:rPr>
        <w:t>„</w:t>
      </w:r>
      <w:r w:rsidR="002B679C" w:rsidRPr="00857CDA">
        <w:rPr>
          <w:lang w:val="ro-RO"/>
        </w:rPr>
        <w:t>pericol</w:t>
      </w:r>
      <w:r w:rsidR="00660131" w:rsidRPr="00857CDA">
        <w:rPr>
          <w:lang w:val="ro-RO"/>
        </w:rPr>
        <w:t>”</w:t>
      </w:r>
      <w:r w:rsidR="004C27AD" w:rsidRPr="00857CDA">
        <w:rPr>
          <w:lang w:val="ro-RO"/>
        </w:rPr>
        <w:t xml:space="preserve"> și </w:t>
      </w:r>
      <w:r w:rsidR="002A5FB9" w:rsidRPr="00857CDA">
        <w:rPr>
          <w:lang w:val="ro-RO"/>
        </w:rPr>
        <w:t xml:space="preserve">în paranteză, </w:t>
      </w:r>
      <w:r w:rsidR="00991390" w:rsidRPr="00857CDA">
        <w:rPr>
          <w:lang w:val="ro-RO"/>
        </w:rPr>
        <w:t>după</w:t>
      </w:r>
      <w:r w:rsidRPr="00857CDA">
        <w:rPr>
          <w:lang w:val="ro-RO"/>
        </w:rPr>
        <w:t xml:space="preserve"> </w:t>
      </w:r>
      <w:r w:rsidR="00121893" w:rsidRPr="00857CDA">
        <w:rPr>
          <w:lang w:val="ro-RO"/>
        </w:rPr>
        <w:t>„</w:t>
      </w:r>
      <w:r w:rsidR="002A5FB9" w:rsidRPr="00857CDA">
        <w:rPr>
          <w:lang w:val="ro-RO"/>
        </w:rPr>
        <w:t>OMS</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121893" w:rsidRPr="00857CDA">
        <w:rPr>
          <w:lang w:val="ro-RO"/>
        </w:rPr>
        <w:t xml:space="preserve">„ </w:t>
      </w:r>
      <w:r w:rsidR="002A5FB9" w:rsidRPr="00857CDA">
        <w:rPr>
          <w:lang w:val="ro-RO"/>
        </w:rPr>
        <w:t xml:space="preserve">- </w:t>
      </w:r>
      <w:r w:rsidRPr="00857CDA">
        <w:rPr>
          <w:lang w:val="ro-RO"/>
        </w:rPr>
        <w:t>The WHO recommended classification of pesticides by hazard a</w:t>
      </w:r>
      <w:r w:rsidR="00A26AFC" w:rsidRPr="00857CDA">
        <w:rPr>
          <w:lang w:val="ro-RO"/>
        </w:rPr>
        <w:t>nd guidelines to classification</w:t>
      </w:r>
      <w:r w:rsidR="00660131" w:rsidRPr="00857CDA">
        <w:rPr>
          <w:lang w:val="ro-RO"/>
        </w:rPr>
        <w:t>”</w:t>
      </w:r>
      <w:r w:rsidRPr="00857CDA">
        <w:rPr>
          <w:lang w:val="ro-RO"/>
        </w:rPr>
        <w:t>.</w:t>
      </w:r>
    </w:p>
    <w:p w:rsidR="00196C06" w:rsidRPr="00857CDA" w:rsidRDefault="00196C06" w:rsidP="003B5B21">
      <w:pPr>
        <w:pStyle w:val="SingleTxtG"/>
        <w:rPr>
          <w:lang w:val="ro-RO"/>
        </w:rPr>
      </w:pPr>
      <w:r w:rsidRPr="00857CDA">
        <w:rPr>
          <w:lang w:val="ro-RO" w:eastAsia="en-GB"/>
        </w:rPr>
        <w:lastRenderedPageBreak/>
        <w:t>3.1.2.8.1.2</w:t>
      </w:r>
      <w:r w:rsidRPr="00857CDA">
        <w:rPr>
          <w:lang w:val="ro-RO" w:eastAsia="en-GB"/>
        </w:rPr>
        <w:tab/>
      </w:r>
      <w:r w:rsidR="002B679C" w:rsidRPr="00857CDA">
        <w:rPr>
          <w:lang w:val="ro-RO"/>
        </w:rPr>
        <w:t>Se modifică</w:t>
      </w:r>
      <w:r w:rsidR="00BF6723" w:rsidRPr="00857CDA">
        <w:rPr>
          <w:lang w:val="ro-RO"/>
        </w:rPr>
        <w:t xml:space="preserve"> </w:t>
      </w:r>
      <w:r w:rsidR="00D85951" w:rsidRPr="00857CDA">
        <w:rPr>
          <w:lang w:val="ro-RO"/>
        </w:rPr>
        <w:t>prima</w:t>
      </w:r>
      <w:r w:rsidR="002A5FB9" w:rsidRPr="00857CDA">
        <w:rPr>
          <w:lang w:val="ro-RO"/>
        </w:rPr>
        <w:t xml:space="preserve"> </w:t>
      </w:r>
      <w:r w:rsidR="00970E20" w:rsidRPr="00857CDA">
        <w:rPr>
          <w:lang w:val="ro-RO"/>
        </w:rPr>
        <w:t>frază</w:t>
      </w:r>
      <w:r w:rsidR="002B679C" w:rsidRPr="00857CDA">
        <w:rPr>
          <w:lang w:val="ro-RO"/>
        </w:rPr>
        <w:t>, după cum urmează</w:t>
      </w:r>
      <w:r w:rsidR="00091658" w:rsidRPr="00857CDA">
        <w:rPr>
          <w:lang w:val="ro-RO"/>
        </w:rPr>
        <w:t>:</w:t>
      </w:r>
      <w:r w:rsidR="00BF6723" w:rsidRPr="00857CDA">
        <w:rPr>
          <w:lang w:val="ro-RO"/>
        </w:rPr>
        <w:t xml:space="preserve"> </w:t>
      </w:r>
      <w:r w:rsidR="00121893" w:rsidRPr="00857CDA">
        <w:rPr>
          <w:lang w:val="ro-RO"/>
        </w:rPr>
        <w:t>„</w:t>
      </w:r>
      <w:r w:rsidR="002A5FB9" w:rsidRPr="00857CDA">
        <w:rPr>
          <w:lang w:val="ro-RO" w:eastAsia="ro-RO"/>
        </w:rPr>
        <w:t xml:space="preserve">Atunci când un amestec de </w:t>
      </w:r>
      <w:r w:rsidR="003B5B21" w:rsidRPr="00857CDA">
        <w:rPr>
          <w:lang w:val="ro-RO" w:eastAsia="ro-RO"/>
        </w:rPr>
        <w:t>mărfuri</w:t>
      </w:r>
      <w:r w:rsidR="002A5FB9" w:rsidRPr="00857CDA">
        <w:rPr>
          <w:lang w:val="ro-RO" w:eastAsia="ro-RO"/>
        </w:rPr>
        <w:t xml:space="preserve"> periculoase </w:t>
      </w:r>
      <w:r w:rsidR="003B5B21" w:rsidRPr="00857CDA">
        <w:rPr>
          <w:lang w:val="ro-RO" w:eastAsia="ro-RO"/>
        </w:rPr>
        <w:t>sau obiecte care conțin mărfuri periculoase sunt</w:t>
      </w:r>
      <w:r w:rsidR="002A5FB9" w:rsidRPr="00857CDA">
        <w:rPr>
          <w:lang w:val="ro-RO" w:eastAsia="ro-RO"/>
        </w:rPr>
        <w:t xml:space="preserve"> descris</w:t>
      </w:r>
      <w:r w:rsidR="003B5B21" w:rsidRPr="00857CDA">
        <w:rPr>
          <w:lang w:val="ro-RO" w:eastAsia="ro-RO"/>
        </w:rPr>
        <w:t>e</w:t>
      </w:r>
      <w:r w:rsidR="002A5FB9" w:rsidRPr="00857CDA">
        <w:rPr>
          <w:lang w:val="ro-RO" w:eastAsia="ro-RO"/>
        </w:rPr>
        <w:t xml:space="preserve"> printr-una din rubricile „N.S.A.” sau „generice” </w:t>
      </w:r>
      <w:r w:rsidR="003B5B21" w:rsidRPr="00857CDA">
        <w:rPr>
          <w:lang w:val="ro-RO" w:eastAsia="ro-RO"/>
        </w:rPr>
        <w:t>cărora li s-a alocat</w:t>
      </w:r>
      <w:r w:rsidR="002A5FB9" w:rsidRPr="00857CDA">
        <w:rPr>
          <w:lang w:val="ro-RO" w:eastAsia="ro-RO"/>
        </w:rPr>
        <w:t xml:space="preserve"> dispoziți</w:t>
      </w:r>
      <w:r w:rsidR="003B5B21" w:rsidRPr="00857CDA">
        <w:rPr>
          <w:lang w:val="ro-RO" w:eastAsia="ro-RO"/>
        </w:rPr>
        <w:t>a</w:t>
      </w:r>
      <w:r w:rsidR="002A5FB9" w:rsidRPr="00857CDA">
        <w:rPr>
          <w:lang w:val="ro-RO" w:eastAsia="ro-RO"/>
        </w:rPr>
        <w:t xml:space="preserve"> special</w:t>
      </w:r>
      <w:r w:rsidR="003B5B21" w:rsidRPr="00857CDA">
        <w:rPr>
          <w:lang w:val="ro-RO" w:eastAsia="ro-RO"/>
        </w:rPr>
        <w:t>a</w:t>
      </w:r>
      <w:r w:rsidR="002A5FB9" w:rsidRPr="00857CDA">
        <w:rPr>
          <w:lang w:val="ro-RO" w:eastAsia="ro-RO"/>
        </w:rPr>
        <w:t xml:space="preserve"> 274 </w:t>
      </w:r>
      <w:r w:rsidR="003B5B21" w:rsidRPr="00857CDA">
        <w:rPr>
          <w:lang w:val="ro-RO" w:eastAsia="ro-RO"/>
        </w:rPr>
        <w:t>î</w:t>
      </w:r>
      <w:r w:rsidR="002A5FB9" w:rsidRPr="00857CDA">
        <w:rPr>
          <w:lang w:val="ro-RO" w:eastAsia="ro-RO"/>
        </w:rPr>
        <w:t xml:space="preserve">n coloana (6) a tabelului A din capitolul 3.2, este suficientă indicarea a doi </w:t>
      </w:r>
      <w:r w:rsidR="003B5B21" w:rsidRPr="00857CDA">
        <w:rPr>
          <w:lang w:val="ro-RO" w:eastAsia="ro-RO"/>
        </w:rPr>
        <w:t>ingredienți</w:t>
      </w:r>
      <w:r w:rsidR="002A5FB9" w:rsidRPr="00857CDA">
        <w:rPr>
          <w:lang w:val="ro-RO" w:eastAsia="ro-RO"/>
        </w:rPr>
        <w:t xml:space="preserve"> care contribuie cel mai mult la pericolul</w:t>
      </w:r>
      <w:r w:rsidR="003B5B21" w:rsidRPr="00857CDA">
        <w:rPr>
          <w:lang w:val="ro-RO" w:eastAsia="ro-RO"/>
        </w:rPr>
        <w:t xml:space="preserve"> sau pericolele</w:t>
      </w:r>
      <w:r w:rsidR="002A5FB9" w:rsidRPr="00857CDA">
        <w:rPr>
          <w:lang w:val="ro-RO" w:eastAsia="ro-RO"/>
        </w:rPr>
        <w:t xml:space="preserve"> amestecului</w:t>
      </w:r>
      <w:r w:rsidR="003B5B21" w:rsidRPr="00857CDA">
        <w:rPr>
          <w:lang w:val="ro-RO" w:eastAsia="ro-RO"/>
        </w:rPr>
        <w:t xml:space="preserve"> sau obiectelor</w:t>
      </w:r>
      <w:r w:rsidR="002A5FB9" w:rsidRPr="00857CDA">
        <w:rPr>
          <w:lang w:val="ro-RO" w:eastAsia="ro-RO"/>
        </w:rPr>
        <w:t xml:space="preserve">, </w:t>
      </w:r>
      <w:r w:rsidR="003B5B21" w:rsidRPr="00857CDA">
        <w:rPr>
          <w:lang w:val="ro-RO" w:eastAsia="ro-RO"/>
        </w:rPr>
        <w:t>cu excepția</w:t>
      </w:r>
      <w:r w:rsidR="002A5FB9" w:rsidRPr="00857CDA">
        <w:rPr>
          <w:lang w:val="ro-RO" w:eastAsia="ro-RO"/>
        </w:rPr>
        <w:t xml:space="preserve"> substanțel</w:t>
      </w:r>
      <w:r w:rsidR="003B5B21" w:rsidRPr="00857CDA">
        <w:rPr>
          <w:lang w:val="ro-RO" w:eastAsia="ro-RO"/>
        </w:rPr>
        <w:t>or</w:t>
      </w:r>
      <w:r w:rsidR="002A5FB9" w:rsidRPr="00857CDA">
        <w:rPr>
          <w:lang w:val="ro-RO" w:eastAsia="ro-RO"/>
        </w:rPr>
        <w:t xml:space="preserve"> </w:t>
      </w:r>
      <w:r w:rsidR="003B5B21" w:rsidRPr="00857CDA">
        <w:rPr>
          <w:lang w:val="ro-RO" w:eastAsia="ro-RO"/>
        </w:rPr>
        <w:t>reglementate</w:t>
      </w:r>
      <w:r w:rsidR="002A5FB9" w:rsidRPr="00857CDA">
        <w:rPr>
          <w:lang w:val="ro-RO" w:eastAsia="ro-RO"/>
        </w:rPr>
        <w:t>, atunci când divulgarea lor este interzisă de o lege națională sau o convenție internațională.</w:t>
      </w:r>
      <w:r w:rsidR="00660131" w:rsidRPr="00857CDA">
        <w:rPr>
          <w:lang w:val="ro-RO"/>
        </w:rPr>
        <w:t>”</w:t>
      </w:r>
      <w:r w:rsidR="00BF6723" w:rsidRPr="00857CDA">
        <w:rPr>
          <w:lang w:val="ro-RO"/>
        </w:rPr>
        <w:t xml:space="preserve">. </w:t>
      </w:r>
      <w:r w:rsidR="00902C44" w:rsidRPr="00857CDA">
        <w:rPr>
          <w:lang w:val="ro-RO" w:eastAsia="en-GB"/>
        </w:rPr>
        <w:t xml:space="preserve">În </w:t>
      </w:r>
      <w:r w:rsidR="00970E20" w:rsidRPr="00857CDA">
        <w:rPr>
          <w:lang w:val="ro-RO" w:eastAsia="en-GB"/>
        </w:rPr>
        <w:t>a doua frază</w:t>
      </w:r>
      <w:r w:rsidR="00BF6723" w:rsidRPr="00857CDA">
        <w:rPr>
          <w:lang w:val="ro-RO" w:eastAsia="en-GB"/>
        </w:rPr>
        <w:t xml:space="preserve">, </w:t>
      </w:r>
      <w:r w:rsidR="00902C44" w:rsidRPr="00857CDA">
        <w:rPr>
          <w:lang w:val="ro-RO" w:eastAsia="en-GB"/>
        </w:rPr>
        <w:t>Se modifică</w:t>
      </w:r>
      <w:r w:rsidRPr="00857CDA">
        <w:rPr>
          <w:lang w:val="ro-RO"/>
        </w:rPr>
        <w:t xml:space="preserve"> </w:t>
      </w:r>
      <w:r w:rsidR="00121893"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121893" w:rsidRPr="00857CDA">
        <w:rPr>
          <w:lang w:val="ro-RO"/>
        </w:rPr>
        <w:t>„</w:t>
      </w:r>
      <w:r w:rsidR="002B679C" w:rsidRPr="00857CDA">
        <w:rPr>
          <w:lang w:val="ro-RO"/>
        </w:rPr>
        <w:t>pericol</w:t>
      </w:r>
      <w:r w:rsidR="00660131" w:rsidRPr="00857CDA">
        <w:rPr>
          <w:lang w:val="ro-RO"/>
        </w:rPr>
        <w:t>”</w:t>
      </w:r>
      <w:r w:rsidRPr="00857CDA">
        <w:rPr>
          <w:lang w:val="ro-RO"/>
        </w:rPr>
        <w:t xml:space="preserve"> (de</w:t>
      </w:r>
      <w:r w:rsidR="00121893" w:rsidRPr="00857CDA">
        <w:rPr>
          <w:lang w:val="ro-RO"/>
        </w:rPr>
        <w:t xml:space="preserve"> două ori</w:t>
      </w:r>
      <w:r w:rsidRPr="00857CDA">
        <w:rPr>
          <w:lang w:val="ro-RO"/>
        </w:rPr>
        <w:t>).</w:t>
      </w:r>
    </w:p>
    <w:p w:rsidR="002D5CD0" w:rsidRPr="00857CDA" w:rsidRDefault="002D5CD0" w:rsidP="002D5CD0">
      <w:pPr>
        <w:pStyle w:val="SingleTxtG"/>
        <w:rPr>
          <w:lang w:val="ro-RO"/>
        </w:rPr>
      </w:pPr>
      <w:r w:rsidRPr="00857CDA">
        <w:rPr>
          <w:lang w:val="ro-RO"/>
        </w:rPr>
        <w:t>3.1.2.8.1.3</w:t>
      </w:r>
      <w:r w:rsidRPr="00857CDA">
        <w:rPr>
          <w:lang w:val="ro-RO"/>
        </w:rPr>
        <w:tab/>
      </w:r>
      <w:r w:rsidR="00902C44" w:rsidRPr="00857CDA">
        <w:rPr>
          <w:lang w:val="ro-RO"/>
        </w:rPr>
        <w:t>Se adaugă</w:t>
      </w:r>
      <w:r w:rsidRPr="00857CDA">
        <w:rPr>
          <w:lang w:val="ro-RO"/>
        </w:rPr>
        <w:t xml:space="preserve"> </w:t>
      </w:r>
      <w:r w:rsidR="003B5B21" w:rsidRPr="00857CDA">
        <w:rPr>
          <w:lang w:val="ro-RO"/>
        </w:rPr>
        <w:t xml:space="preserve">un nou </w:t>
      </w:r>
      <w:r w:rsidR="00857CDA" w:rsidRPr="00857CDA">
        <w:rPr>
          <w:lang w:val="ro-RO"/>
        </w:rPr>
        <w:t>exemplu</w:t>
      </w:r>
      <w:r w:rsidR="003B5B21" w:rsidRPr="00857CDA">
        <w:rPr>
          <w:lang w:val="ro-RO"/>
        </w:rPr>
        <w:t xml:space="preserve"> la sfârșit, după cum urmează</w:t>
      </w:r>
      <w:r w:rsidR="00091658" w:rsidRPr="00857CDA">
        <w:rPr>
          <w:lang w:val="ro-RO"/>
        </w:rPr>
        <w:t>:</w:t>
      </w:r>
    </w:p>
    <w:p w:rsidR="002D5CD0" w:rsidRPr="00857CDA" w:rsidRDefault="00121893" w:rsidP="002D5CD0">
      <w:pPr>
        <w:pStyle w:val="SingleTxtG"/>
        <w:rPr>
          <w:lang w:val="ro-RO"/>
        </w:rPr>
      </w:pPr>
      <w:r w:rsidRPr="00857CDA">
        <w:rPr>
          <w:lang w:val="ro-RO"/>
        </w:rPr>
        <w:t>„</w:t>
      </w:r>
      <w:r w:rsidR="002D5CD0" w:rsidRPr="00857CDA">
        <w:rPr>
          <w:lang w:val="ro-RO"/>
        </w:rPr>
        <w:t xml:space="preserve">UN 3540 </w:t>
      </w:r>
      <w:r w:rsidR="002D5CD0" w:rsidRPr="00857CDA">
        <w:rPr>
          <w:lang w:val="ro-RO"/>
        </w:rPr>
        <w:tab/>
      </w:r>
      <w:r w:rsidR="000A1FEE" w:rsidRPr="00857CDA">
        <w:rPr>
          <w:lang w:val="ro-RO"/>
        </w:rPr>
        <w:t>OBIECTE CARE CONȚIN LICHID INFLAMABIL, N.S.A.</w:t>
      </w:r>
      <w:r w:rsidR="00FE4F7E" w:rsidRPr="00857CDA" w:rsidDel="00FE4F7E">
        <w:rPr>
          <w:lang w:val="ro-RO"/>
        </w:rPr>
        <w:t xml:space="preserve"> </w:t>
      </w:r>
      <w:r w:rsidR="002D5CD0" w:rsidRPr="00857CDA">
        <w:rPr>
          <w:lang w:val="ro-RO"/>
        </w:rPr>
        <w:t>(p</w:t>
      </w:r>
      <w:r w:rsidR="000A1FEE" w:rsidRPr="00857CDA">
        <w:rPr>
          <w:lang w:val="ro-RO"/>
        </w:rPr>
        <w:t>i</w:t>
      </w:r>
      <w:r w:rsidR="002D5CD0" w:rsidRPr="00857CDA">
        <w:rPr>
          <w:lang w:val="ro-RO"/>
        </w:rPr>
        <w:t>rolidin</w:t>
      </w:r>
      <w:r w:rsidR="000A1FEE" w:rsidRPr="00857CDA">
        <w:rPr>
          <w:lang w:val="ro-RO"/>
        </w:rPr>
        <w:t>ă</w:t>
      </w:r>
      <w:r w:rsidR="002D5CD0" w:rsidRPr="00857CDA">
        <w:rPr>
          <w:lang w:val="ro-RO"/>
        </w:rPr>
        <w:t>)</w:t>
      </w:r>
      <w:r w:rsidR="00660131" w:rsidRPr="00857CDA">
        <w:rPr>
          <w:lang w:val="ro-RO"/>
        </w:rPr>
        <w:t>”</w:t>
      </w:r>
      <w:r w:rsidR="002D5CD0" w:rsidRPr="00857CDA">
        <w:rPr>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3.2</w:t>
      </w:r>
    </w:p>
    <w:p w:rsidR="000A6BAA" w:rsidRPr="00857CDA" w:rsidRDefault="000A6BAA" w:rsidP="000A6BAA">
      <w:pPr>
        <w:pStyle w:val="SingleTxtG"/>
        <w:rPr>
          <w:lang w:val="ro-RO"/>
        </w:rPr>
      </w:pPr>
      <w:r w:rsidRPr="00857CDA">
        <w:rPr>
          <w:lang w:val="ro-RO"/>
        </w:rPr>
        <w:t>3.2.1</w:t>
      </w:r>
      <w:r w:rsidRPr="00857CDA">
        <w:rPr>
          <w:lang w:val="ro-RO"/>
        </w:rPr>
        <w:tab/>
      </w:r>
      <w:r w:rsidRPr="00857CDA">
        <w:rPr>
          <w:lang w:val="ro-RO"/>
        </w:rPr>
        <w:tab/>
      </w:r>
      <w:r w:rsidR="00902C44" w:rsidRPr="00857CDA">
        <w:rPr>
          <w:lang w:val="ro-RO"/>
        </w:rPr>
        <w:t xml:space="preserve">În </w:t>
      </w:r>
      <w:r w:rsidRPr="00857CDA">
        <w:rPr>
          <w:lang w:val="ro-RO"/>
        </w:rPr>
        <w:t>explica</w:t>
      </w:r>
      <w:r w:rsidR="000A1FEE" w:rsidRPr="00857CDA">
        <w:rPr>
          <w:lang w:val="ro-RO"/>
        </w:rPr>
        <w:t>ția</w:t>
      </w:r>
      <w:r w:rsidRPr="00857CDA">
        <w:rPr>
          <w:lang w:val="ro-RO"/>
        </w:rPr>
        <w:t xml:space="preserve"> re</w:t>
      </w:r>
      <w:r w:rsidR="000A1FEE" w:rsidRPr="00857CDA">
        <w:rPr>
          <w:lang w:val="ro-RO"/>
        </w:rPr>
        <w:t xml:space="preserve">feritoare </w:t>
      </w:r>
      <w:r w:rsidRPr="00857CDA">
        <w:rPr>
          <w:lang w:val="ro-RO"/>
        </w:rPr>
        <w:t xml:space="preserve">la </w:t>
      </w:r>
      <w:r w:rsidR="00121893" w:rsidRPr="00857CDA">
        <w:rPr>
          <w:lang w:val="ro-RO"/>
        </w:rPr>
        <w:t>coloana</w:t>
      </w:r>
      <w:r w:rsidRPr="00857CDA">
        <w:rPr>
          <w:lang w:val="ro-RO"/>
        </w:rPr>
        <w:t xml:space="preserve"> (3b), </w:t>
      </w:r>
      <w:r w:rsidR="00902C44" w:rsidRPr="00857CDA">
        <w:rPr>
          <w:lang w:val="ro-RO"/>
        </w:rPr>
        <w:t xml:space="preserve">În </w:t>
      </w:r>
      <w:r w:rsidR="000A1FEE" w:rsidRPr="00857CDA">
        <w:rPr>
          <w:lang w:val="ro-RO"/>
        </w:rPr>
        <w:t>penultimul alineat</w:t>
      </w:r>
      <w:r w:rsidRPr="00857CDA">
        <w:rPr>
          <w:lang w:val="ro-RO"/>
        </w:rPr>
        <w:t xml:space="preserve">, </w:t>
      </w:r>
      <w:r w:rsidR="00902C44" w:rsidRPr="00857CDA">
        <w:rPr>
          <w:lang w:val="ro-RO"/>
        </w:rPr>
        <w:t>Se șterge</w:t>
      </w:r>
      <w:r w:rsidRPr="00857CDA">
        <w:rPr>
          <w:lang w:val="ro-RO"/>
        </w:rPr>
        <w:t xml:space="preserve"> </w:t>
      </w:r>
      <w:r w:rsidR="00435CA2" w:rsidRPr="00857CDA">
        <w:rPr>
          <w:lang w:val="ro-RO"/>
        </w:rPr>
        <w:t>„</w:t>
      </w:r>
      <w:r w:rsidR="00D85951" w:rsidRPr="00857CDA">
        <w:rPr>
          <w:lang w:val="ro-RO"/>
        </w:rPr>
        <w:t>,</w:t>
      </w:r>
      <w:r w:rsidRPr="00857CDA">
        <w:rPr>
          <w:lang w:val="ro-RO"/>
        </w:rPr>
        <w:t xml:space="preserve"> 8</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un </w:t>
      </w:r>
      <w:r w:rsidR="003B5B21" w:rsidRPr="00857CDA">
        <w:rPr>
          <w:lang w:val="ro-RO"/>
        </w:rPr>
        <w:t xml:space="preserve">nou alineat după cel </w:t>
      </w:r>
      <w:r w:rsidR="00435CA2" w:rsidRPr="00857CDA">
        <w:rPr>
          <w:lang w:val="ro-RO"/>
        </w:rPr>
        <w:t>penultimul existent și înainte de ultimul</w:t>
      </w:r>
      <w:r w:rsidR="002B679C" w:rsidRPr="00857CDA">
        <w:rPr>
          <w:lang w:val="ro-RO"/>
        </w:rPr>
        <w:t>, după cum urmează</w:t>
      </w:r>
      <w:r w:rsidR="00091658" w:rsidRPr="00857CDA">
        <w:rPr>
          <w:lang w:val="ro-RO"/>
        </w:rPr>
        <w:t>:</w:t>
      </w:r>
    </w:p>
    <w:p w:rsidR="003778F9" w:rsidRPr="00857CDA" w:rsidRDefault="00121893" w:rsidP="000A6BAA">
      <w:pPr>
        <w:pStyle w:val="SingleTxtG"/>
        <w:rPr>
          <w:lang w:val="ro-RO"/>
        </w:rPr>
      </w:pPr>
      <w:r w:rsidRPr="00857CDA">
        <w:rPr>
          <w:lang w:val="ro-RO"/>
        </w:rPr>
        <w:t>„</w:t>
      </w:r>
      <w:r w:rsidR="003778F9" w:rsidRPr="00857CDA">
        <w:rPr>
          <w:lang w:val="ro-RO"/>
        </w:rPr>
        <w:t xml:space="preserve">- </w:t>
      </w:r>
      <w:r w:rsidR="00991390" w:rsidRPr="00857CDA">
        <w:rPr>
          <w:lang w:val="ro-RO"/>
        </w:rPr>
        <w:t>Pentru</w:t>
      </w:r>
      <w:r w:rsidR="003778F9" w:rsidRPr="00857CDA">
        <w:rPr>
          <w:lang w:val="ro-RO"/>
        </w:rPr>
        <w:t xml:space="preserve"> </w:t>
      </w:r>
      <w:r w:rsidR="003B5B21" w:rsidRPr="00857CDA">
        <w:rPr>
          <w:lang w:val="ro-RO"/>
        </w:rPr>
        <w:t>substanțele sa</w:t>
      </w:r>
      <w:r w:rsidR="003778F9" w:rsidRPr="00857CDA">
        <w:rPr>
          <w:lang w:val="ro-RO"/>
        </w:rPr>
        <w:t>u ob</w:t>
      </w:r>
      <w:r w:rsidR="003B5B21" w:rsidRPr="00857CDA">
        <w:rPr>
          <w:lang w:val="ro-RO"/>
        </w:rPr>
        <w:t>i</w:t>
      </w:r>
      <w:r w:rsidR="003778F9" w:rsidRPr="00857CDA">
        <w:rPr>
          <w:lang w:val="ro-RO"/>
        </w:rPr>
        <w:t>e</w:t>
      </w:r>
      <w:r w:rsidR="00260722" w:rsidRPr="00857CDA">
        <w:rPr>
          <w:lang w:val="ro-RO"/>
        </w:rPr>
        <w:t>c</w:t>
      </w:r>
      <w:r w:rsidR="003778F9" w:rsidRPr="00857CDA">
        <w:rPr>
          <w:lang w:val="ro-RO"/>
        </w:rPr>
        <w:t>t</w:t>
      </w:r>
      <w:r w:rsidR="003B5B21" w:rsidRPr="00857CDA">
        <w:rPr>
          <w:lang w:val="ro-RO"/>
        </w:rPr>
        <w:t>ele</w:t>
      </w:r>
      <w:r w:rsidR="003778F9" w:rsidRPr="00857CDA">
        <w:rPr>
          <w:lang w:val="ro-RO"/>
        </w:rPr>
        <w:t xml:space="preserve"> </w:t>
      </w:r>
      <w:r w:rsidR="002B679C" w:rsidRPr="00857CDA">
        <w:rPr>
          <w:lang w:val="ro-RO"/>
        </w:rPr>
        <w:t>peric</w:t>
      </w:r>
      <w:r w:rsidR="003B5B21" w:rsidRPr="00857CDA">
        <w:rPr>
          <w:lang w:val="ro-RO"/>
        </w:rPr>
        <w:t>u</w:t>
      </w:r>
      <w:r w:rsidR="002B679C" w:rsidRPr="00857CDA">
        <w:rPr>
          <w:lang w:val="ro-RO"/>
        </w:rPr>
        <w:t>l</w:t>
      </w:r>
      <w:r w:rsidR="003B5B21" w:rsidRPr="00857CDA">
        <w:rPr>
          <w:lang w:val="ro-RO"/>
        </w:rPr>
        <w:t>oase</w:t>
      </w:r>
      <w:r w:rsidR="003778F9" w:rsidRPr="00857CDA">
        <w:rPr>
          <w:lang w:val="ro-RO"/>
        </w:rPr>
        <w:t xml:space="preserve"> d</w:t>
      </w:r>
      <w:r w:rsidR="003B5B21" w:rsidRPr="00857CDA">
        <w:rPr>
          <w:lang w:val="ro-RO"/>
        </w:rPr>
        <w:t>in</w:t>
      </w:r>
      <w:r w:rsidR="003778F9" w:rsidRPr="00857CDA">
        <w:rPr>
          <w:lang w:val="ro-RO"/>
        </w:rPr>
        <w:t xml:space="preserve"> </w:t>
      </w:r>
      <w:r w:rsidR="002B679C" w:rsidRPr="00857CDA">
        <w:rPr>
          <w:lang w:val="ro-RO"/>
        </w:rPr>
        <w:t>clasa</w:t>
      </w:r>
      <w:r w:rsidR="003778F9" w:rsidRPr="00857CDA">
        <w:rPr>
          <w:lang w:val="ro-RO"/>
        </w:rPr>
        <w:t xml:space="preserve"> 8 cod</w:t>
      </w:r>
      <w:r w:rsidR="003B5B21" w:rsidRPr="00857CDA">
        <w:rPr>
          <w:lang w:val="ro-RO"/>
        </w:rPr>
        <w:t>uril</w:t>
      </w:r>
      <w:r w:rsidR="003778F9" w:rsidRPr="00857CDA">
        <w:rPr>
          <w:lang w:val="ro-RO"/>
        </w:rPr>
        <w:t>e s</w:t>
      </w:r>
      <w:r w:rsidR="003B5B21" w:rsidRPr="00857CDA">
        <w:rPr>
          <w:lang w:val="ro-RO"/>
        </w:rPr>
        <w:t>u</w:t>
      </w:r>
      <w:r w:rsidR="003778F9" w:rsidRPr="00857CDA">
        <w:rPr>
          <w:lang w:val="ro-RO"/>
        </w:rPr>
        <w:t>nt expli</w:t>
      </w:r>
      <w:r w:rsidR="003B5B21" w:rsidRPr="00857CDA">
        <w:rPr>
          <w:lang w:val="ro-RO"/>
        </w:rPr>
        <w:t>cate</w:t>
      </w:r>
      <w:r w:rsidR="003778F9" w:rsidRPr="00857CDA">
        <w:rPr>
          <w:lang w:val="ro-RO"/>
        </w:rPr>
        <w:t xml:space="preserve"> </w:t>
      </w:r>
      <w:r w:rsidR="003B5B21" w:rsidRPr="00857CDA">
        <w:rPr>
          <w:lang w:val="ro-RO"/>
        </w:rPr>
        <w:t>l</w:t>
      </w:r>
      <w:r w:rsidR="003778F9" w:rsidRPr="00857CDA">
        <w:rPr>
          <w:lang w:val="ro-RO"/>
        </w:rPr>
        <w:t>a 2.2.8.1.4.1;</w:t>
      </w:r>
      <w:r w:rsidR="00660131" w:rsidRPr="00857CDA">
        <w:rPr>
          <w:lang w:val="ro-RO"/>
        </w:rPr>
        <w:t>”</w:t>
      </w:r>
      <w:r w:rsidR="003778F9" w:rsidRPr="00857CDA">
        <w:rPr>
          <w:lang w:val="ro-RO"/>
        </w:rPr>
        <w:t>.</w:t>
      </w:r>
    </w:p>
    <w:p w:rsidR="002F085E" w:rsidRPr="00857CDA" w:rsidRDefault="002F085E" w:rsidP="002F085E">
      <w:pPr>
        <w:pStyle w:val="SingleTxtG"/>
        <w:tabs>
          <w:tab w:val="left" w:pos="2268"/>
        </w:tabs>
        <w:rPr>
          <w:lang w:val="ro-RO"/>
        </w:rPr>
      </w:pPr>
      <w:r w:rsidRPr="00857CDA">
        <w:rPr>
          <w:lang w:val="ro-RO"/>
        </w:rPr>
        <w:t>3.2.1</w:t>
      </w:r>
      <w:r w:rsidRPr="00857CDA">
        <w:rPr>
          <w:lang w:val="ro-RO"/>
        </w:rPr>
        <w:tab/>
      </w:r>
      <w:r w:rsidR="00902C44" w:rsidRPr="00857CDA">
        <w:rPr>
          <w:lang w:val="ro-RO"/>
        </w:rPr>
        <w:t xml:space="preserve">În </w:t>
      </w:r>
      <w:r w:rsidR="00244ABE" w:rsidRPr="00857CDA">
        <w:rPr>
          <w:lang w:val="ro-RO"/>
        </w:rPr>
        <w:t>explica</w:t>
      </w:r>
      <w:r w:rsidR="00435CA2" w:rsidRPr="00857CDA">
        <w:rPr>
          <w:lang w:val="ro-RO"/>
        </w:rPr>
        <w:t>ția</w:t>
      </w:r>
      <w:r w:rsidR="00244ABE" w:rsidRPr="00857CDA">
        <w:rPr>
          <w:lang w:val="ro-RO"/>
        </w:rPr>
        <w:t xml:space="preserve"> </w:t>
      </w:r>
      <w:r w:rsidRPr="00857CDA">
        <w:rPr>
          <w:lang w:val="ro-RO"/>
        </w:rPr>
        <w:t>re</w:t>
      </w:r>
      <w:r w:rsidR="00435CA2" w:rsidRPr="00857CDA">
        <w:rPr>
          <w:lang w:val="ro-RO"/>
        </w:rPr>
        <w:t>feritoare</w:t>
      </w:r>
      <w:r w:rsidRPr="00857CDA">
        <w:rPr>
          <w:lang w:val="ro-RO"/>
        </w:rPr>
        <w:t xml:space="preserve"> la </w:t>
      </w:r>
      <w:r w:rsidR="00121893" w:rsidRPr="00857CDA">
        <w:rPr>
          <w:lang w:val="ro-RO"/>
        </w:rPr>
        <w:t>coloana</w:t>
      </w:r>
      <w:r w:rsidRPr="00857CDA">
        <w:rPr>
          <w:lang w:val="ro-RO"/>
        </w:rPr>
        <w:t xml:space="preserve"> (9a), </w:t>
      </w:r>
      <w:r w:rsidR="00435CA2" w:rsidRPr="00857CDA">
        <w:rPr>
          <w:lang w:val="ro-RO"/>
        </w:rPr>
        <w:t xml:space="preserve">la cel de al treilea </w:t>
      </w:r>
      <w:r w:rsidR="00970E20" w:rsidRPr="00857CDA">
        <w:rPr>
          <w:lang w:val="ro-RO"/>
        </w:rPr>
        <w:t>alineat</w:t>
      </w:r>
      <w:r w:rsidRPr="00857CDA">
        <w:rPr>
          <w:lang w:val="ro-RO"/>
        </w:rPr>
        <w:t xml:space="preserve">, </w:t>
      </w:r>
      <w:r w:rsidR="00991390" w:rsidRPr="00857CDA">
        <w:rPr>
          <w:lang w:val="ro-RO"/>
        </w:rPr>
        <w:t>după</w:t>
      </w:r>
      <w:r w:rsidRPr="00857CDA">
        <w:rPr>
          <w:lang w:val="ro-RO"/>
        </w:rPr>
        <w:t xml:space="preserve"> </w:t>
      </w:r>
      <w:r w:rsidR="00121893" w:rsidRPr="00857CDA">
        <w:rPr>
          <w:lang w:val="ro-RO"/>
        </w:rPr>
        <w:t>„</w:t>
      </w:r>
      <w:r w:rsidRPr="00857CDA">
        <w:rPr>
          <w:lang w:val="ro-RO"/>
        </w:rPr>
        <w:t>l</w:t>
      </w:r>
      <w:r w:rsidR="00435CA2" w:rsidRPr="00857CDA">
        <w:rPr>
          <w:lang w:val="ro-RO"/>
        </w:rPr>
        <w:t>i</w:t>
      </w:r>
      <w:r w:rsidRPr="00857CDA">
        <w:rPr>
          <w:lang w:val="ro-RO"/>
        </w:rPr>
        <w:t>te</w:t>
      </w:r>
      <w:r w:rsidR="00435CA2" w:rsidRPr="00857CDA">
        <w:rPr>
          <w:lang w:val="ro-RO"/>
        </w:rPr>
        <w:t>ra</w:t>
      </w:r>
      <w:r w:rsidRPr="00857CDA">
        <w:rPr>
          <w:lang w:val="ro-RO"/>
        </w:rPr>
        <w:t xml:space="preserve"> </w:t>
      </w:r>
      <w:r w:rsidR="00121893" w:rsidRPr="00857CDA">
        <w:rPr>
          <w:lang w:val="ro-RO"/>
        </w:rPr>
        <w:t>„</w:t>
      </w:r>
      <w:r w:rsidRPr="00857CDA">
        <w:rPr>
          <w:lang w:val="ro-RO"/>
        </w:rPr>
        <w:t>L</w:t>
      </w:r>
      <w:r w:rsidR="00660131" w:rsidRPr="00857CDA">
        <w:rPr>
          <w:lang w:val="ro-RO"/>
        </w:rPr>
        <w:t>”</w:t>
      </w:r>
      <w:r w:rsidR="00435CA2" w:rsidRPr="00857CDA">
        <w:rPr>
          <w:lang w:val="ro-RO"/>
        </w:rPr>
        <w:t>”</w:t>
      </w:r>
      <w:r w:rsidRPr="00857CDA">
        <w:rPr>
          <w:lang w:val="ro-RO"/>
        </w:rPr>
        <w:t xml:space="preserve">, </w:t>
      </w:r>
      <w:r w:rsidR="000022EF" w:rsidRPr="00857CDA">
        <w:rPr>
          <w:lang w:val="ro-RO"/>
        </w:rPr>
        <w:t>se introduce</w:t>
      </w:r>
      <w:r w:rsidRPr="00857CDA">
        <w:rPr>
          <w:lang w:val="ro-RO"/>
        </w:rPr>
        <w:t xml:space="preserve">: </w:t>
      </w:r>
      <w:r w:rsidR="00660131" w:rsidRPr="00857CDA">
        <w:rPr>
          <w:lang w:val="ro-RO"/>
        </w:rPr>
        <w:t>“</w:t>
      </w:r>
      <w:r w:rsidR="00435CA2" w:rsidRPr="00857CDA">
        <w:rPr>
          <w:lang w:val="ro-RO"/>
        </w:rPr>
        <w:t>sau</w:t>
      </w:r>
      <w:r w:rsidRPr="00857CDA">
        <w:rPr>
          <w:lang w:val="ro-RO"/>
        </w:rPr>
        <w:t xml:space="preserve"> </w:t>
      </w:r>
      <w:r w:rsidR="00435CA2" w:rsidRPr="00857CDA">
        <w:rPr>
          <w:lang w:val="ro-RO"/>
        </w:rPr>
        <w:t>cu literele</w:t>
      </w:r>
      <w:r w:rsidRPr="00857CDA">
        <w:rPr>
          <w:lang w:val="ro-RO"/>
        </w:rPr>
        <w:t xml:space="preserve"> </w:t>
      </w:r>
      <w:r w:rsidR="00121893" w:rsidRPr="00857CDA">
        <w:rPr>
          <w:lang w:val="ro-RO"/>
        </w:rPr>
        <w:t>„</w:t>
      </w:r>
      <w:r w:rsidRPr="00857CDA">
        <w:rPr>
          <w:lang w:val="ro-RO"/>
        </w:rPr>
        <w:t>LL</w:t>
      </w:r>
      <w:r w:rsidR="00660131" w:rsidRPr="00857CDA">
        <w:rPr>
          <w:lang w:val="ro-RO"/>
        </w:rPr>
        <w:t>”</w:t>
      </w:r>
      <w:r w:rsidR="00435CA2" w:rsidRPr="00857CDA">
        <w:rPr>
          <w:lang w:val="ro-RO"/>
        </w:rPr>
        <w:t>”</w:t>
      </w:r>
      <w:r w:rsidRPr="00857CDA">
        <w:rPr>
          <w:lang w:val="ro-RO"/>
        </w:rPr>
        <w:t xml:space="preserve"> (de</w:t>
      </w:r>
      <w:r w:rsidR="00121893" w:rsidRPr="00857CDA">
        <w:rPr>
          <w:lang w:val="ro-RO"/>
        </w:rPr>
        <w:t xml:space="preserve"> două ori</w:t>
      </w:r>
      <w:r w:rsidRPr="00857CDA">
        <w:rPr>
          <w:lang w:val="ro-RO"/>
        </w:rPr>
        <w:t>).</w:t>
      </w:r>
    </w:p>
    <w:p w:rsidR="00196C06" w:rsidRPr="00857CDA" w:rsidRDefault="00196C06" w:rsidP="00B76415">
      <w:pPr>
        <w:pStyle w:val="SingleTxtG"/>
        <w:tabs>
          <w:tab w:val="left" w:pos="2268"/>
        </w:tabs>
        <w:rPr>
          <w:lang w:val="ro-RO"/>
        </w:rPr>
      </w:pPr>
      <w:r w:rsidRPr="00857CDA">
        <w:rPr>
          <w:lang w:val="ro-RO"/>
        </w:rPr>
        <w:t>3.2.1</w:t>
      </w:r>
      <w:r w:rsidRPr="00857CDA">
        <w:rPr>
          <w:lang w:val="ro-RO"/>
        </w:rPr>
        <w:tab/>
      </w:r>
      <w:r w:rsidR="00902C44" w:rsidRPr="00857CDA">
        <w:rPr>
          <w:lang w:val="ro-RO"/>
        </w:rPr>
        <w:t xml:space="preserve">În </w:t>
      </w:r>
      <w:r w:rsidR="00435CA2" w:rsidRPr="00857CDA">
        <w:rPr>
          <w:lang w:val="ro-RO"/>
        </w:rPr>
        <w:t xml:space="preserve">explicația referitoare la coloana </w:t>
      </w:r>
      <w:r w:rsidR="00F15029" w:rsidRPr="00857CDA">
        <w:rPr>
          <w:lang w:val="ro-RO"/>
        </w:rPr>
        <w:t xml:space="preserve">(15), </w:t>
      </w:r>
      <w:r w:rsidR="00902C44" w:rsidRPr="00857CDA">
        <w:rPr>
          <w:lang w:val="ro-RO"/>
        </w:rPr>
        <w:t>se adaugă</w:t>
      </w:r>
      <w:r w:rsidR="00435CA2" w:rsidRPr="00857CDA">
        <w:rPr>
          <w:lang w:val="ro-RO"/>
        </w:rPr>
        <w:t xml:space="preserve"> la primul paragraf, o nouă frază, după cum urmează</w:t>
      </w:r>
      <w:r w:rsidR="00091658" w:rsidRPr="00857CDA">
        <w:rPr>
          <w:lang w:val="ro-RO"/>
        </w:rPr>
        <w:t>:</w:t>
      </w:r>
      <w:r w:rsidR="00F15029" w:rsidRPr="00857CDA">
        <w:rPr>
          <w:lang w:val="ro-RO"/>
        </w:rPr>
        <w:t xml:space="preserve"> </w:t>
      </w:r>
      <w:r w:rsidR="00121893" w:rsidRPr="00857CDA">
        <w:rPr>
          <w:lang w:val="ro-RO"/>
        </w:rPr>
        <w:t>„</w:t>
      </w:r>
      <w:r w:rsidR="00435CA2" w:rsidRPr="00857CDA">
        <w:rPr>
          <w:lang w:val="ro-RO"/>
        </w:rPr>
        <w:t xml:space="preserve">Mențiunea </w:t>
      </w:r>
      <w:r w:rsidR="00121893" w:rsidRPr="00857CDA">
        <w:rPr>
          <w:lang w:val="ro-RO"/>
        </w:rPr>
        <w:t>„</w:t>
      </w:r>
      <w:r w:rsidR="00F15029" w:rsidRPr="00857CDA">
        <w:rPr>
          <w:lang w:val="ro-RO"/>
        </w:rPr>
        <w:t>-</w:t>
      </w:r>
      <w:r w:rsidR="00660131" w:rsidRPr="00857CDA">
        <w:rPr>
          <w:lang w:val="ro-RO"/>
        </w:rPr>
        <w:t>”</w:t>
      </w:r>
      <w:r w:rsidR="00F15029" w:rsidRPr="00857CDA">
        <w:rPr>
          <w:lang w:val="ro-RO"/>
        </w:rPr>
        <w:t xml:space="preserve"> indi</w:t>
      </w:r>
      <w:r w:rsidR="00435CA2" w:rsidRPr="00857CDA">
        <w:rPr>
          <w:lang w:val="ro-RO"/>
        </w:rPr>
        <w:t>că faptul că nu există o categorie de transport</w:t>
      </w:r>
      <w:r w:rsidR="00F15029" w:rsidRPr="00857CDA">
        <w:rPr>
          <w:lang w:val="ro-RO"/>
        </w:rPr>
        <w:t xml:space="preserve"> a</w:t>
      </w:r>
      <w:r w:rsidR="00435CA2" w:rsidRPr="00857CDA">
        <w:rPr>
          <w:lang w:val="ro-RO"/>
        </w:rPr>
        <w:t>locată</w:t>
      </w:r>
      <w:r w:rsidR="00F15029" w:rsidRPr="00857CDA">
        <w:rPr>
          <w:lang w:val="ro-RO"/>
        </w:rPr>
        <w:t>.</w:t>
      </w:r>
      <w:r w:rsidR="00660131" w:rsidRPr="00857CDA">
        <w:rPr>
          <w:lang w:val="ro-RO"/>
        </w:rPr>
        <w:t>”</w:t>
      </w:r>
      <w:r w:rsidR="00F15029" w:rsidRPr="00857CDA">
        <w:rPr>
          <w:lang w:val="ro-RO"/>
        </w:rPr>
        <w:t>.</w:t>
      </w:r>
    </w:p>
    <w:p w:rsidR="00196C06" w:rsidRPr="00857CDA" w:rsidRDefault="00196C06" w:rsidP="00196C06">
      <w:pPr>
        <w:pStyle w:val="H23G"/>
        <w:rPr>
          <w:lang w:val="ro-RO"/>
        </w:rPr>
      </w:pPr>
      <w:r w:rsidRPr="00857CDA">
        <w:rPr>
          <w:lang w:val="ro-RO"/>
        </w:rPr>
        <w:tab/>
      </w:r>
      <w:r w:rsidRPr="00857CDA">
        <w:rPr>
          <w:lang w:val="ro-RO"/>
        </w:rPr>
        <w:tab/>
      </w:r>
      <w:r w:rsidR="007931DC" w:rsidRPr="00857CDA">
        <w:rPr>
          <w:lang w:val="ro-RO"/>
        </w:rPr>
        <w:t>Tab</w:t>
      </w:r>
      <w:r w:rsidR="00435CA2" w:rsidRPr="00857CDA">
        <w:rPr>
          <w:lang w:val="ro-RO"/>
        </w:rPr>
        <w:t>elul</w:t>
      </w:r>
      <w:r w:rsidR="007931DC" w:rsidRPr="00857CDA">
        <w:rPr>
          <w:lang w:val="ro-RO"/>
        </w:rPr>
        <w:t xml:space="preserve"> A</w:t>
      </w:r>
    </w:p>
    <w:p w:rsidR="00196C06" w:rsidRPr="00857CDA" w:rsidRDefault="00991390" w:rsidP="00196C06">
      <w:pPr>
        <w:pStyle w:val="SingleTxtG"/>
        <w:rPr>
          <w:lang w:val="ro-RO"/>
        </w:rPr>
      </w:pPr>
      <w:r w:rsidRPr="00857CDA">
        <w:rPr>
          <w:lang w:val="ro-RO"/>
        </w:rPr>
        <w:t>Pentru</w:t>
      </w:r>
      <w:r w:rsidR="00196C06" w:rsidRPr="00857CDA">
        <w:rPr>
          <w:lang w:val="ro-RO"/>
        </w:rPr>
        <w:t xml:space="preserve"> </w:t>
      </w:r>
      <w:r w:rsidR="00121893" w:rsidRPr="00857CDA">
        <w:rPr>
          <w:lang w:val="ro-RO"/>
        </w:rPr>
        <w:t>Nr.</w:t>
      </w:r>
      <w:r w:rsidR="002B679C" w:rsidRPr="00857CDA">
        <w:rPr>
          <w:lang w:val="ro-RO"/>
        </w:rPr>
        <w:t xml:space="preserve"> ONU</w:t>
      </w:r>
      <w:r w:rsidR="00196C06" w:rsidRPr="00857CDA">
        <w:rPr>
          <w:lang w:val="ro-RO"/>
        </w:rPr>
        <w:t xml:space="preserve"> 0349, 0367, 0384</w:t>
      </w:r>
      <w:r w:rsidR="004C27AD" w:rsidRPr="00857CDA">
        <w:rPr>
          <w:lang w:val="ro-RO"/>
        </w:rPr>
        <w:t xml:space="preserve"> și </w:t>
      </w:r>
      <w:r w:rsidR="00196C06" w:rsidRPr="00857CDA">
        <w:rPr>
          <w:lang w:val="ro-RO"/>
        </w:rPr>
        <w:t xml:space="preserve">0481, </w:t>
      </w:r>
      <w:r w:rsidR="00902C44" w:rsidRPr="00857CDA">
        <w:rPr>
          <w:lang w:val="ro-RO"/>
        </w:rPr>
        <w:t>se adaugă</w:t>
      </w:r>
      <w:r w:rsidR="00196C06" w:rsidRPr="00857CDA">
        <w:rPr>
          <w:lang w:val="ro-RO"/>
        </w:rPr>
        <w:t xml:space="preserve"> </w:t>
      </w:r>
      <w:r w:rsidR="00121893" w:rsidRPr="00857CDA">
        <w:rPr>
          <w:lang w:val="ro-RO"/>
        </w:rPr>
        <w:t>„</w:t>
      </w:r>
      <w:r w:rsidR="00196C06" w:rsidRPr="00857CDA">
        <w:rPr>
          <w:lang w:val="ro-RO"/>
        </w:rPr>
        <w:t>347</w:t>
      </w:r>
      <w:r w:rsidR="00660131" w:rsidRPr="00857CDA">
        <w:rPr>
          <w:lang w:val="ro-RO"/>
        </w:rPr>
        <w:t>”</w:t>
      </w:r>
      <w:r w:rsidR="00196C06" w:rsidRPr="00857CDA">
        <w:rPr>
          <w:lang w:val="ro-RO"/>
        </w:rPr>
        <w:t xml:space="preserve"> </w:t>
      </w:r>
      <w:r w:rsidR="00121893" w:rsidRPr="00857CDA">
        <w:rPr>
          <w:lang w:val="ro-RO"/>
        </w:rPr>
        <w:t>în coloana</w:t>
      </w:r>
      <w:r w:rsidR="00196C06" w:rsidRPr="00857CDA">
        <w:rPr>
          <w:lang w:val="ro-RO"/>
        </w:rPr>
        <w:t xml:space="preserve"> (6).</w:t>
      </w:r>
    </w:p>
    <w:p w:rsidR="002F085E" w:rsidRPr="00857CDA" w:rsidRDefault="00991390" w:rsidP="002F085E">
      <w:pPr>
        <w:pStyle w:val="SingleTxtG"/>
        <w:rPr>
          <w:i/>
          <w:iCs/>
          <w:lang w:val="ro-RO"/>
        </w:rPr>
      </w:pPr>
      <w:r w:rsidRPr="00857CDA">
        <w:rPr>
          <w:lang w:val="ro-RO"/>
        </w:rPr>
        <w:t>Pentru</w:t>
      </w:r>
      <w:r w:rsidR="002F085E" w:rsidRPr="00857CDA">
        <w:rPr>
          <w:lang w:val="ro-RO"/>
        </w:rPr>
        <w:t xml:space="preserve"> </w:t>
      </w:r>
      <w:r w:rsidR="00121893" w:rsidRPr="00857CDA">
        <w:rPr>
          <w:lang w:val="ro-RO"/>
        </w:rPr>
        <w:t>Nr.</w:t>
      </w:r>
      <w:r w:rsidR="002B679C" w:rsidRPr="00857CDA">
        <w:rPr>
          <w:lang w:val="ro-RO"/>
        </w:rPr>
        <w:t xml:space="preserve"> ONU</w:t>
      </w:r>
      <w:r w:rsidR="002F085E" w:rsidRPr="00857CDA">
        <w:rPr>
          <w:lang w:val="ro-RO"/>
        </w:rPr>
        <w:t xml:space="preserve"> 0509, </w:t>
      </w:r>
      <w:r w:rsidR="00902C44" w:rsidRPr="00857CDA">
        <w:rPr>
          <w:lang w:val="ro-RO"/>
        </w:rPr>
        <w:t xml:space="preserve">În </w:t>
      </w:r>
      <w:r w:rsidR="002F085E" w:rsidRPr="00857CDA">
        <w:rPr>
          <w:lang w:val="ro-RO"/>
        </w:rPr>
        <w:t xml:space="preserve">la </w:t>
      </w:r>
      <w:r w:rsidR="00121893" w:rsidRPr="00857CDA">
        <w:rPr>
          <w:lang w:val="ro-RO"/>
        </w:rPr>
        <w:t>coloana</w:t>
      </w:r>
      <w:r w:rsidR="002F085E" w:rsidRPr="00857CDA">
        <w:rPr>
          <w:lang w:val="ro-RO"/>
        </w:rPr>
        <w:t xml:space="preserve"> (9b), </w:t>
      </w:r>
      <w:r w:rsidR="00902C44" w:rsidRPr="00857CDA">
        <w:rPr>
          <w:lang w:val="ro-RO"/>
        </w:rPr>
        <w:t>se adaugă</w:t>
      </w:r>
      <w:r w:rsidR="00091658" w:rsidRPr="00857CDA">
        <w:rPr>
          <w:lang w:val="ro-RO"/>
        </w:rPr>
        <w:t>:</w:t>
      </w:r>
      <w:r w:rsidR="002F085E" w:rsidRPr="00857CDA">
        <w:rPr>
          <w:lang w:val="ro-RO"/>
        </w:rPr>
        <w:t xml:space="preserve"> </w:t>
      </w:r>
      <w:r w:rsidR="00121893" w:rsidRPr="00857CDA">
        <w:rPr>
          <w:lang w:val="ro-RO"/>
        </w:rPr>
        <w:t>„</w:t>
      </w:r>
      <w:r w:rsidR="002F085E" w:rsidRPr="00857CDA">
        <w:rPr>
          <w:lang w:val="ro-RO"/>
        </w:rPr>
        <w:t>MP24</w:t>
      </w:r>
      <w:r w:rsidR="00660131" w:rsidRPr="00857CDA">
        <w:rPr>
          <w:lang w:val="ro-RO"/>
        </w:rPr>
        <w:t>”</w:t>
      </w:r>
      <w:r w:rsidR="002F085E" w:rsidRPr="00857CDA">
        <w:rPr>
          <w:lang w:val="ro-RO"/>
        </w:rPr>
        <w:t>.</w:t>
      </w:r>
      <w:r w:rsidR="002F085E" w:rsidRPr="00857CDA">
        <w:rPr>
          <w:i/>
          <w:iCs/>
          <w:lang w:val="ro-RO"/>
        </w:rPr>
        <w:t xml:space="preserve"> </w:t>
      </w:r>
    </w:p>
    <w:p w:rsidR="00735A19" w:rsidRPr="00857CDA" w:rsidRDefault="00991390" w:rsidP="00735A19">
      <w:pPr>
        <w:pStyle w:val="SingleTxtG"/>
        <w:rPr>
          <w:lang w:val="ro-RO"/>
        </w:rPr>
      </w:pPr>
      <w:r w:rsidRPr="00857CDA">
        <w:rPr>
          <w:lang w:val="ro-RO"/>
        </w:rPr>
        <w:t>Pentru</w:t>
      </w:r>
      <w:r w:rsidR="00735A19" w:rsidRPr="00857CDA">
        <w:rPr>
          <w:lang w:val="ro-RO"/>
        </w:rPr>
        <w:t xml:space="preserve"> </w:t>
      </w:r>
      <w:r w:rsidR="00121893" w:rsidRPr="00857CDA">
        <w:rPr>
          <w:lang w:val="ro-RO"/>
        </w:rPr>
        <w:t>Nr.</w:t>
      </w:r>
      <w:r w:rsidR="002B679C" w:rsidRPr="00857CDA">
        <w:rPr>
          <w:lang w:val="ro-RO"/>
        </w:rPr>
        <w:t xml:space="preserve"> ONU</w:t>
      </w:r>
      <w:r w:rsidR="00735A19" w:rsidRPr="00857CDA">
        <w:rPr>
          <w:lang w:val="ro-RO"/>
        </w:rPr>
        <w:t xml:space="preserve"> 1002, 1006, 1013, 1046, 1056, 1058, 1065, 1066, 1080, 1952, 1956, 2036, 3070, 3163, 3297, 3298</w:t>
      </w:r>
      <w:r w:rsidR="004C27AD" w:rsidRPr="00857CDA">
        <w:rPr>
          <w:lang w:val="ro-RO"/>
        </w:rPr>
        <w:t xml:space="preserve"> și </w:t>
      </w:r>
      <w:r w:rsidR="00735A19" w:rsidRPr="00857CDA">
        <w:rPr>
          <w:lang w:val="ro-RO"/>
        </w:rPr>
        <w:t xml:space="preserve">3299 </w:t>
      </w:r>
      <w:r w:rsidR="000022EF" w:rsidRPr="00857CDA">
        <w:rPr>
          <w:lang w:val="ro-RO"/>
        </w:rPr>
        <w:t>se introduce</w:t>
      </w:r>
      <w:r w:rsidR="00735A19" w:rsidRPr="00857CDA">
        <w:rPr>
          <w:lang w:val="ro-RO"/>
        </w:rPr>
        <w:t xml:space="preserve"> </w:t>
      </w:r>
      <w:r w:rsidR="00121893" w:rsidRPr="00857CDA">
        <w:rPr>
          <w:lang w:val="ro-RO"/>
        </w:rPr>
        <w:t>„</w:t>
      </w:r>
      <w:r w:rsidR="00735A19" w:rsidRPr="00857CDA">
        <w:rPr>
          <w:lang w:val="ro-RO"/>
        </w:rPr>
        <w:t>660</w:t>
      </w:r>
      <w:r w:rsidR="00660131" w:rsidRPr="00857CDA">
        <w:rPr>
          <w:lang w:val="ro-RO"/>
        </w:rPr>
        <w:t>”</w:t>
      </w:r>
      <w:r w:rsidR="00735A19" w:rsidRPr="00857CDA">
        <w:rPr>
          <w:lang w:val="ro-RO"/>
        </w:rPr>
        <w:t xml:space="preserve"> </w:t>
      </w:r>
      <w:r w:rsidR="00902C44" w:rsidRPr="00857CDA">
        <w:rPr>
          <w:lang w:val="ro-RO"/>
        </w:rPr>
        <w:t xml:space="preserve">În </w:t>
      </w:r>
      <w:r w:rsidR="00735A19" w:rsidRPr="00857CDA">
        <w:rPr>
          <w:lang w:val="ro-RO"/>
        </w:rPr>
        <w:t xml:space="preserve">la </w:t>
      </w:r>
      <w:r w:rsidR="00121893" w:rsidRPr="00857CDA">
        <w:rPr>
          <w:lang w:val="ro-RO"/>
        </w:rPr>
        <w:t>coloana</w:t>
      </w:r>
      <w:r w:rsidR="00735A19" w:rsidRPr="00857CDA">
        <w:rPr>
          <w:lang w:val="ro-RO"/>
        </w:rPr>
        <w:t xml:space="preserve"> (6).</w:t>
      </w:r>
    </w:p>
    <w:p w:rsidR="00F12C72" w:rsidRPr="00857CDA" w:rsidRDefault="00991390" w:rsidP="00F12C72">
      <w:pPr>
        <w:pStyle w:val="SingleTxtG"/>
        <w:rPr>
          <w:lang w:val="ro-RO"/>
        </w:rPr>
      </w:pPr>
      <w:r w:rsidRPr="00857CDA">
        <w:rPr>
          <w:iCs/>
          <w:lang w:val="ro-RO"/>
        </w:rPr>
        <w:t>Pentru</w:t>
      </w:r>
      <w:r w:rsidR="00F12C72" w:rsidRPr="00857CDA">
        <w:rPr>
          <w:iCs/>
          <w:lang w:val="ro-RO"/>
        </w:rPr>
        <w:t xml:space="preserve"> </w:t>
      </w:r>
      <w:r w:rsidR="00121893" w:rsidRPr="00857CDA">
        <w:rPr>
          <w:iCs/>
          <w:lang w:val="ro-RO"/>
        </w:rPr>
        <w:t>Nr.</w:t>
      </w:r>
      <w:r w:rsidR="002B679C" w:rsidRPr="00857CDA">
        <w:rPr>
          <w:iCs/>
          <w:lang w:val="ro-RO"/>
        </w:rPr>
        <w:t xml:space="preserve"> ONU</w:t>
      </w:r>
      <w:r w:rsidR="00F12C72" w:rsidRPr="00857CDA">
        <w:rPr>
          <w:iCs/>
          <w:lang w:val="ro-RO"/>
        </w:rPr>
        <w:t xml:space="preserve"> </w:t>
      </w:r>
      <w:r w:rsidR="00F12C72" w:rsidRPr="00857CDA">
        <w:rPr>
          <w:lang w:val="ro-RO"/>
        </w:rPr>
        <w:t>1011, 1049, 1075, 1954, 1965, 1969, 1971</w:t>
      </w:r>
      <w:r w:rsidR="007931DC" w:rsidRPr="00857CDA">
        <w:rPr>
          <w:lang w:val="ro-RO"/>
        </w:rPr>
        <w:t>, 1972</w:t>
      </w:r>
      <w:r w:rsidR="004C27AD" w:rsidRPr="00857CDA">
        <w:rPr>
          <w:lang w:val="ro-RO"/>
        </w:rPr>
        <w:t xml:space="preserve"> și </w:t>
      </w:r>
      <w:r w:rsidR="00F12C72" w:rsidRPr="00857CDA">
        <w:rPr>
          <w:lang w:val="ro-RO"/>
        </w:rPr>
        <w:t>1978</w:t>
      </w:r>
      <w:r w:rsidR="00F12C72" w:rsidRPr="00857CDA">
        <w:rPr>
          <w:iCs/>
          <w:lang w:val="ro-RO"/>
        </w:rPr>
        <w:t xml:space="preserve">, </w:t>
      </w:r>
      <w:r w:rsidR="00121893" w:rsidRPr="00857CDA">
        <w:rPr>
          <w:iCs/>
          <w:lang w:val="ro-RO"/>
        </w:rPr>
        <w:t>în coloana</w:t>
      </w:r>
      <w:r w:rsidR="00F12C72" w:rsidRPr="00857CDA">
        <w:rPr>
          <w:iCs/>
          <w:lang w:val="ro-RO"/>
        </w:rPr>
        <w:t xml:space="preserve"> (6), </w:t>
      </w:r>
      <w:r w:rsidR="00902C44" w:rsidRPr="00857CDA">
        <w:rPr>
          <w:iCs/>
          <w:lang w:val="ro-RO"/>
        </w:rPr>
        <w:t>se adaugă</w:t>
      </w:r>
      <w:r w:rsidR="00F12C72" w:rsidRPr="00857CDA">
        <w:rPr>
          <w:iCs/>
          <w:lang w:val="ro-RO"/>
        </w:rPr>
        <w:t xml:space="preserve"> </w:t>
      </w:r>
      <w:r w:rsidR="00121893" w:rsidRPr="00857CDA">
        <w:rPr>
          <w:lang w:val="ro-RO"/>
        </w:rPr>
        <w:t>„</w:t>
      </w:r>
      <w:r w:rsidR="00F12C72" w:rsidRPr="00857CDA">
        <w:rPr>
          <w:iCs/>
          <w:lang w:val="ro-RO"/>
        </w:rPr>
        <w:t>392</w:t>
      </w:r>
      <w:r w:rsidR="00660131" w:rsidRPr="00857CDA">
        <w:rPr>
          <w:lang w:val="ro-RO"/>
        </w:rPr>
        <w:t>”</w:t>
      </w:r>
      <w:r w:rsidR="004C27AD" w:rsidRPr="00857CDA">
        <w:rPr>
          <w:iCs/>
          <w:lang w:val="ro-RO"/>
        </w:rPr>
        <w:t xml:space="preserve"> și </w:t>
      </w:r>
      <w:r w:rsidR="00902C44" w:rsidRPr="00857CDA">
        <w:rPr>
          <w:iCs/>
          <w:lang w:val="ro-RO"/>
        </w:rPr>
        <w:t>Se șterge</w:t>
      </w:r>
      <w:r w:rsidR="007931DC" w:rsidRPr="00857CDA">
        <w:rPr>
          <w:iCs/>
          <w:lang w:val="ro-RO"/>
        </w:rPr>
        <w:t xml:space="preserve"> </w:t>
      </w:r>
      <w:r w:rsidR="00121893" w:rsidRPr="00857CDA">
        <w:rPr>
          <w:lang w:val="ro-RO"/>
        </w:rPr>
        <w:t>„</w:t>
      </w:r>
      <w:r w:rsidR="007931DC" w:rsidRPr="00857CDA">
        <w:rPr>
          <w:iCs/>
          <w:lang w:val="ro-RO"/>
        </w:rPr>
        <w:t>660</w:t>
      </w:r>
      <w:r w:rsidR="00660131" w:rsidRPr="00857CDA">
        <w:rPr>
          <w:iCs/>
          <w:lang w:val="ro-RO"/>
        </w:rPr>
        <w:t>”</w:t>
      </w:r>
      <w:r w:rsidR="00F12C72" w:rsidRPr="00857CDA">
        <w:rPr>
          <w:iCs/>
          <w:lang w:val="ro-RO"/>
        </w:rPr>
        <w:t>.</w:t>
      </w:r>
    </w:p>
    <w:p w:rsidR="00342D08" w:rsidRPr="00857CDA" w:rsidRDefault="00991390" w:rsidP="00342D08">
      <w:pPr>
        <w:pStyle w:val="SingleTxtG"/>
        <w:rPr>
          <w:lang w:val="ro-RO"/>
        </w:rPr>
      </w:pPr>
      <w:r w:rsidRPr="00857CDA">
        <w:rPr>
          <w:lang w:val="ro-RO"/>
        </w:rPr>
        <w:t>Pentru</w:t>
      </w:r>
      <w:r w:rsidR="00342D08" w:rsidRPr="00857CDA">
        <w:rPr>
          <w:lang w:val="ro-RO"/>
        </w:rPr>
        <w:t xml:space="preserve"> </w:t>
      </w:r>
      <w:r w:rsidR="00121893" w:rsidRPr="00857CDA">
        <w:rPr>
          <w:lang w:val="ro-RO"/>
        </w:rPr>
        <w:t>Nr.</w:t>
      </w:r>
      <w:r w:rsidR="002B679C" w:rsidRPr="00857CDA">
        <w:rPr>
          <w:lang w:val="ro-RO"/>
        </w:rPr>
        <w:t xml:space="preserve"> ONU</w:t>
      </w:r>
      <w:r w:rsidR="007B5EC0" w:rsidRPr="00857CDA">
        <w:rPr>
          <w:lang w:val="ro-RO"/>
        </w:rPr>
        <w:t xml:space="preserve"> </w:t>
      </w:r>
      <w:r w:rsidR="00342D08" w:rsidRPr="00857CDA">
        <w:rPr>
          <w:lang w:val="ro-RO"/>
        </w:rPr>
        <w:t>1011, 1075, 1965, 1969</w:t>
      </w:r>
      <w:r w:rsidR="004C27AD" w:rsidRPr="00857CDA">
        <w:rPr>
          <w:lang w:val="ro-RO"/>
        </w:rPr>
        <w:t xml:space="preserve"> și </w:t>
      </w:r>
      <w:r w:rsidR="00342D08" w:rsidRPr="00857CDA">
        <w:rPr>
          <w:lang w:val="ro-RO"/>
        </w:rPr>
        <w:t xml:space="preserve">1978, </w:t>
      </w:r>
      <w:r w:rsidR="00902C44" w:rsidRPr="00857CDA">
        <w:rPr>
          <w:lang w:val="ro-RO"/>
        </w:rPr>
        <w:t>se adaugă</w:t>
      </w:r>
      <w:r w:rsidR="00342D08" w:rsidRPr="00857CDA">
        <w:rPr>
          <w:lang w:val="ro-RO"/>
        </w:rPr>
        <w:t xml:space="preserve"> </w:t>
      </w:r>
      <w:r w:rsidR="00121893" w:rsidRPr="00857CDA">
        <w:rPr>
          <w:lang w:val="ro-RO"/>
        </w:rPr>
        <w:t>„</w:t>
      </w:r>
      <w:r w:rsidR="00342D08" w:rsidRPr="00857CDA">
        <w:rPr>
          <w:lang w:val="ro-RO"/>
        </w:rPr>
        <w:t>674</w:t>
      </w:r>
      <w:r w:rsidR="00660131" w:rsidRPr="00857CDA">
        <w:rPr>
          <w:lang w:val="ro-RO"/>
        </w:rPr>
        <w:t>”</w:t>
      </w:r>
      <w:r w:rsidR="00342D08" w:rsidRPr="00857CDA">
        <w:rPr>
          <w:lang w:val="ro-RO"/>
        </w:rPr>
        <w:t xml:space="preserve"> </w:t>
      </w:r>
      <w:r w:rsidR="00121893" w:rsidRPr="00857CDA">
        <w:rPr>
          <w:lang w:val="ro-RO"/>
        </w:rPr>
        <w:t>în coloana</w:t>
      </w:r>
      <w:r w:rsidR="00342D08" w:rsidRPr="00857CDA">
        <w:rPr>
          <w:lang w:val="ro-RO"/>
        </w:rPr>
        <w:t xml:space="preserve"> (6).</w:t>
      </w:r>
    </w:p>
    <w:p w:rsidR="002F5575" w:rsidRPr="00857CDA" w:rsidRDefault="00991390" w:rsidP="002F5575">
      <w:pPr>
        <w:pStyle w:val="SingleTxtG"/>
        <w:rPr>
          <w:bCs/>
          <w:iCs/>
          <w:lang w:val="ro-RO"/>
        </w:rPr>
      </w:pPr>
      <w:r w:rsidRPr="00857CDA">
        <w:rPr>
          <w:bCs/>
          <w:iCs/>
          <w:lang w:val="ro-RO"/>
        </w:rPr>
        <w:t>Pentru</w:t>
      </w:r>
      <w:r w:rsidR="002F5575" w:rsidRPr="00857CDA">
        <w:rPr>
          <w:bCs/>
          <w:iCs/>
          <w:lang w:val="ro-RO"/>
        </w:rPr>
        <w:t xml:space="preserve"> </w:t>
      </w:r>
      <w:r w:rsidR="00121893" w:rsidRPr="00857CDA">
        <w:rPr>
          <w:bCs/>
          <w:iCs/>
          <w:lang w:val="ro-RO"/>
        </w:rPr>
        <w:t>Nr.</w:t>
      </w:r>
      <w:r w:rsidR="002B679C" w:rsidRPr="00857CDA">
        <w:rPr>
          <w:bCs/>
          <w:iCs/>
          <w:lang w:val="ro-RO"/>
        </w:rPr>
        <w:t xml:space="preserve"> ONU</w:t>
      </w:r>
      <w:r w:rsidR="002F5575" w:rsidRPr="00857CDA">
        <w:rPr>
          <w:bCs/>
          <w:iCs/>
          <w:lang w:val="ro-RO"/>
        </w:rPr>
        <w:t xml:space="preserve"> 1043, 3166</w:t>
      </w:r>
      <w:r w:rsidR="004C27AD" w:rsidRPr="00857CDA">
        <w:rPr>
          <w:bCs/>
          <w:iCs/>
          <w:lang w:val="ro-RO"/>
        </w:rPr>
        <w:t xml:space="preserve"> și </w:t>
      </w:r>
      <w:r w:rsidR="002F5575" w:rsidRPr="00857CDA">
        <w:rPr>
          <w:bCs/>
          <w:iCs/>
          <w:lang w:val="ro-RO"/>
        </w:rPr>
        <w:t xml:space="preserve">3171, </w:t>
      </w:r>
      <w:r w:rsidR="00121893" w:rsidRPr="00857CDA">
        <w:rPr>
          <w:bCs/>
          <w:iCs/>
          <w:lang w:val="ro-RO"/>
        </w:rPr>
        <w:t>în coloana</w:t>
      </w:r>
      <w:r w:rsidR="002F5575" w:rsidRPr="00857CDA">
        <w:rPr>
          <w:bCs/>
          <w:iCs/>
          <w:lang w:val="ro-RO"/>
        </w:rPr>
        <w:t xml:space="preserve"> (15), </w:t>
      </w:r>
      <w:r w:rsidR="00902C44" w:rsidRPr="00857CDA">
        <w:rPr>
          <w:bCs/>
          <w:iCs/>
          <w:lang w:val="ro-RO"/>
        </w:rPr>
        <w:t>se adaugă</w:t>
      </w:r>
    </w:p>
    <w:p w:rsidR="002F5575" w:rsidRPr="00857CDA" w:rsidRDefault="00121893" w:rsidP="002F5575">
      <w:pPr>
        <w:pStyle w:val="SingleTxtG"/>
        <w:rPr>
          <w:bCs/>
          <w:iCs/>
          <w:lang w:val="ro-RO"/>
        </w:rPr>
      </w:pPr>
      <w:r w:rsidRPr="00857CDA">
        <w:rPr>
          <w:lang w:val="ro-RO"/>
        </w:rPr>
        <w:t>„</w:t>
      </w:r>
      <w:r w:rsidR="002F5575" w:rsidRPr="00857CDA">
        <w:rPr>
          <w:bCs/>
          <w:iCs/>
          <w:lang w:val="ro-RO"/>
        </w:rPr>
        <w:t>- </w:t>
      </w:r>
      <w:r w:rsidR="00F26437" w:rsidRPr="00857CDA">
        <w:rPr>
          <w:bCs/>
          <w:iCs/>
          <w:lang w:val="ro-RO"/>
        </w:rPr>
        <w:br/>
        <w:t xml:space="preserve">  </w:t>
      </w:r>
      <w:r w:rsidR="002F5575" w:rsidRPr="00857CDA">
        <w:rPr>
          <w:bCs/>
          <w:iCs/>
          <w:lang w:val="ro-RO"/>
        </w:rPr>
        <w:t>(-)</w:t>
      </w:r>
      <w:r w:rsidR="00660131" w:rsidRPr="00857CDA">
        <w:rPr>
          <w:bCs/>
          <w:iCs/>
          <w:lang w:val="ro-RO"/>
        </w:rPr>
        <w:t>”</w:t>
      </w:r>
      <w:r w:rsidR="002F5575" w:rsidRPr="00857CDA">
        <w:rPr>
          <w:bCs/>
          <w:iCs/>
          <w:lang w:val="ro-RO"/>
        </w:rPr>
        <w:t>.</w:t>
      </w:r>
    </w:p>
    <w:p w:rsidR="00196C06" w:rsidRPr="00857CDA" w:rsidRDefault="00991390" w:rsidP="00196C06">
      <w:pPr>
        <w:pStyle w:val="SingleTxtG"/>
        <w:rPr>
          <w:lang w:val="ro-RO"/>
        </w:rPr>
      </w:pPr>
      <w:r w:rsidRPr="00857CDA">
        <w:rPr>
          <w:iCs/>
          <w:lang w:val="ro-RO"/>
        </w:rPr>
        <w:t>Pentru</w:t>
      </w:r>
      <w:r w:rsidR="00196C06" w:rsidRPr="00857CDA">
        <w:rPr>
          <w:iCs/>
          <w:lang w:val="ro-RO"/>
        </w:rPr>
        <w:t xml:space="preserve"> </w:t>
      </w:r>
      <w:r w:rsidR="00121893" w:rsidRPr="00857CDA">
        <w:rPr>
          <w:iCs/>
          <w:lang w:val="ro-RO"/>
        </w:rPr>
        <w:t>Nr.</w:t>
      </w:r>
      <w:r w:rsidR="002B679C" w:rsidRPr="00857CDA">
        <w:rPr>
          <w:iCs/>
          <w:lang w:val="ro-RO"/>
        </w:rPr>
        <w:t xml:space="preserve"> ONU</w:t>
      </w:r>
      <w:r w:rsidR="00196C06" w:rsidRPr="00857CDA">
        <w:rPr>
          <w:iCs/>
          <w:lang w:val="ro-RO"/>
        </w:rPr>
        <w:t xml:space="preserve"> 1363, 1386, 1398, 1435, 2217</w:t>
      </w:r>
      <w:r w:rsidR="004C27AD" w:rsidRPr="00857CDA">
        <w:rPr>
          <w:iCs/>
          <w:lang w:val="ro-RO"/>
        </w:rPr>
        <w:t xml:space="preserve"> și </w:t>
      </w:r>
      <w:r w:rsidR="00196C06" w:rsidRPr="00857CDA">
        <w:rPr>
          <w:iCs/>
          <w:lang w:val="ro-RO"/>
        </w:rPr>
        <w:t xml:space="preserve">2793, </w:t>
      </w:r>
      <w:r w:rsidR="00121893" w:rsidRPr="00857CDA">
        <w:rPr>
          <w:iCs/>
          <w:lang w:val="ro-RO"/>
        </w:rPr>
        <w:t>în coloana</w:t>
      </w:r>
      <w:r w:rsidR="00196C06" w:rsidRPr="00857CDA">
        <w:rPr>
          <w:iCs/>
          <w:lang w:val="ro-RO"/>
        </w:rPr>
        <w:t xml:space="preserve"> (10), </w:t>
      </w:r>
      <w:r w:rsidR="00902C44" w:rsidRPr="00857CDA">
        <w:rPr>
          <w:iCs/>
          <w:lang w:val="ro-RO"/>
        </w:rPr>
        <w:t>se adaugă</w:t>
      </w:r>
      <w:r w:rsidR="00196C06" w:rsidRPr="00857CDA">
        <w:rPr>
          <w:iCs/>
          <w:lang w:val="ro-RO"/>
        </w:rPr>
        <w:t xml:space="preserve"> </w:t>
      </w:r>
      <w:r w:rsidR="00121893" w:rsidRPr="00857CDA">
        <w:rPr>
          <w:lang w:val="ro-RO"/>
        </w:rPr>
        <w:t>„</w:t>
      </w:r>
      <w:r w:rsidR="00196C06" w:rsidRPr="00857CDA">
        <w:rPr>
          <w:iCs/>
          <w:lang w:val="ro-RO"/>
        </w:rPr>
        <w:t>BK2</w:t>
      </w:r>
      <w:r w:rsidR="00660131" w:rsidRPr="00857CDA">
        <w:rPr>
          <w:lang w:val="ro-RO"/>
        </w:rPr>
        <w:t>”</w:t>
      </w:r>
      <w:r w:rsidR="00196C06" w:rsidRPr="00857CDA">
        <w:rPr>
          <w:iCs/>
          <w:lang w:val="ro-RO"/>
        </w:rPr>
        <w:t>.</w:t>
      </w:r>
    </w:p>
    <w:p w:rsidR="00512CCD" w:rsidRPr="00857CDA" w:rsidRDefault="00991390" w:rsidP="00512CCD">
      <w:pPr>
        <w:pStyle w:val="SingleTxtG"/>
        <w:rPr>
          <w:lang w:val="ro-RO"/>
        </w:rPr>
      </w:pPr>
      <w:r w:rsidRPr="00857CDA">
        <w:rPr>
          <w:lang w:val="ro-RO"/>
        </w:rPr>
        <w:t>Pentru</w:t>
      </w:r>
      <w:r w:rsidR="00512CCD" w:rsidRPr="00857CDA">
        <w:rPr>
          <w:lang w:val="ro-RO"/>
        </w:rPr>
        <w:t xml:space="preserve"> </w:t>
      </w:r>
      <w:r w:rsidR="00121893" w:rsidRPr="00857CDA">
        <w:rPr>
          <w:lang w:val="ro-RO"/>
        </w:rPr>
        <w:t>Nr.</w:t>
      </w:r>
      <w:r w:rsidR="002B679C" w:rsidRPr="00857CDA">
        <w:rPr>
          <w:lang w:val="ro-RO"/>
        </w:rPr>
        <w:t xml:space="preserve"> ONU</w:t>
      </w:r>
      <w:r w:rsidR="00512CCD" w:rsidRPr="00857CDA">
        <w:rPr>
          <w:lang w:val="ro-RO"/>
        </w:rPr>
        <w:t xml:space="preserve"> 1744, </w:t>
      </w:r>
      <w:r w:rsidR="00902C44" w:rsidRPr="00857CDA">
        <w:rPr>
          <w:lang w:val="ro-RO"/>
        </w:rPr>
        <w:t>se adaugă</w:t>
      </w:r>
      <w:r w:rsidR="00512CCD" w:rsidRPr="00857CDA">
        <w:rPr>
          <w:lang w:val="ro-RO"/>
        </w:rPr>
        <w:t xml:space="preserve"> </w:t>
      </w:r>
      <w:r w:rsidR="00121893" w:rsidRPr="00857CDA">
        <w:rPr>
          <w:lang w:val="ro-RO"/>
        </w:rPr>
        <w:t>„</w:t>
      </w:r>
      <w:r w:rsidR="00512CCD" w:rsidRPr="00857CDA">
        <w:rPr>
          <w:lang w:val="ro-RO"/>
        </w:rPr>
        <w:t>TU43</w:t>
      </w:r>
      <w:r w:rsidR="00660131" w:rsidRPr="00857CDA">
        <w:rPr>
          <w:lang w:val="ro-RO"/>
        </w:rPr>
        <w:t>”</w:t>
      </w:r>
      <w:r w:rsidR="00512CCD" w:rsidRPr="00857CDA">
        <w:rPr>
          <w:lang w:val="ro-RO"/>
        </w:rPr>
        <w:t xml:space="preserve"> </w:t>
      </w:r>
      <w:r w:rsidR="00121893" w:rsidRPr="00857CDA">
        <w:rPr>
          <w:lang w:val="ro-RO"/>
        </w:rPr>
        <w:t>în coloana</w:t>
      </w:r>
      <w:r w:rsidR="00512CCD" w:rsidRPr="00857CDA">
        <w:rPr>
          <w:lang w:val="ro-RO"/>
        </w:rPr>
        <w:t xml:space="preserve"> (13).</w:t>
      </w:r>
    </w:p>
    <w:p w:rsidR="002F085E" w:rsidRPr="00857CDA" w:rsidRDefault="00991390" w:rsidP="002F085E">
      <w:pPr>
        <w:pStyle w:val="SingleTxtG"/>
        <w:rPr>
          <w:lang w:val="ro-RO"/>
        </w:rPr>
      </w:pPr>
      <w:r w:rsidRPr="00857CDA">
        <w:rPr>
          <w:lang w:val="ro-RO"/>
        </w:rPr>
        <w:t>Pentru</w:t>
      </w:r>
      <w:r w:rsidR="002F085E" w:rsidRPr="00857CDA">
        <w:rPr>
          <w:lang w:val="ro-RO"/>
        </w:rPr>
        <w:t xml:space="preserve"> </w:t>
      </w:r>
      <w:r w:rsidR="00121893" w:rsidRPr="00857CDA">
        <w:rPr>
          <w:lang w:val="ro-RO"/>
        </w:rPr>
        <w:t>Nr.</w:t>
      </w:r>
      <w:r w:rsidR="002B679C" w:rsidRPr="00857CDA">
        <w:rPr>
          <w:lang w:val="ro-RO"/>
        </w:rPr>
        <w:t xml:space="preserve"> ONU</w:t>
      </w:r>
      <w:r w:rsidR="002F085E" w:rsidRPr="00857CDA">
        <w:rPr>
          <w:lang w:val="ro-RO"/>
        </w:rPr>
        <w:t xml:space="preserve"> 1755, </w:t>
      </w:r>
      <w:r w:rsidR="00121893" w:rsidRPr="00857CDA">
        <w:rPr>
          <w:lang w:val="ro-RO"/>
        </w:rPr>
        <w:t>grupele de ambalare</w:t>
      </w:r>
      <w:r w:rsidR="002F085E" w:rsidRPr="00857CDA">
        <w:rPr>
          <w:lang w:val="ro-RO"/>
        </w:rPr>
        <w:t xml:space="preserve"> II</w:t>
      </w:r>
      <w:r w:rsidR="004C27AD" w:rsidRPr="00857CDA">
        <w:rPr>
          <w:lang w:val="ro-RO"/>
        </w:rPr>
        <w:t xml:space="preserve"> și </w:t>
      </w:r>
      <w:r w:rsidR="002F085E" w:rsidRPr="00857CDA">
        <w:rPr>
          <w:lang w:val="ro-RO"/>
        </w:rPr>
        <w:t xml:space="preserve">III, 1778, </w:t>
      </w:r>
      <w:r w:rsidR="00217674" w:rsidRPr="00857CDA">
        <w:rPr>
          <w:lang w:val="ro-RO"/>
        </w:rPr>
        <w:t>grupa de ambalare</w:t>
      </w:r>
      <w:r w:rsidR="002F085E" w:rsidRPr="00857CDA">
        <w:rPr>
          <w:lang w:val="ro-RO"/>
        </w:rPr>
        <w:t xml:space="preserve"> II, 1779 </w:t>
      </w:r>
      <w:r w:rsidR="00217674" w:rsidRPr="00857CDA">
        <w:rPr>
          <w:lang w:val="ro-RO"/>
        </w:rPr>
        <w:t>grupa de ambalare</w:t>
      </w:r>
      <w:r w:rsidR="002F085E" w:rsidRPr="00857CDA">
        <w:rPr>
          <w:lang w:val="ro-RO"/>
        </w:rPr>
        <w:t xml:space="preserve"> II, 1788, </w:t>
      </w:r>
      <w:r w:rsidR="00121893" w:rsidRPr="00857CDA">
        <w:rPr>
          <w:lang w:val="ro-RO"/>
        </w:rPr>
        <w:t>grupele de ambalare</w:t>
      </w:r>
      <w:r w:rsidR="002F085E" w:rsidRPr="00857CDA">
        <w:rPr>
          <w:lang w:val="ro-RO"/>
        </w:rPr>
        <w:t xml:space="preserve"> II</w:t>
      </w:r>
      <w:r w:rsidR="004C27AD" w:rsidRPr="00857CDA">
        <w:rPr>
          <w:lang w:val="ro-RO"/>
        </w:rPr>
        <w:t xml:space="preserve"> și </w:t>
      </w:r>
      <w:r w:rsidR="002F085E" w:rsidRPr="00857CDA">
        <w:rPr>
          <w:lang w:val="ro-RO"/>
        </w:rPr>
        <w:t xml:space="preserve">III, 1789, </w:t>
      </w:r>
      <w:r w:rsidR="00121893" w:rsidRPr="00857CDA">
        <w:rPr>
          <w:lang w:val="ro-RO"/>
        </w:rPr>
        <w:t>grupele de ambalare</w:t>
      </w:r>
      <w:r w:rsidR="002F085E" w:rsidRPr="00857CDA">
        <w:rPr>
          <w:lang w:val="ro-RO"/>
        </w:rPr>
        <w:t xml:space="preserve"> II</w:t>
      </w:r>
      <w:r w:rsidR="004C27AD" w:rsidRPr="00857CDA">
        <w:rPr>
          <w:lang w:val="ro-RO"/>
        </w:rPr>
        <w:t xml:space="preserve"> și </w:t>
      </w:r>
      <w:r w:rsidR="002F085E" w:rsidRPr="00857CDA">
        <w:rPr>
          <w:lang w:val="ro-RO"/>
        </w:rPr>
        <w:t xml:space="preserve">III, 1791, </w:t>
      </w:r>
      <w:r w:rsidR="00121893" w:rsidRPr="00857CDA">
        <w:rPr>
          <w:lang w:val="ro-RO"/>
        </w:rPr>
        <w:t>grupele de ambalare</w:t>
      </w:r>
      <w:r w:rsidR="002F085E" w:rsidRPr="00857CDA">
        <w:rPr>
          <w:lang w:val="ro-RO"/>
        </w:rPr>
        <w:t xml:space="preserve"> II</w:t>
      </w:r>
      <w:r w:rsidR="004C27AD" w:rsidRPr="00857CDA">
        <w:rPr>
          <w:lang w:val="ro-RO"/>
        </w:rPr>
        <w:t xml:space="preserve"> și </w:t>
      </w:r>
      <w:r w:rsidR="002F085E" w:rsidRPr="00857CDA">
        <w:rPr>
          <w:lang w:val="ro-RO"/>
        </w:rPr>
        <w:t xml:space="preserve">III, 1803, </w:t>
      </w:r>
      <w:r w:rsidR="00217674" w:rsidRPr="00857CDA">
        <w:rPr>
          <w:lang w:val="ro-RO"/>
        </w:rPr>
        <w:t>grupa de ambalare</w:t>
      </w:r>
      <w:r w:rsidR="002F085E" w:rsidRPr="00857CDA">
        <w:rPr>
          <w:lang w:val="ro-RO"/>
        </w:rPr>
        <w:t xml:space="preserve"> II, 1805, </w:t>
      </w:r>
      <w:r w:rsidR="00217674" w:rsidRPr="00857CDA">
        <w:rPr>
          <w:lang w:val="ro-RO"/>
        </w:rPr>
        <w:t>grupa de ambalare</w:t>
      </w:r>
      <w:r w:rsidR="002F085E" w:rsidRPr="00857CDA">
        <w:rPr>
          <w:lang w:val="ro-RO"/>
        </w:rPr>
        <w:t xml:space="preserve"> III, 1814, </w:t>
      </w:r>
      <w:r w:rsidR="00121893" w:rsidRPr="00857CDA">
        <w:rPr>
          <w:lang w:val="ro-RO"/>
        </w:rPr>
        <w:t>grupele de ambalare</w:t>
      </w:r>
      <w:r w:rsidR="002F085E" w:rsidRPr="00857CDA">
        <w:rPr>
          <w:lang w:val="ro-RO"/>
        </w:rPr>
        <w:t xml:space="preserve"> II</w:t>
      </w:r>
      <w:r w:rsidR="004C27AD" w:rsidRPr="00857CDA">
        <w:rPr>
          <w:lang w:val="ro-RO"/>
        </w:rPr>
        <w:t xml:space="preserve"> și </w:t>
      </w:r>
      <w:r w:rsidR="002F085E" w:rsidRPr="00857CDA">
        <w:rPr>
          <w:lang w:val="ro-RO"/>
        </w:rPr>
        <w:t xml:space="preserve">III, 1819, </w:t>
      </w:r>
      <w:r w:rsidR="00121893" w:rsidRPr="00857CDA">
        <w:rPr>
          <w:lang w:val="ro-RO"/>
        </w:rPr>
        <w:t>grupele de ambalare</w:t>
      </w:r>
      <w:r w:rsidR="002F085E" w:rsidRPr="00857CDA">
        <w:rPr>
          <w:lang w:val="ro-RO"/>
        </w:rPr>
        <w:t xml:space="preserve"> II</w:t>
      </w:r>
      <w:r w:rsidR="004C27AD" w:rsidRPr="00857CDA">
        <w:rPr>
          <w:lang w:val="ro-RO"/>
        </w:rPr>
        <w:t xml:space="preserve"> și </w:t>
      </w:r>
      <w:r w:rsidR="002F085E" w:rsidRPr="00857CDA">
        <w:rPr>
          <w:lang w:val="ro-RO"/>
        </w:rPr>
        <w:t xml:space="preserve">III, 1824, </w:t>
      </w:r>
      <w:r w:rsidR="00121893" w:rsidRPr="00857CDA">
        <w:rPr>
          <w:lang w:val="ro-RO"/>
        </w:rPr>
        <w:t>grupele de ambalare</w:t>
      </w:r>
      <w:r w:rsidR="002F085E" w:rsidRPr="00857CDA">
        <w:rPr>
          <w:lang w:val="ro-RO"/>
        </w:rPr>
        <w:t xml:space="preserve"> II</w:t>
      </w:r>
      <w:r w:rsidR="004C27AD" w:rsidRPr="00857CDA">
        <w:rPr>
          <w:lang w:val="ro-RO"/>
        </w:rPr>
        <w:t xml:space="preserve"> și </w:t>
      </w:r>
      <w:r w:rsidR="002F085E" w:rsidRPr="00857CDA">
        <w:rPr>
          <w:lang w:val="ro-RO"/>
        </w:rPr>
        <w:t xml:space="preserve">III, 1830, </w:t>
      </w:r>
      <w:r w:rsidR="00217674" w:rsidRPr="00857CDA">
        <w:rPr>
          <w:lang w:val="ro-RO"/>
        </w:rPr>
        <w:t>grupa de ambalare</w:t>
      </w:r>
      <w:r w:rsidR="002F085E" w:rsidRPr="00857CDA">
        <w:rPr>
          <w:lang w:val="ro-RO"/>
        </w:rPr>
        <w:t xml:space="preserve"> II, 1832, </w:t>
      </w:r>
      <w:r w:rsidR="00217674" w:rsidRPr="00857CDA">
        <w:rPr>
          <w:lang w:val="ro-RO"/>
        </w:rPr>
        <w:t>grupa de ambalare</w:t>
      </w:r>
      <w:r w:rsidR="002F085E" w:rsidRPr="00857CDA">
        <w:rPr>
          <w:lang w:val="ro-RO"/>
        </w:rPr>
        <w:t xml:space="preserve"> II, 1840, </w:t>
      </w:r>
      <w:r w:rsidR="00217674" w:rsidRPr="00857CDA">
        <w:rPr>
          <w:lang w:val="ro-RO"/>
        </w:rPr>
        <w:t>grupa de ambalare</w:t>
      </w:r>
      <w:r w:rsidR="002F085E" w:rsidRPr="00857CDA">
        <w:rPr>
          <w:lang w:val="ro-RO"/>
        </w:rPr>
        <w:t xml:space="preserve"> III, 1906, </w:t>
      </w:r>
      <w:r w:rsidR="00217674" w:rsidRPr="00857CDA">
        <w:rPr>
          <w:lang w:val="ro-RO"/>
        </w:rPr>
        <w:t>grupa de ambalare</w:t>
      </w:r>
      <w:r w:rsidR="002F085E" w:rsidRPr="00857CDA">
        <w:rPr>
          <w:lang w:val="ro-RO"/>
        </w:rPr>
        <w:t xml:space="preserve"> II, 2031, </w:t>
      </w:r>
      <w:r w:rsidR="00217674" w:rsidRPr="00857CDA">
        <w:rPr>
          <w:lang w:val="ro-RO"/>
        </w:rPr>
        <w:t>grupa de ambalare</w:t>
      </w:r>
      <w:r w:rsidR="002F085E" w:rsidRPr="00857CDA">
        <w:rPr>
          <w:lang w:val="ro-RO"/>
        </w:rPr>
        <w:t xml:space="preserve"> II, 2581, </w:t>
      </w:r>
      <w:r w:rsidR="00217674" w:rsidRPr="00857CDA">
        <w:rPr>
          <w:lang w:val="ro-RO"/>
        </w:rPr>
        <w:t>grupa de ambalare</w:t>
      </w:r>
      <w:r w:rsidR="002F085E" w:rsidRPr="00857CDA">
        <w:rPr>
          <w:lang w:val="ro-RO"/>
        </w:rPr>
        <w:t xml:space="preserve"> III, 2582, </w:t>
      </w:r>
      <w:r w:rsidR="00217674" w:rsidRPr="00857CDA">
        <w:rPr>
          <w:lang w:val="ro-RO"/>
        </w:rPr>
        <w:t>grupa de ambalare</w:t>
      </w:r>
      <w:r w:rsidR="002F085E" w:rsidRPr="00857CDA">
        <w:rPr>
          <w:lang w:val="ro-RO"/>
        </w:rPr>
        <w:t xml:space="preserve"> III, 2586, </w:t>
      </w:r>
      <w:r w:rsidR="00217674" w:rsidRPr="00857CDA">
        <w:rPr>
          <w:lang w:val="ro-RO"/>
        </w:rPr>
        <w:t>grupa de ambalare</w:t>
      </w:r>
      <w:r w:rsidR="002F085E" w:rsidRPr="00857CDA">
        <w:rPr>
          <w:lang w:val="ro-RO"/>
        </w:rPr>
        <w:t xml:space="preserve"> III, 2693, </w:t>
      </w:r>
      <w:r w:rsidR="00217674" w:rsidRPr="00857CDA">
        <w:rPr>
          <w:lang w:val="ro-RO"/>
        </w:rPr>
        <w:t>grupa de ambalare</w:t>
      </w:r>
      <w:r w:rsidR="002F085E" w:rsidRPr="00857CDA">
        <w:rPr>
          <w:lang w:val="ro-RO"/>
        </w:rPr>
        <w:t xml:space="preserve"> III, 2796, </w:t>
      </w:r>
      <w:r w:rsidR="00217674" w:rsidRPr="00857CDA">
        <w:rPr>
          <w:lang w:val="ro-RO"/>
        </w:rPr>
        <w:t>grupa de ambalare</w:t>
      </w:r>
      <w:r w:rsidR="002F085E" w:rsidRPr="00857CDA">
        <w:rPr>
          <w:lang w:val="ro-RO"/>
        </w:rPr>
        <w:t xml:space="preserve"> II, 3264, </w:t>
      </w:r>
      <w:r w:rsidR="00121893" w:rsidRPr="00857CDA">
        <w:rPr>
          <w:lang w:val="ro-RO"/>
        </w:rPr>
        <w:t>grupele de ambalare</w:t>
      </w:r>
      <w:r w:rsidR="00D46107" w:rsidRPr="00857CDA">
        <w:rPr>
          <w:lang w:val="ro-RO"/>
        </w:rPr>
        <w:t xml:space="preserve"> II</w:t>
      </w:r>
      <w:r w:rsidR="004C27AD" w:rsidRPr="00857CDA">
        <w:rPr>
          <w:lang w:val="ro-RO"/>
        </w:rPr>
        <w:t xml:space="preserve"> și </w:t>
      </w:r>
      <w:r w:rsidR="00D46107" w:rsidRPr="00857CDA">
        <w:rPr>
          <w:lang w:val="ro-RO"/>
        </w:rPr>
        <w:t>III</w:t>
      </w:r>
      <w:r w:rsidR="004C27AD" w:rsidRPr="00857CDA">
        <w:rPr>
          <w:lang w:val="ro-RO"/>
        </w:rPr>
        <w:t xml:space="preserve"> și </w:t>
      </w:r>
      <w:r w:rsidR="00D46107" w:rsidRPr="00857CDA">
        <w:rPr>
          <w:lang w:val="ro-RO"/>
        </w:rPr>
        <w:t xml:space="preserve">3266, </w:t>
      </w:r>
      <w:r w:rsidR="00121893" w:rsidRPr="00857CDA">
        <w:rPr>
          <w:lang w:val="ro-RO"/>
        </w:rPr>
        <w:t>grupele de ambalare</w:t>
      </w:r>
      <w:r w:rsidR="00D46107" w:rsidRPr="00857CDA">
        <w:rPr>
          <w:lang w:val="ro-RO"/>
        </w:rPr>
        <w:t xml:space="preserve"> II</w:t>
      </w:r>
      <w:r w:rsidR="004C27AD" w:rsidRPr="00857CDA">
        <w:rPr>
          <w:lang w:val="ro-RO"/>
        </w:rPr>
        <w:t xml:space="preserve"> și </w:t>
      </w:r>
      <w:r w:rsidR="00D46107" w:rsidRPr="00857CDA">
        <w:rPr>
          <w:lang w:val="ro-RO"/>
        </w:rPr>
        <w:t>III,</w:t>
      </w:r>
      <w:r w:rsidR="002F085E" w:rsidRPr="00857CDA">
        <w:rPr>
          <w:lang w:val="ro-RO"/>
        </w:rPr>
        <w:t xml:space="preserve"> </w:t>
      </w:r>
      <w:r w:rsidR="00902C44" w:rsidRPr="00857CDA">
        <w:rPr>
          <w:lang w:val="ro-RO"/>
        </w:rPr>
        <w:t>se adaugă</w:t>
      </w:r>
      <w:r w:rsidR="002F085E" w:rsidRPr="00857CDA">
        <w:rPr>
          <w:lang w:val="ro-RO"/>
        </w:rPr>
        <w:t xml:space="preserve"> </w:t>
      </w:r>
      <w:r w:rsidR="00121893" w:rsidRPr="00857CDA">
        <w:rPr>
          <w:lang w:val="ro-RO"/>
        </w:rPr>
        <w:t>„</w:t>
      </w:r>
      <w:r w:rsidR="002F085E" w:rsidRPr="00857CDA">
        <w:rPr>
          <w:lang w:val="ro-RO"/>
        </w:rPr>
        <w:t>TU42</w:t>
      </w:r>
      <w:r w:rsidR="00660131" w:rsidRPr="00857CDA">
        <w:rPr>
          <w:lang w:val="ro-RO"/>
        </w:rPr>
        <w:t>”</w:t>
      </w:r>
      <w:r w:rsidR="002F085E" w:rsidRPr="00857CDA">
        <w:rPr>
          <w:lang w:val="ro-RO"/>
        </w:rPr>
        <w:t xml:space="preserve"> </w:t>
      </w:r>
      <w:r w:rsidR="00121893" w:rsidRPr="00857CDA">
        <w:rPr>
          <w:lang w:val="ro-RO"/>
        </w:rPr>
        <w:t>în coloana</w:t>
      </w:r>
      <w:r w:rsidR="002F085E" w:rsidRPr="00857CDA">
        <w:rPr>
          <w:lang w:val="ro-RO"/>
        </w:rPr>
        <w:t> (13).</w:t>
      </w:r>
    </w:p>
    <w:p w:rsidR="008E1085" w:rsidRPr="00857CDA" w:rsidRDefault="00991390" w:rsidP="008E1085">
      <w:pPr>
        <w:spacing w:before="120" w:after="120" w:line="240" w:lineRule="auto"/>
        <w:ind w:left="1134" w:right="1134"/>
        <w:jc w:val="both"/>
        <w:rPr>
          <w:iCs/>
          <w:lang w:val="ro-RO"/>
        </w:rPr>
      </w:pPr>
      <w:r w:rsidRPr="00857CDA">
        <w:rPr>
          <w:iCs/>
          <w:lang w:val="ro-RO"/>
        </w:rPr>
        <w:lastRenderedPageBreak/>
        <w:t>Pentru</w:t>
      </w:r>
      <w:r w:rsidR="008E1085" w:rsidRPr="00857CDA">
        <w:rPr>
          <w:iCs/>
          <w:lang w:val="ro-RO"/>
        </w:rPr>
        <w:t xml:space="preserve"> </w:t>
      </w:r>
      <w:r w:rsidR="00121893" w:rsidRPr="00857CDA">
        <w:rPr>
          <w:iCs/>
          <w:lang w:val="ro-RO"/>
        </w:rPr>
        <w:t>Nr.</w:t>
      </w:r>
      <w:r w:rsidR="002B679C" w:rsidRPr="00857CDA">
        <w:rPr>
          <w:iCs/>
          <w:lang w:val="ro-RO"/>
        </w:rPr>
        <w:t xml:space="preserve"> ONU</w:t>
      </w:r>
      <w:r w:rsidR="008E1085" w:rsidRPr="00857CDA">
        <w:rPr>
          <w:iCs/>
          <w:lang w:val="ro-RO"/>
        </w:rPr>
        <w:t xml:space="preserve"> 2067, </w:t>
      </w:r>
      <w:r w:rsidR="00902C44" w:rsidRPr="00857CDA">
        <w:rPr>
          <w:iCs/>
          <w:lang w:val="ro-RO"/>
        </w:rPr>
        <w:t>Se șterge</w:t>
      </w:r>
      <w:r w:rsidR="008E1085" w:rsidRPr="00857CDA">
        <w:rPr>
          <w:iCs/>
          <w:lang w:val="ro-RO"/>
        </w:rPr>
        <w:t xml:space="preserve"> </w:t>
      </w:r>
      <w:r w:rsidR="00121893" w:rsidRPr="00857CDA">
        <w:rPr>
          <w:lang w:val="ro-RO"/>
        </w:rPr>
        <w:t>„</w:t>
      </w:r>
      <w:r w:rsidR="008E1085" w:rsidRPr="00857CDA">
        <w:rPr>
          <w:iCs/>
          <w:lang w:val="ro-RO"/>
        </w:rPr>
        <w:t>186</w:t>
      </w:r>
      <w:r w:rsidR="00660131" w:rsidRPr="00857CDA">
        <w:rPr>
          <w:lang w:val="ro-RO"/>
        </w:rPr>
        <w:t>”</w:t>
      </w:r>
      <w:r w:rsidR="008E1085" w:rsidRPr="00857CDA">
        <w:rPr>
          <w:iCs/>
          <w:lang w:val="ro-RO"/>
        </w:rPr>
        <w:t xml:space="preserve"> </w:t>
      </w:r>
      <w:r w:rsidR="00435CA2" w:rsidRPr="00857CDA">
        <w:rPr>
          <w:iCs/>
          <w:lang w:val="ro-RO"/>
        </w:rPr>
        <w:t>di</w:t>
      </w:r>
      <w:r w:rsidR="00121893" w:rsidRPr="00857CDA">
        <w:rPr>
          <w:iCs/>
          <w:lang w:val="ro-RO"/>
        </w:rPr>
        <w:t>n coloana</w:t>
      </w:r>
      <w:r w:rsidR="008E1085" w:rsidRPr="00857CDA">
        <w:rPr>
          <w:iCs/>
          <w:lang w:val="ro-RO"/>
        </w:rPr>
        <w:t xml:space="preserve"> (6).</w:t>
      </w:r>
    </w:p>
    <w:p w:rsidR="007931DC" w:rsidRPr="00857CDA" w:rsidRDefault="00991390" w:rsidP="008E1085">
      <w:pPr>
        <w:spacing w:before="120" w:after="120" w:line="240" w:lineRule="auto"/>
        <w:ind w:left="1134" w:right="1134"/>
        <w:jc w:val="both"/>
        <w:rPr>
          <w:lang w:val="ro-RO"/>
        </w:rPr>
      </w:pPr>
      <w:r w:rsidRPr="00857CDA">
        <w:rPr>
          <w:iCs/>
          <w:lang w:val="ro-RO"/>
        </w:rPr>
        <w:t>Pentru</w:t>
      </w:r>
      <w:r w:rsidR="007931DC" w:rsidRPr="00857CDA">
        <w:rPr>
          <w:iCs/>
          <w:lang w:val="ro-RO"/>
        </w:rPr>
        <w:t xml:space="preserve"> </w:t>
      </w:r>
      <w:r w:rsidR="00121893" w:rsidRPr="00857CDA">
        <w:rPr>
          <w:iCs/>
          <w:lang w:val="ro-RO"/>
        </w:rPr>
        <w:t>Nr.</w:t>
      </w:r>
      <w:r w:rsidR="002B679C" w:rsidRPr="00857CDA">
        <w:rPr>
          <w:iCs/>
          <w:lang w:val="ro-RO"/>
        </w:rPr>
        <w:t xml:space="preserve"> ONU</w:t>
      </w:r>
      <w:r w:rsidR="007931DC" w:rsidRPr="00857CDA">
        <w:rPr>
          <w:iCs/>
          <w:lang w:val="ro-RO"/>
        </w:rPr>
        <w:t xml:space="preserve"> 2071, </w:t>
      </w:r>
      <w:r w:rsidR="00121893" w:rsidRPr="00857CDA">
        <w:rPr>
          <w:iCs/>
          <w:lang w:val="ro-RO"/>
        </w:rPr>
        <w:t>în coloana</w:t>
      </w:r>
      <w:r w:rsidR="007931DC" w:rsidRPr="00857CDA">
        <w:rPr>
          <w:iCs/>
          <w:lang w:val="ro-RO"/>
        </w:rPr>
        <w:t xml:space="preserve"> (2), </w:t>
      </w:r>
      <w:r w:rsidR="002B679C" w:rsidRPr="00857CDA">
        <w:rPr>
          <w:iCs/>
          <w:lang w:val="ro-RO"/>
        </w:rPr>
        <w:t>se modifică</w:t>
      </w:r>
      <w:r w:rsidR="007931DC" w:rsidRPr="00857CDA">
        <w:rPr>
          <w:iCs/>
          <w:lang w:val="ro-RO"/>
        </w:rPr>
        <w:t xml:space="preserve"> </w:t>
      </w:r>
      <w:r w:rsidR="00435CA2" w:rsidRPr="00857CDA">
        <w:rPr>
          <w:iCs/>
          <w:lang w:val="ro-RO"/>
        </w:rPr>
        <w:t>denumirea, după cum urmează:</w:t>
      </w:r>
      <w:r w:rsidR="007931DC" w:rsidRPr="00857CDA">
        <w:rPr>
          <w:iCs/>
          <w:lang w:val="ro-RO"/>
        </w:rPr>
        <w:t xml:space="preserve"> </w:t>
      </w:r>
      <w:r w:rsidR="00121893" w:rsidRPr="00857CDA">
        <w:rPr>
          <w:lang w:val="ro-RO"/>
        </w:rPr>
        <w:t>„</w:t>
      </w:r>
      <w:r w:rsidR="000A1FEE" w:rsidRPr="00857CDA">
        <w:rPr>
          <w:lang w:val="ro-RO"/>
        </w:rPr>
        <w:t>ÎNGRĂȘĂMINTE CU AZOTAT DE AMONIU sau ÎNGRĂȘĂMINTE CU NITRAT DE AMONIU</w:t>
      </w:r>
      <w:r w:rsidR="00660131" w:rsidRPr="00857CDA">
        <w:rPr>
          <w:lang w:val="ro-RO"/>
        </w:rPr>
        <w:t>”</w:t>
      </w:r>
      <w:r w:rsidR="007931DC" w:rsidRPr="00857CDA">
        <w:rPr>
          <w:lang w:val="ro-RO"/>
        </w:rPr>
        <w:t xml:space="preserve">. </w:t>
      </w:r>
      <w:r w:rsidR="00121893" w:rsidRPr="00857CDA">
        <w:rPr>
          <w:lang w:val="ro-RO"/>
        </w:rPr>
        <w:t>În coloana</w:t>
      </w:r>
      <w:r w:rsidR="007931DC" w:rsidRPr="00857CDA">
        <w:rPr>
          <w:lang w:val="ro-RO"/>
        </w:rPr>
        <w:t xml:space="preserve"> (3b), </w:t>
      </w:r>
      <w:r w:rsidR="00902C44" w:rsidRPr="00857CDA">
        <w:rPr>
          <w:lang w:val="ro-RO"/>
        </w:rPr>
        <w:t>se adaugă</w:t>
      </w:r>
      <w:r w:rsidR="007931DC" w:rsidRPr="00857CDA">
        <w:rPr>
          <w:lang w:val="ro-RO"/>
        </w:rPr>
        <w:t xml:space="preserve"> </w:t>
      </w:r>
      <w:r w:rsidR="00121893" w:rsidRPr="00857CDA">
        <w:rPr>
          <w:lang w:val="ro-RO"/>
        </w:rPr>
        <w:t>„</w:t>
      </w:r>
      <w:r w:rsidR="007931DC" w:rsidRPr="00857CDA">
        <w:rPr>
          <w:lang w:val="ro-RO"/>
        </w:rPr>
        <w:t>M11</w:t>
      </w:r>
      <w:r w:rsidR="00660131" w:rsidRPr="00857CDA">
        <w:rPr>
          <w:lang w:val="ro-RO"/>
        </w:rPr>
        <w:t>”</w:t>
      </w:r>
      <w:r w:rsidR="007931DC" w:rsidRPr="00857CDA">
        <w:rPr>
          <w:lang w:val="ro-RO"/>
        </w:rPr>
        <w:t>.</w:t>
      </w:r>
    </w:p>
    <w:p w:rsidR="00477B36" w:rsidRPr="00857CDA" w:rsidRDefault="00991390" w:rsidP="00477B36">
      <w:pPr>
        <w:spacing w:before="120" w:after="120" w:line="240" w:lineRule="auto"/>
        <w:ind w:left="1134" w:right="1134"/>
        <w:jc w:val="both"/>
        <w:rPr>
          <w:iCs/>
          <w:lang w:val="ro-RO"/>
        </w:rPr>
      </w:pPr>
      <w:r w:rsidRPr="00857CDA">
        <w:rPr>
          <w:iCs/>
          <w:lang w:val="ro-RO"/>
        </w:rPr>
        <w:t>Pentru</w:t>
      </w:r>
      <w:r w:rsidR="00477B36" w:rsidRPr="00857CDA">
        <w:rPr>
          <w:iCs/>
          <w:lang w:val="ro-RO"/>
        </w:rPr>
        <w:t xml:space="preserve"> </w:t>
      </w:r>
      <w:r w:rsidR="00121893" w:rsidRPr="00857CDA">
        <w:rPr>
          <w:iCs/>
          <w:lang w:val="ro-RO"/>
        </w:rPr>
        <w:t>Nr.</w:t>
      </w:r>
      <w:r w:rsidR="002B679C" w:rsidRPr="00857CDA">
        <w:rPr>
          <w:iCs/>
          <w:lang w:val="ro-RO"/>
        </w:rPr>
        <w:t xml:space="preserve"> ONU</w:t>
      </w:r>
      <w:r w:rsidR="00477B36" w:rsidRPr="00857CDA">
        <w:rPr>
          <w:iCs/>
          <w:lang w:val="ro-RO"/>
        </w:rPr>
        <w:t xml:space="preserve"> 2071, </w:t>
      </w:r>
      <w:r w:rsidR="00902C44" w:rsidRPr="00857CDA">
        <w:rPr>
          <w:iCs/>
          <w:lang w:val="ro-RO"/>
        </w:rPr>
        <w:t>Se șterge</w:t>
      </w:r>
      <w:r w:rsidR="00477B36" w:rsidRPr="00857CDA">
        <w:rPr>
          <w:iCs/>
          <w:lang w:val="ro-RO"/>
        </w:rPr>
        <w:t xml:space="preserve"> </w:t>
      </w:r>
      <w:r w:rsidR="00121893" w:rsidRPr="00857CDA">
        <w:rPr>
          <w:lang w:val="ro-RO"/>
        </w:rPr>
        <w:t>„</w:t>
      </w:r>
      <w:r w:rsidR="007C4A3C" w:rsidRPr="00857CDA">
        <w:rPr>
          <w:iCs/>
          <w:lang w:val="ro-RO"/>
        </w:rPr>
        <w:t>NU FACE OBIECTUL ADR</w:t>
      </w:r>
      <w:r w:rsidR="00660131" w:rsidRPr="00857CDA">
        <w:rPr>
          <w:iCs/>
          <w:lang w:val="ro-RO"/>
        </w:rPr>
        <w:t>”</w:t>
      </w:r>
      <w:r w:rsidR="00477B36" w:rsidRPr="00857CDA">
        <w:rPr>
          <w:iCs/>
          <w:lang w:val="ro-RO"/>
        </w:rPr>
        <w:t xml:space="preserve">. </w:t>
      </w:r>
      <w:r w:rsidR="00121893" w:rsidRPr="00857CDA">
        <w:rPr>
          <w:iCs/>
          <w:lang w:val="ro-RO"/>
        </w:rPr>
        <w:t>În coloana</w:t>
      </w:r>
      <w:r w:rsidR="00477B36" w:rsidRPr="00857CDA">
        <w:rPr>
          <w:iCs/>
          <w:lang w:val="ro-RO"/>
        </w:rPr>
        <w:t xml:space="preserve"> (5), </w:t>
      </w:r>
      <w:r w:rsidR="00902C44" w:rsidRPr="00857CDA">
        <w:rPr>
          <w:iCs/>
          <w:lang w:val="ro-RO"/>
        </w:rPr>
        <w:t>se adaugă</w:t>
      </w:r>
      <w:r w:rsidR="00477B36" w:rsidRPr="00857CDA">
        <w:rPr>
          <w:iCs/>
          <w:lang w:val="ro-RO"/>
        </w:rPr>
        <w:t xml:space="preserve"> </w:t>
      </w:r>
      <w:r w:rsidR="00121893" w:rsidRPr="00857CDA">
        <w:rPr>
          <w:lang w:val="ro-RO"/>
        </w:rPr>
        <w:t>„</w:t>
      </w:r>
      <w:r w:rsidR="00477B36" w:rsidRPr="00857CDA">
        <w:rPr>
          <w:iCs/>
          <w:lang w:val="ro-RO"/>
        </w:rPr>
        <w:t>193</w:t>
      </w:r>
      <w:r w:rsidR="00660131" w:rsidRPr="00857CDA">
        <w:rPr>
          <w:iCs/>
          <w:lang w:val="ro-RO"/>
        </w:rPr>
        <w:t>”</w:t>
      </w:r>
      <w:r w:rsidR="00477B36" w:rsidRPr="00857CDA">
        <w:rPr>
          <w:iCs/>
          <w:lang w:val="ro-RO"/>
        </w:rPr>
        <w:t>.</w:t>
      </w:r>
    </w:p>
    <w:p w:rsidR="005C3B29" w:rsidRPr="00857CDA" w:rsidRDefault="00991390" w:rsidP="005C3B29">
      <w:pPr>
        <w:spacing w:before="120" w:after="120" w:line="240" w:lineRule="auto"/>
        <w:ind w:left="1134" w:right="1134"/>
        <w:jc w:val="both"/>
        <w:rPr>
          <w:iCs/>
          <w:lang w:val="ro-RO"/>
        </w:rPr>
      </w:pPr>
      <w:r w:rsidRPr="00857CDA">
        <w:rPr>
          <w:iCs/>
          <w:lang w:val="ro-RO"/>
        </w:rPr>
        <w:t>Pentru</w:t>
      </w:r>
      <w:r w:rsidR="005C3B29" w:rsidRPr="00857CDA">
        <w:rPr>
          <w:iCs/>
          <w:lang w:val="ro-RO"/>
        </w:rPr>
        <w:t xml:space="preserve"> </w:t>
      </w:r>
      <w:r w:rsidR="00121893" w:rsidRPr="00857CDA">
        <w:rPr>
          <w:iCs/>
          <w:lang w:val="ro-RO"/>
        </w:rPr>
        <w:t>Nr.</w:t>
      </w:r>
      <w:r w:rsidR="002B679C" w:rsidRPr="00857CDA">
        <w:rPr>
          <w:iCs/>
          <w:lang w:val="ro-RO"/>
        </w:rPr>
        <w:t xml:space="preserve"> ONU</w:t>
      </w:r>
      <w:r w:rsidR="005C3B29" w:rsidRPr="00857CDA">
        <w:rPr>
          <w:iCs/>
          <w:lang w:val="ro-RO"/>
        </w:rPr>
        <w:t xml:space="preserve"> 2381, </w:t>
      </w:r>
      <w:r w:rsidR="00902C44" w:rsidRPr="00857CDA">
        <w:rPr>
          <w:iCs/>
          <w:lang w:val="ro-RO"/>
        </w:rPr>
        <w:t>Se șterge</w:t>
      </w:r>
      <w:r w:rsidR="005C3B29" w:rsidRPr="00857CDA">
        <w:rPr>
          <w:iCs/>
          <w:lang w:val="ro-RO"/>
        </w:rPr>
        <w:t xml:space="preserve"> </w:t>
      </w:r>
      <w:r w:rsidR="00121893" w:rsidRPr="00857CDA">
        <w:rPr>
          <w:lang w:val="ro-RO"/>
        </w:rPr>
        <w:t>„</w:t>
      </w:r>
      <w:r w:rsidR="005C3B29" w:rsidRPr="00857CDA">
        <w:rPr>
          <w:iCs/>
          <w:lang w:val="ro-RO"/>
        </w:rPr>
        <w:t>TP38</w:t>
      </w:r>
      <w:r w:rsidR="00660131" w:rsidRPr="00857CDA">
        <w:rPr>
          <w:lang w:val="ro-RO"/>
        </w:rPr>
        <w:t>”</w:t>
      </w:r>
      <w:r w:rsidR="005C3B29" w:rsidRPr="00857CDA">
        <w:rPr>
          <w:iCs/>
          <w:lang w:val="ro-RO"/>
        </w:rPr>
        <w:t xml:space="preserve"> </w:t>
      </w:r>
      <w:r w:rsidR="00121893" w:rsidRPr="00857CDA">
        <w:rPr>
          <w:iCs/>
          <w:lang w:val="ro-RO"/>
        </w:rPr>
        <w:t>în coloana</w:t>
      </w:r>
      <w:r w:rsidR="005C3B29" w:rsidRPr="00857CDA">
        <w:rPr>
          <w:iCs/>
          <w:lang w:val="ro-RO"/>
        </w:rPr>
        <w:t xml:space="preserve"> (11).</w:t>
      </w:r>
    </w:p>
    <w:p w:rsidR="00196C06" w:rsidRPr="00857CDA" w:rsidRDefault="00991390" w:rsidP="00196C06">
      <w:pPr>
        <w:pStyle w:val="SingleTxtG"/>
        <w:rPr>
          <w:iCs/>
          <w:lang w:val="ro-RO"/>
        </w:rPr>
      </w:pPr>
      <w:r w:rsidRPr="00857CDA">
        <w:rPr>
          <w:iCs/>
          <w:lang w:val="ro-RO"/>
        </w:rPr>
        <w:t>Pentru</w:t>
      </w:r>
      <w:r w:rsidR="00196C06" w:rsidRPr="00857CDA">
        <w:rPr>
          <w:iCs/>
          <w:lang w:val="ro-RO"/>
        </w:rPr>
        <w:t xml:space="preserve"> </w:t>
      </w:r>
      <w:r w:rsidR="00121893" w:rsidRPr="00857CDA">
        <w:rPr>
          <w:iCs/>
          <w:lang w:val="ro-RO"/>
        </w:rPr>
        <w:t>Nr.</w:t>
      </w:r>
      <w:r w:rsidR="002B679C" w:rsidRPr="00857CDA">
        <w:rPr>
          <w:iCs/>
          <w:lang w:val="ro-RO"/>
        </w:rPr>
        <w:t xml:space="preserve"> ONU</w:t>
      </w:r>
      <w:r w:rsidR="00196C06" w:rsidRPr="00857CDA">
        <w:rPr>
          <w:iCs/>
          <w:lang w:val="ro-RO"/>
        </w:rPr>
        <w:t xml:space="preserve"> 3090, 3091, 3480</w:t>
      </w:r>
      <w:r w:rsidR="004C27AD" w:rsidRPr="00857CDA">
        <w:rPr>
          <w:iCs/>
          <w:lang w:val="ro-RO"/>
        </w:rPr>
        <w:t xml:space="preserve"> și </w:t>
      </w:r>
      <w:r w:rsidR="00196C06" w:rsidRPr="00857CDA">
        <w:rPr>
          <w:iCs/>
          <w:lang w:val="ro-RO"/>
        </w:rPr>
        <w:t xml:space="preserve">3481, </w:t>
      </w:r>
      <w:r w:rsidR="00902C44" w:rsidRPr="00857CDA">
        <w:rPr>
          <w:iCs/>
          <w:lang w:val="ro-RO"/>
        </w:rPr>
        <w:t>se adaugă</w:t>
      </w:r>
      <w:r w:rsidR="00196C06" w:rsidRPr="00857CDA">
        <w:rPr>
          <w:iCs/>
          <w:lang w:val="ro-RO"/>
        </w:rPr>
        <w:t xml:space="preserve"> </w:t>
      </w:r>
      <w:r w:rsidR="00121893" w:rsidRPr="00857CDA">
        <w:rPr>
          <w:lang w:val="ro-RO"/>
        </w:rPr>
        <w:t>„</w:t>
      </w:r>
      <w:r w:rsidR="00196C06" w:rsidRPr="00857CDA">
        <w:rPr>
          <w:iCs/>
          <w:lang w:val="ro-RO"/>
        </w:rPr>
        <w:t>387</w:t>
      </w:r>
      <w:r w:rsidR="00660131" w:rsidRPr="00857CDA">
        <w:rPr>
          <w:lang w:val="ro-RO"/>
        </w:rPr>
        <w:t>”</w:t>
      </w:r>
      <w:r w:rsidR="00196C06" w:rsidRPr="00857CDA">
        <w:rPr>
          <w:iCs/>
          <w:lang w:val="ro-RO"/>
        </w:rPr>
        <w:t xml:space="preserve"> </w:t>
      </w:r>
      <w:r w:rsidR="00121893" w:rsidRPr="00857CDA">
        <w:rPr>
          <w:iCs/>
          <w:lang w:val="ro-RO"/>
        </w:rPr>
        <w:t>în coloana</w:t>
      </w:r>
      <w:r w:rsidR="00196C06" w:rsidRPr="00857CDA">
        <w:rPr>
          <w:iCs/>
          <w:lang w:val="ro-RO"/>
        </w:rPr>
        <w:t xml:space="preserve"> (6).</w:t>
      </w:r>
      <w:r w:rsidR="007931DC" w:rsidRPr="00857CDA">
        <w:rPr>
          <w:iCs/>
          <w:lang w:val="ro-RO"/>
        </w:rPr>
        <w:t xml:space="preserve"> </w:t>
      </w:r>
      <w:r w:rsidR="00121893" w:rsidRPr="00857CDA">
        <w:rPr>
          <w:iCs/>
          <w:lang w:val="ro-RO"/>
        </w:rPr>
        <w:t>În coloana</w:t>
      </w:r>
      <w:r w:rsidR="007931DC" w:rsidRPr="00857CDA">
        <w:rPr>
          <w:iCs/>
          <w:lang w:val="ro-RO"/>
        </w:rPr>
        <w:t xml:space="preserve"> (8), </w:t>
      </w:r>
      <w:r w:rsidR="00902C44" w:rsidRPr="00857CDA">
        <w:rPr>
          <w:iCs/>
          <w:lang w:val="ro-RO"/>
        </w:rPr>
        <w:t>se adaugă</w:t>
      </w:r>
      <w:r w:rsidR="007931DC" w:rsidRPr="00857CDA">
        <w:rPr>
          <w:iCs/>
          <w:lang w:val="ro-RO"/>
        </w:rPr>
        <w:t xml:space="preserve"> </w:t>
      </w:r>
      <w:r w:rsidR="00121893" w:rsidRPr="00857CDA">
        <w:rPr>
          <w:lang w:val="ro-RO"/>
        </w:rPr>
        <w:t>„</w:t>
      </w:r>
      <w:r w:rsidR="007931DC" w:rsidRPr="00857CDA">
        <w:rPr>
          <w:iCs/>
          <w:lang w:val="ro-RO"/>
        </w:rPr>
        <w:t>P911</w:t>
      </w:r>
      <w:r w:rsidR="00660131" w:rsidRPr="00857CDA">
        <w:rPr>
          <w:iCs/>
          <w:lang w:val="ro-RO"/>
        </w:rPr>
        <w:t>”</w:t>
      </w:r>
      <w:r w:rsidR="004C27AD" w:rsidRPr="00857CDA">
        <w:rPr>
          <w:iCs/>
          <w:lang w:val="ro-RO"/>
        </w:rPr>
        <w:t xml:space="preserve"> și </w:t>
      </w:r>
      <w:r w:rsidR="00121893" w:rsidRPr="00857CDA">
        <w:rPr>
          <w:lang w:val="ro-RO"/>
        </w:rPr>
        <w:t>„</w:t>
      </w:r>
      <w:r w:rsidR="007931DC" w:rsidRPr="00857CDA">
        <w:rPr>
          <w:iCs/>
          <w:lang w:val="ro-RO"/>
        </w:rPr>
        <w:t>LP905 LP906</w:t>
      </w:r>
      <w:r w:rsidR="00660131" w:rsidRPr="00857CDA">
        <w:rPr>
          <w:iCs/>
          <w:lang w:val="ro-RO"/>
        </w:rPr>
        <w:t>”</w:t>
      </w:r>
      <w:r w:rsidR="007931DC" w:rsidRPr="00857CDA">
        <w:rPr>
          <w:iCs/>
          <w:lang w:val="ro-RO"/>
        </w:rPr>
        <w:t>.</w:t>
      </w:r>
    </w:p>
    <w:p w:rsidR="002F085E" w:rsidRPr="00857CDA" w:rsidRDefault="00991390" w:rsidP="002F085E">
      <w:pPr>
        <w:pStyle w:val="SingleTxtG"/>
        <w:rPr>
          <w:rFonts w:eastAsia="MS Mincho"/>
          <w:lang w:val="ro-RO" w:eastAsia="nl-NL"/>
        </w:rPr>
      </w:pPr>
      <w:r w:rsidRPr="00857CDA">
        <w:rPr>
          <w:rFonts w:eastAsia="MS Mincho"/>
          <w:lang w:val="ro-RO" w:eastAsia="nl-NL"/>
        </w:rPr>
        <w:t>Pentru</w:t>
      </w:r>
      <w:r w:rsidR="002F085E" w:rsidRPr="00857CDA">
        <w:rPr>
          <w:rFonts w:eastAsia="MS Mincho"/>
          <w:lang w:val="ro-RO" w:eastAsia="nl-NL"/>
        </w:rPr>
        <w:t xml:space="preserve"> </w:t>
      </w:r>
      <w:r w:rsidR="00121893" w:rsidRPr="00857CDA">
        <w:rPr>
          <w:rFonts w:eastAsia="MS Mincho"/>
          <w:lang w:val="ro-RO" w:eastAsia="nl-NL"/>
        </w:rPr>
        <w:t>Nr.</w:t>
      </w:r>
      <w:r w:rsidR="002B679C" w:rsidRPr="00857CDA">
        <w:rPr>
          <w:rFonts w:eastAsia="MS Mincho"/>
          <w:lang w:val="ro-RO" w:eastAsia="nl-NL"/>
        </w:rPr>
        <w:t xml:space="preserve"> ONU</w:t>
      </w:r>
      <w:r w:rsidR="002F085E" w:rsidRPr="00857CDA">
        <w:rPr>
          <w:rFonts w:eastAsia="MS Mincho"/>
          <w:lang w:val="ro-RO" w:eastAsia="nl-NL"/>
        </w:rPr>
        <w:t xml:space="preserve"> 3091</w:t>
      </w:r>
      <w:r w:rsidR="004C27AD" w:rsidRPr="00857CDA">
        <w:rPr>
          <w:rFonts w:eastAsia="MS Mincho"/>
          <w:lang w:val="ro-RO" w:eastAsia="nl-NL"/>
        </w:rPr>
        <w:t xml:space="preserve"> și </w:t>
      </w:r>
      <w:r w:rsidR="002F085E" w:rsidRPr="00857CDA">
        <w:rPr>
          <w:rFonts w:eastAsia="MS Mincho"/>
          <w:lang w:val="ro-RO" w:eastAsia="nl-NL"/>
        </w:rPr>
        <w:t xml:space="preserve">3481, </w:t>
      </w:r>
      <w:r w:rsidR="00902C44" w:rsidRPr="00857CDA">
        <w:rPr>
          <w:rFonts w:eastAsia="MS Mincho"/>
          <w:lang w:val="ro-RO" w:eastAsia="nl-NL"/>
        </w:rPr>
        <w:t>Se modifică</w:t>
      </w:r>
      <w:r w:rsidR="002F085E" w:rsidRPr="00857CDA">
        <w:rPr>
          <w:rFonts w:eastAsia="MS Mincho"/>
          <w:lang w:val="ro-RO" w:eastAsia="nl-NL"/>
        </w:rPr>
        <w:t xml:space="preserve"> </w:t>
      </w:r>
      <w:r w:rsidR="00121893" w:rsidRPr="00857CDA">
        <w:rPr>
          <w:lang w:val="ro-RO"/>
        </w:rPr>
        <w:t>„</w:t>
      </w:r>
      <w:r w:rsidR="002F085E" w:rsidRPr="00857CDA">
        <w:rPr>
          <w:rFonts w:eastAsia="MS Mincho"/>
          <w:lang w:val="ro-RO" w:eastAsia="nl-NL"/>
        </w:rPr>
        <w:t>636</w:t>
      </w:r>
      <w:r w:rsidR="00660131" w:rsidRPr="00857CDA">
        <w:rPr>
          <w:rFonts w:eastAsia="MS Mincho"/>
          <w:lang w:val="ro-RO" w:eastAsia="nl-NL"/>
        </w:rPr>
        <w:t>”</w:t>
      </w:r>
      <w:r w:rsidR="00902C44" w:rsidRPr="00857CDA">
        <w:rPr>
          <w:rFonts w:eastAsia="MS Mincho"/>
          <w:lang w:val="ro-RO" w:eastAsia="nl-NL"/>
        </w:rPr>
        <w:t xml:space="preserve"> cu </w:t>
      </w:r>
      <w:r w:rsidR="00121893" w:rsidRPr="00857CDA">
        <w:rPr>
          <w:lang w:val="ro-RO"/>
        </w:rPr>
        <w:t>„</w:t>
      </w:r>
      <w:r w:rsidR="002F085E" w:rsidRPr="00857CDA">
        <w:rPr>
          <w:rFonts w:eastAsia="MS Mincho"/>
          <w:lang w:val="ro-RO" w:eastAsia="nl-NL"/>
        </w:rPr>
        <w:t>670</w:t>
      </w:r>
      <w:r w:rsidR="00660131" w:rsidRPr="00857CDA">
        <w:rPr>
          <w:rFonts w:eastAsia="MS Mincho"/>
          <w:lang w:val="ro-RO" w:eastAsia="nl-NL"/>
        </w:rPr>
        <w:t>”</w:t>
      </w:r>
      <w:r w:rsidR="002F085E" w:rsidRPr="00857CDA">
        <w:rPr>
          <w:rFonts w:eastAsia="MS Mincho"/>
          <w:lang w:val="ro-RO" w:eastAsia="nl-NL"/>
        </w:rPr>
        <w:t xml:space="preserve"> </w:t>
      </w:r>
      <w:r w:rsidR="00121893" w:rsidRPr="00857CDA">
        <w:rPr>
          <w:rFonts w:eastAsia="MS Mincho"/>
          <w:lang w:val="ro-RO" w:eastAsia="nl-NL"/>
        </w:rPr>
        <w:t>în coloana</w:t>
      </w:r>
      <w:r w:rsidR="002F085E" w:rsidRPr="00857CDA">
        <w:rPr>
          <w:rFonts w:eastAsia="MS Mincho"/>
          <w:lang w:val="ro-RO" w:eastAsia="nl-NL"/>
        </w:rPr>
        <w:t xml:space="preserve"> (6).</w:t>
      </w:r>
    </w:p>
    <w:p w:rsidR="005C3B29" w:rsidRPr="00857CDA" w:rsidRDefault="00991390" w:rsidP="005C3B29">
      <w:pPr>
        <w:spacing w:before="120" w:after="120" w:line="240" w:lineRule="auto"/>
        <w:ind w:left="1134" w:right="1134"/>
        <w:jc w:val="both"/>
        <w:rPr>
          <w:iCs/>
          <w:lang w:val="ro-RO"/>
        </w:rPr>
      </w:pPr>
      <w:r w:rsidRPr="00857CDA">
        <w:rPr>
          <w:iCs/>
          <w:lang w:val="ro-RO"/>
        </w:rPr>
        <w:t>Pentru</w:t>
      </w:r>
      <w:r w:rsidR="005C3B29" w:rsidRPr="00857CDA">
        <w:rPr>
          <w:iCs/>
          <w:lang w:val="ro-RO"/>
        </w:rPr>
        <w:t xml:space="preserve"> </w:t>
      </w:r>
      <w:r w:rsidR="00121893" w:rsidRPr="00857CDA">
        <w:rPr>
          <w:iCs/>
          <w:lang w:val="ro-RO"/>
        </w:rPr>
        <w:t>Nr.</w:t>
      </w:r>
      <w:r w:rsidR="002B679C" w:rsidRPr="00857CDA">
        <w:rPr>
          <w:iCs/>
          <w:lang w:val="ro-RO"/>
        </w:rPr>
        <w:t xml:space="preserve"> ONU</w:t>
      </w:r>
      <w:r w:rsidR="005C3B29" w:rsidRPr="00857CDA">
        <w:rPr>
          <w:iCs/>
          <w:lang w:val="ro-RO"/>
        </w:rPr>
        <w:t xml:space="preserve"> 3148, </w:t>
      </w:r>
      <w:r w:rsidR="00902C44" w:rsidRPr="00857CDA">
        <w:rPr>
          <w:iCs/>
          <w:lang w:val="ro-RO"/>
        </w:rPr>
        <w:t>Se șterge</w:t>
      </w:r>
      <w:r w:rsidR="005C3B29" w:rsidRPr="00857CDA">
        <w:rPr>
          <w:iCs/>
          <w:lang w:val="ro-RO"/>
        </w:rPr>
        <w:t xml:space="preserve"> </w:t>
      </w:r>
      <w:r w:rsidR="00121893" w:rsidRPr="00857CDA">
        <w:rPr>
          <w:lang w:val="ro-RO"/>
        </w:rPr>
        <w:t>„</w:t>
      </w:r>
      <w:r w:rsidR="005C3B29" w:rsidRPr="00857CDA">
        <w:rPr>
          <w:iCs/>
          <w:lang w:val="ro-RO"/>
        </w:rPr>
        <w:t>TP39</w:t>
      </w:r>
      <w:r w:rsidR="00660131" w:rsidRPr="00857CDA">
        <w:rPr>
          <w:lang w:val="ro-RO"/>
        </w:rPr>
        <w:t>”</w:t>
      </w:r>
      <w:r w:rsidR="005C3B29" w:rsidRPr="00857CDA">
        <w:rPr>
          <w:iCs/>
          <w:lang w:val="ro-RO"/>
        </w:rPr>
        <w:t xml:space="preserve"> </w:t>
      </w:r>
      <w:r w:rsidR="00121893" w:rsidRPr="00857CDA">
        <w:rPr>
          <w:iCs/>
          <w:lang w:val="ro-RO"/>
        </w:rPr>
        <w:t>în coloana</w:t>
      </w:r>
      <w:r w:rsidR="005C3B29" w:rsidRPr="00857CDA">
        <w:rPr>
          <w:iCs/>
          <w:lang w:val="ro-RO"/>
        </w:rPr>
        <w:t xml:space="preserve"> (11).</w:t>
      </w:r>
    </w:p>
    <w:p w:rsidR="00196C06" w:rsidRPr="00857CDA" w:rsidRDefault="00991390" w:rsidP="00196C06">
      <w:pPr>
        <w:spacing w:before="120" w:after="120" w:line="240" w:lineRule="auto"/>
        <w:ind w:left="1134" w:right="1134"/>
        <w:jc w:val="both"/>
        <w:rPr>
          <w:iCs/>
          <w:lang w:val="ro-RO"/>
        </w:rPr>
      </w:pPr>
      <w:r w:rsidRPr="00857CDA">
        <w:rPr>
          <w:iCs/>
          <w:lang w:val="ro-RO"/>
        </w:rPr>
        <w:t>Pentru</w:t>
      </w:r>
      <w:r w:rsidR="00196C06" w:rsidRPr="00857CDA">
        <w:rPr>
          <w:iCs/>
          <w:lang w:val="ro-RO"/>
        </w:rPr>
        <w:t xml:space="preserve"> </w:t>
      </w:r>
      <w:r w:rsidR="00121893" w:rsidRPr="00857CDA">
        <w:rPr>
          <w:iCs/>
          <w:lang w:val="ro-RO"/>
        </w:rPr>
        <w:t>Nr.</w:t>
      </w:r>
      <w:r w:rsidR="002B679C" w:rsidRPr="00857CDA">
        <w:rPr>
          <w:iCs/>
          <w:lang w:val="ro-RO"/>
        </w:rPr>
        <w:t xml:space="preserve"> ONU</w:t>
      </w:r>
      <w:r w:rsidR="00196C06" w:rsidRPr="00857CDA">
        <w:rPr>
          <w:iCs/>
          <w:lang w:val="ro-RO"/>
        </w:rPr>
        <w:t xml:space="preserve"> 3166, </w:t>
      </w:r>
      <w:r w:rsidR="00902C44" w:rsidRPr="00857CDA">
        <w:rPr>
          <w:iCs/>
          <w:lang w:val="ro-RO"/>
        </w:rPr>
        <w:t>Se șterge</w:t>
      </w:r>
      <w:r w:rsidR="00196C06" w:rsidRPr="00857CDA">
        <w:rPr>
          <w:iCs/>
          <w:lang w:val="ro-RO"/>
        </w:rPr>
        <w:t xml:space="preserve"> </w:t>
      </w:r>
      <w:r w:rsidR="00121893" w:rsidRPr="00857CDA">
        <w:rPr>
          <w:lang w:val="ro-RO"/>
        </w:rPr>
        <w:t>„</w:t>
      </w:r>
      <w:r w:rsidR="00196C06" w:rsidRPr="00857CDA">
        <w:rPr>
          <w:iCs/>
          <w:lang w:val="ro-RO"/>
        </w:rPr>
        <w:t>312</w:t>
      </w:r>
      <w:r w:rsidR="00660131" w:rsidRPr="00857CDA">
        <w:rPr>
          <w:lang w:val="ro-RO"/>
        </w:rPr>
        <w:t>”</w:t>
      </w:r>
      <w:r w:rsidR="004C27AD" w:rsidRPr="00857CDA">
        <w:rPr>
          <w:iCs/>
          <w:lang w:val="ro-RO"/>
        </w:rPr>
        <w:t xml:space="preserve"> și </w:t>
      </w:r>
      <w:r w:rsidR="00121893" w:rsidRPr="00857CDA">
        <w:rPr>
          <w:lang w:val="ro-RO"/>
        </w:rPr>
        <w:t>„</w:t>
      </w:r>
      <w:r w:rsidR="00196C06" w:rsidRPr="00857CDA">
        <w:rPr>
          <w:iCs/>
          <w:lang w:val="ro-RO"/>
        </w:rPr>
        <w:t>385</w:t>
      </w:r>
      <w:r w:rsidR="00660131" w:rsidRPr="00857CDA">
        <w:rPr>
          <w:lang w:val="ro-RO"/>
        </w:rPr>
        <w:t>”</w:t>
      </w:r>
      <w:r w:rsidR="00196C06" w:rsidRPr="00857CDA">
        <w:rPr>
          <w:iCs/>
          <w:lang w:val="ro-RO"/>
        </w:rPr>
        <w:t xml:space="preserve"> </w:t>
      </w:r>
      <w:r w:rsidR="00121893" w:rsidRPr="00857CDA">
        <w:rPr>
          <w:iCs/>
          <w:lang w:val="ro-RO"/>
        </w:rPr>
        <w:t>în coloana</w:t>
      </w:r>
      <w:r w:rsidR="00196C06" w:rsidRPr="00857CDA">
        <w:rPr>
          <w:iCs/>
          <w:lang w:val="ro-RO"/>
        </w:rPr>
        <w:t xml:space="preserve"> (6).</w:t>
      </w:r>
    </w:p>
    <w:p w:rsidR="00196C06" w:rsidRPr="00857CDA" w:rsidRDefault="00991390" w:rsidP="00196C06">
      <w:pPr>
        <w:spacing w:before="120" w:after="120" w:line="240" w:lineRule="auto"/>
        <w:ind w:left="1134" w:right="1134"/>
        <w:jc w:val="both"/>
        <w:rPr>
          <w:iCs/>
          <w:lang w:val="ro-RO"/>
        </w:rPr>
      </w:pPr>
      <w:r w:rsidRPr="00857CDA">
        <w:rPr>
          <w:iCs/>
          <w:lang w:val="ro-RO"/>
        </w:rPr>
        <w:t>Pentru</w:t>
      </w:r>
      <w:r w:rsidR="00196C06" w:rsidRPr="00857CDA">
        <w:rPr>
          <w:iCs/>
          <w:lang w:val="ro-RO"/>
        </w:rPr>
        <w:t xml:space="preserve"> </w:t>
      </w:r>
      <w:r w:rsidR="00121893" w:rsidRPr="00857CDA">
        <w:rPr>
          <w:iCs/>
          <w:lang w:val="ro-RO"/>
        </w:rPr>
        <w:t>Nr.</w:t>
      </w:r>
      <w:r w:rsidR="002B679C" w:rsidRPr="00857CDA">
        <w:rPr>
          <w:iCs/>
          <w:lang w:val="ro-RO"/>
        </w:rPr>
        <w:t xml:space="preserve"> ONU</w:t>
      </w:r>
      <w:r w:rsidR="00196C06" w:rsidRPr="00857CDA">
        <w:rPr>
          <w:iCs/>
          <w:lang w:val="ro-RO"/>
        </w:rPr>
        <w:t xml:space="preserve"> 3166</w:t>
      </w:r>
      <w:r w:rsidR="004C27AD" w:rsidRPr="00857CDA">
        <w:rPr>
          <w:iCs/>
          <w:lang w:val="ro-RO"/>
        </w:rPr>
        <w:t xml:space="preserve"> și </w:t>
      </w:r>
      <w:r w:rsidR="00196C06" w:rsidRPr="00857CDA">
        <w:rPr>
          <w:iCs/>
          <w:lang w:val="ro-RO"/>
        </w:rPr>
        <w:t xml:space="preserve">3171, </w:t>
      </w:r>
      <w:r w:rsidR="00902C44" w:rsidRPr="00857CDA">
        <w:rPr>
          <w:iCs/>
          <w:lang w:val="ro-RO"/>
        </w:rPr>
        <w:t>se adaugă</w:t>
      </w:r>
      <w:r w:rsidR="00196C06" w:rsidRPr="00857CDA">
        <w:rPr>
          <w:iCs/>
          <w:lang w:val="ro-RO"/>
        </w:rPr>
        <w:t xml:space="preserve"> </w:t>
      </w:r>
      <w:r w:rsidR="00121893" w:rsidRPr="00857CDA">
        <w:rPr>
          <w:lang w:val="ro-RO"/>
        </w:rPr>
        <w:t>„</w:t>
      </w:r>
      <w:r w:rsidR="00196C06" w:rsidRPr="00857CDA">
        <w:rPr>
          <w:iCs/>
          <w:lang w:val="ro-RO"/>
        </w:rPr>
        <w:t>388</w:t>
      </w:r>
      <w:r w:rsidR="00660131" w:rsidRPr="00857CDA">
        <w:rPr>
          <w:lang w:val="ro-RO"/>
        </w:rPr>
        <w:t>”</w:t>
      </w:r>
      <w:r w:rsidR="00196C06" w:rsidRPr="00857CDA">
        <w:rPr>
          <w:iCs/>
          <w:lang w:val="ro-RO"/>
        </w:rPr>
        <w:t xml:space="preserve"> </w:t>
      </w:r>
      <w:r w:rsidR="00121893" w:rsidRPr="00857CDA">
        <w:rPr>
          <w:iCs/>
          <w:lang w:val="ro-RO"/>
        </w:rPr>
        <w:t>în coloana</w:t>
      </w:r>
      <w:r w:rsidR="00196C06" w:rsidRPr="00857CDA">
        <w:rPr>
          <w:iCs/>
          <w:lang w:val="ro-RO"/>
        </w:rPr>
        <w:t xml:space="preserve"> (6).</w:t>
      </w:r>
    </w:p>
    <w:p w:rsidR="00196C06" w:rsidRPr="00857CDA" w:rsidRDefault="00991390" w:rsidP="00196C06">
      <w:pPr>
        <w:spacing w:before="120" w:after="120" w:line="240" w:lineRule="auto"/>
        <w:ind w:left="1134" w:right="1134"/>
        <w:jc w:val="both"/>
        <w:rPr>
          <w:iCs/>
          <w:lang w:val="ro-RO"/>
        </w:rPr>
      </w:pPr>
      <w:r w:rsidRPr="00857CDA">
        <w:rPr>
          <w:iCs/>
          <w:lang w:val="ro-RO"/>
        </w:rPr>
        <w:t>Pentru</w:t>
      </w:r>
      <w:r w:rsidR="00196C06" w:rsidRPr="00857CDA">
        <w:rPr>
          <w:iCs/>
          <w:lang w:val="ro-RO"/>
        </w:rPr>
        <w:t xml:space="preserve"> </w:t>
      </w:r>
      <w:r w:rsidR="00121893" w:rsidRPr="00857CDA">
        <w:rPr>
          <w:iCs/>
          <w:lang w:val="ro-RO"/>
        </w:rPr>
        <w:t>Nr.</w:t>
      </w:r>
      <w:r w:rsidR="002B679C" w:rsidRPr="00857CDA">
        <w:rPr>
          <w:iCs/>
          <w:lang w:val="ro-RO"/>
        </w:rPr>
        <w:t xml:space="preserve"> ONU</w:t>
      </w:r>
      <w:r w:rsidR="00196C06" w:rsidRPr="00857CDA">
        <w:rPr>
          <w:iCs/>
          <w:lang w:val="ro-RO"/>
        </w:rPr>
        <w:t xml:space="preserve"> 3171, </w:t>
      </w:r>
      <w:r w:rsidR="00902C44" w:rsidRPr="00857CDA">
        <w:rPr>
          <w:iCs/>
          <w:lang w:val="ro-RO"/>
        </w:rPr>
        <w:t>Se șterge</w:t>
      </w:r>
      <w:r w:rsidR="00196C06" w:rsidRPr="00857CDA">
        <w:rPr>
          <w:iCs/>
          <w:lang w:val="ro-RO"/>
        </w:rPr>
        <w:t xml:space="preserve"> </w:t>
      </w:r>
      <w:r w:rsidR="00121893" w:rsidRPr="00857CDA">
        <w:rPr>
          <w:lang w:val="ro-RO"/>
        </w:rPr>
        <w:t>„</w:t>
      </w:r>
      <w:r w:rsidR="00196C06" w:rsidRPr="00857CDA">
        <w:rPr>
          <w:iCs/>
          <w:lang w:val="ro-RO"/>
        </w:rPr>
        <w:t>240</w:t>
      </w:r>
      <w:r w:rsidR="00660131" w:rsidRPr="00857CDA">
        <w:rPr>
          <w:lang w:val="ro-RO"/>
        </w:rPr>
        <w:t>”</w:t>
      </w:r>
      <w:r w:rsidR="00196C06" w:rsidRPr="00857CDA">
        <w:rPr>
          <w:iCs/>
          <w:lang w:val="ro-RO"/>
        </w:rPr>
        <w:t xml:space="preserve"> </w:t>
      </w:r>
      <w:r w:rsidR="00121893" w:rsidRPr="00857CDA">
        <w:rPr>
          <w:iCs/>
          <w:lang w:val="ro-RO"/>
        </w:rPr>
        <w:t>în coloana</w:t>
      </w:r>
      <w:r w:rsidR="00196C06" w:rsidRPr="00857CDA">
        <w:rPr>
          <w:iCs/>
          <w:lang w:val="ro-RO"/>
        </w:rPr>
        <w:t xml:space="preserve"> (6).</w:t>
      </w:r>
    </w:p>
    <w:p w:rsidR="00470FED" w:rsidRPr="00857CDA" w:rsidRDefault="00991390" w:rsidP="00470FED">
      <w:pPr>
        <w:pStyle w:val="SingleTxtG"/>
        <w:rPr>
          <w:lang w:val="ro-RO"/>
        </w:rPr>
      </w:pPr>
      <w:r w:rsidRPr="00857CDA">
        <w:rPr>
          <w:iCs/>
          <w:lang w:val="ro-RO"/>
        </w:rPr>
        <w:t>Pentru</w:t>
      </w:r>
      <w:r w:rsidR="00470FED" w:rsidRPr="00857CDA">
        <w:rPr>
          <w:iCs/>
          <w:lang w:val="ro-RO"/>
        </w:rPr>
        <w:t xml:space="preserve"> </w:t>
      </w:r>
      <w:r w:rsidR="00121893" w:rsidRPr="00857CDA">
        <w:rPr>
          <w:iCs/>
          <w:lang w:val="ro-RO"/>
        </w:rPr>
        <w:t>Nr.</w:t>
      </w:r>
      <w:r w:rsidR="002B679C" w:rsidRPr="00857CDA">
        <w:rPr>
          <w:iCs/>
          <w:lang w:val="ro-RO"/>
        </w:rPr>
        <w:t xml:space="preserve"> ONU</w:t>
      </w:r>
      <w:r w:rsidR="00470FED" w:rsidRPr="00857CDA">
        <w:rPr>
          <w:iCs/>
          <w:lang w:val="ro-RO"/>
        </w:rPr>
        <w:t xml:space="preserve"> 3223</w:t>
      </w:r>
      <w:r w:rsidR="004C27AD" w:rsidRPr="00857CDA">
        <w:rPr>
          <w:iCs/>
          <w:lang w:val="ro-RO"/>
        </w:rPr>
        <w:t xml:space="preserve"> și </w:t>
      </w:r>
      <w:r w:rsidR="00470FED" w:rsidRPr="00857CDA">
        <w:rPr>
          <w:iCs/>
          <w:lang w:val="ro-RO"/>
        </w:rPr>
        <w:t xml:space="preserve">3224, </w:t>
      </w:r>
      <w:r w:rsidR="00121893" w:rsidRPr="00857CDA">
        <w:rPr>
          <w:iCs/>
          <w:lang w:val="ro-RO"/>
        </w:rPr>
        <w:t>în coloana</w:t>
      </w:r>
      <w:r w:rsidR="00470FED" w:rsidRPr="00857CDA">
        <w:rPr>
          <w:iCs/>
          <w:lang w:val="ro-RO"/>
        </w:rPr>
        <w:t xml:space="preserve"> (9</w:t>
      </w:r>
      <w:r w:rsidR="00A35BBA" w:rsidRPr="00857CDA">
        <w:rPr>
          <w:iCs/>
          <w:lang w:val="ro-RO"/>
        </w:rPr>
        <w:t>a</w:t>
      </w:r>
      <w:r w:rsidR="00470FED" w:rsidRPr="00857CDA">
        <w:rPr>
          <w:iCs/>
          <w:lang w:val="ro-RO"/>
        </w:rPr>
        <w:t xml:space="preserve">), </w:t>
      </w:r>
      <w:r w:rsidR="00902C44" w:rsidRPr="00857CDA">
        <w:rPr>
          <w:iCs/>
          <w:lang w:val="ro-RO"/>
        </w:rPr>
        <w:t>se adaugă</w:t>
      </w:r>
      <w:r w:rsidR="00470FED" w:rsidRPr="00857CDA">
        <w:rPr>
          <w:iCs/>
          <w:lang w:val="ro-RO"/>
        </w:rPr>
        <w:t xml:space="preserve"> </w:t>
      </w:r>
      <w:r w:rsidR="00121893" w:rsidRPr="00857CDA">
        <w:rPr>
          <w:lang w:val="ro-RO"/>
        </w:rPr>
        <w:t>„</w:t>
      </w:r>
      <w:r w:rsidR="00470FED" w:rsidRPr="00857CDA">
        <w:rPr>
          <w:iCs/>
          <w:lang w:val="ro-RO"/>
        </w:rPr>
        <w:t>PP94 PP95</w:t>
      </w:r>
      <w:r w:rsidR="00660131" w:rsidRPr="00857CDA">
        <w:rPr>
          <w:lang w:val="ro-RO"/>
        </w:rPr>
        <w:t>”</w:t>
      </w:r>
      <w:r w:rsidR="00470FED" w:rsidRPr="00857CDA">
        <w:rPr>
          <w:iCs/>
          <w:lang w:val="ro-RO"/>
        </w:rPr>
        <w:t>.</w:t>
      </w:r>
    </w:p>
    <w:p w:rsidR="00196C06" w:rsidRPr="00857CDA" w:rsidRDefault="00991390" w:rsidP="00196C06">
      <w:pPr>
        <w:pStyle w:val="SingleTxtG"/>
        <w:rPr>
          <w:lang w:val="ro-RO"/>
        </w:rPr>
      </w:pPr>
      <w:r w:rsidRPr="00857CDA">
        <w:rPr>
          <w:lang w:val="ro-RO"/>
        </w:rPr>
        <w:t>Pentru</w:t>
      </w:r>
      <w:r w:rsidR="00196C06" w:rsidRPr="00857CDA">
        <w:rPr>
          <w:lang w:val="ro-RO"/>
        </w:rPr>
        <w:t xml:space="preserve"> </w:t>
      </w:r>
      <w:r w:rsidR="00121893" w:rsidRPr="00857CDA">
        <w:rPr>
          <w:lang w:val="ro-RO"/>
        </w:rPr>
        <w:t>Nr.</w:t>
      </w:r>
      <w:r w:rsidR="002B679C" w:rsidRPr="00857CDA">
        <w:rPr>
          <w:lang w:val="ro-RO"/>
        </w:rPr>
        <w:t xml:space="preserve"> ONU</w:t>
      </w:r>
      <w:r w:rsidR="00196C06" w:rsidRPr="00857CDA">
        <w:rPr>
          <w:lang w:val="ro-RO"/>
        </w:rPr>
        <w:t xml:space="preserve"> 3302, </w:t>
      </w:r>
      <w:r w:rsidR="00902C44" w:rsidRPr="00857CDA">
        <w:rPr>
          <w:lang w:val="ro-RO"/>
        </w:rPr>
        <w:t xml:space="preserve">În </w:t>
      </w:r>
      <w:r w:rsidR="00196C06" w:rsidRPr="00857CDA">
        <w:rPr>
          <w:lang w:val="ro-RO"/>
        </w:rPr>
        <w:t xml:space="preserve">la </w:t>
      </w:r>
      <w:r w:rsidR="00121893" w:rsidRPr="00857CDA">
        <w:rPr>
          <w:lang w:val="ro-RO"/>
        </w:rPr>
        <w:t>coloana</w:t>
      </w:r>
      <w:r w:rsidR="00196C06" w:rsidRPr="00857CDA">
        <w:rPr>
          <w:lang w:val="ro-RO"/>
        </w:rPr>
        <w:t xml:space="preserve"> (2), </w:t>
      </w:r>
      <w:r w:rsidR="00394E02" w:rsidRPr="00857CDA">
        <w:rPr>
          <w:lang w:val="ro-RO"/>
        </w:rPr>
        <w:t>la sfârșitul denumirii</w:t>
      </w:r>
      <w:r w:rsidR="00196C06" w:rsidRPr="00857CDA">
        <w:rPr>
          <w:lang w:val="ro-RO"/>
        </w:rPr>
        <w:t xml:space="preserve">, </w:t>
      </w:r>
      <w:r w:rsidR="00902C44" w:rsidRPr="00857CDA">
        <w:rPr>
          <w:lang w:val="ro-RO"/>
        </w:rPr>
        <w:t>se adaugă</w:t>
      </w:r>
      <w:r w:rsidR="00196C06" w:rsidRPr="00857CDA">
        <w:rPr>
          <w:lang w:val="ro-RO"/>
        </w:rPr>
        <w:t xml:space="preserve"> </w:t>
      </w:r>
      <w:r w:rsidR="00121893" w:rsidRPr="00857CDA">
        <w:rPr>
          <w:lang w:val="ro-RO"/>
        </w:rPr>
        <w:t>„</w:t>
      </w:r>
      <w:r w:rsidR="00196C06" w:rsidRPr="00857CDA">
        <w:rPr>
          <w:lang w:val="ro-RO"/>
        </w:rPr>
        <w:t>STABILI</w:t>
      </w:r>
      <w:r w:rsidR="00394E02" w:rsidRPr="00857CDA">
        <w:rPr>
          <w:lang w:val="ro-RO"/>
        </w:rPr>
        <w:t>ZAT</w:t>
      </w:r>
      <w:r w:rsidR="00660131" w:rsidRPr="00857CDA">
        <w:rPr>
          <w:lang w:val="ro-RO"/>
        </w:rPr>
        <w:t>”</w:t>
      </w:r>
      <w:r w:rsidR="00394E02" w:rsidRPr="00857CDA">
        <w:rPr>
          <w:lang w:val="ro-RO"/>
        </w:rPr>
        <w:t>,</w:t>
      </w:r>
      <w:r w:rsidR="00196C06" w:rsidRPr="00857CDA">
        <w:rPr>
          <w:lang w:val="ro-RO"/>
        </w:rPr>
        <w:t xml:space="preserve"> </w:t>
      </w:r>
      <w:r w:rsidR="00902C44" w:rsidRPr="00857CDA">
        <w:rPr>
          <w:lang w:val="ro-RO"/>
        </w:rPr>
        <w:t>Se adaugă</w:t>
      </w:r>
      <w:r w:rsidR="00196C06" w:rsidRPr="00857CDA">
        <w:rPr>
          <w:lang w:val="ro-RO"/>
        </w:rPr>
        <w:t xml:space="preserve"> </w:t>
      </w:r>
      <w:r w:rsidR="00121893" w:rsidRPr="00857CDA">
        <w:rPr>
          <w:lang w:val="ro-RO"/>
        </w:rPr>
        <w:t>„</w:t>
      </w:r>
      <w:r w:rsidR="00196C06" w:rsidRPr="00857CDA">
        <w:rPr>
          <w:lang w:val="ro-RO"/>
        </w:rPr>
        <w:t>386</w:t>
      </w:r>
      <w:r w:rsidR="00660131" w:rsidRPr="00857CDA">
        <w:rPr>
          <w:lang w:val="ro-RO"/>
        </w:rPr>
        <w:t>”</w:t>
      </w:r>
      <w:r w:rsidR="00196C06" w:rsidRPr="00857CDA">
        <w:rPr>
          <w:lang w:val="ro-RO"/>
        </w:rPr>
        <w:t xml:space="preserve"> </w:t>
      </w:r>
      <w:r w:rsidR="00121893" w:rsidRPr="00857CDA">
        <w:rPr>
          <w:lang w:val="ro-RO"/>
        </w:rPr>
        <w:t>în coloana</w:t>
      </w:r>
      <w:r w:rsidR="00196C06" w:rsidRPr="00857CDA">
        <w:rPr>
          <w:lang w:val="ro-RO"/>
        </w:rPr>
        <w:t xml:space="preserve"> (6)</w:t>
      </w:r>
      <w:r w:rsidR="00394E02" w:rsidRPr="00857CDA">
        <w:rPr>
          <w:lang w:val="ro-RO"/>
        </w:rPr>
        <w:t xml:space="preserve"> și</w:t>
      </w:r>
      <w:r w:rsidR="00A35BBA" w:rsidRPr="00857CDA">
        <w:rPr>
          <w:lang w:val="ro-RO"/>
        </w:rPr>
        <w:t xml:space="preserve"> </w:t>
      </w:r>
      <w:r w:rsidR="00902C44" w:rsidRPr="00857CDA">
        <w:rPr>
          <w:lang w:val="ro-RO"/>
        </w:rPr>
        <w:t>Se adaugă</w:t>
      </w:r>
      <w:r w:rsidR="00A35BBA" w:rsidRPr="00857CDA">
        <w:rPr>
          <w:lang w:val="ro-RO"/>
        </w:rPr>
        <w:t xml:space="preserve"> </w:t>
      </w:r>
      <w:r w:rsidR="00121893" w:rsidRPr="00857CDA">
        <w:rPr>
          <w:lang w:val="ro-RO"/>
        </w:rPr>
        <w:t>„</w:t>
      </w:r>
      <w:r w:rsidR="00A35BBA" w:rsidRPr="00857CDA">
        <w:rPr>
          <w:lang w:val="ro-RO"/>
        </w:rPr>
        <w:t>V8</w:t>
      </w:r>
      <w:r w:rsidR="00660131" w:rsidRPr="00857CDA">
        <w:rPr>
          <w:lang w:val="ro-RO"/>
        </w:rPr>
        <w:t>”</w:t>
      </w:r>
      <w:r w:rsidR="00A35BBA" w:rsidRPr="00857CDA">
        <w:rPr>
          <w:lang w:val="ro-RO"/>
        </w:rPr>
        <w:t xml:space="preserve"> </w:t>
      </w:r>
      <w:r w:rsidR="00121893" w:rsidRPr="00857CDA">
        <w:rPr>
          <w:lang w:val="ro-RO"/>
        </w:rPr>
        <w:t>în coloana</w:t>
      </w:r>
      <w:r w:rsidR="00A35BBA" w:rsidRPr="00857CDA">
        <w:rPr>
          <w:lang w:val="ro-RO"/>
        </w:rPr>
        <w:t xml:space="preserve"> (16)</w:t>
      </w:r>
      <w:r w:rsidR="004C27AD" w:rsidRPr="00857CDA">
        <w:rPr>
          <w:lang w:val="ro-RO"/>
        </w:rPr>
        <w:t xml:space="preserve"> și </w:t>
      </w:r>
      <w:r w:rsidR="00121893" w:rsidRPr="00857CDA">
        <w:rPr>
          <w:lang w:val="ro-RO"/>
        </w:rPr>
        <w:t>„</w:t>
      </w:r>
      <w:r w:rsidR="00A35BBA" w:rsidRPr="00857CDA">
        <w:rPr>
          <w:lang w:val="ro-RO"/>
        </w:rPr>
        <w:t>S4</w:t>
      </w:r>
      <w:r w:rsidR="00660131" w:rsidRPr="00857CDA">
        <w:rPr>
          <w:lang w:val="ro-RO"/>
        </w:rPr>
        <w:t>”</w:t>
      </w:r>
      <w:r w:rsidR="00A35BBA" w:rsidRPr="00857CDA">
        <w:rPr>
          <w:lang w:val="ro-RO"/>
        </w:rPr>
        <w:t xml:space="preserve"> </w:t>
      </w:r>
      <w:r w:rsidR="00121893" w:rsidRPr="00857CDA">
        <w:rPr>
          <w:lang w:val="ro-RO"/>
        </w:rPr>
        <w:t>în coloana</w:t>
      </w:r>
      <w:r w:rsidR="00A35BBA" w:rsidRPr="00857CDA">
        <w:rPr>
          <w:lang w:val="ro-RO"/>
        </w:rPr>
        <w:t xml:space="preserve"> (19).</w:t>
      </w:r>
    </w:p>
    <w:p w:rsidR="00196C06" w:rsidRPr="00857CDA" w:rsidRDefault="00991390" w:rsidP="00196C06">
      <w:pPr>
        <w:pStyle w:val="SingleTxtG"/>
        <w:rPr>
          <w:iCs/>
          <w:lang w:val="ro-RO"/>
        </w:rPr>
      </w:pPr>
      <w:r w:rsidRPr="00857CDA">
        <w:rPr>
          <w:iCs/>
          <w:lang w:val="ro-RO"/>
        </w:rPr>
        <w:t>Pentru</w:t>
      </w:r>
      <w:r w:rsidR="00196C06" w:rsidRPr="00857CDA">
        <w:rPr>
          <w:iCs/>
          <w:lang w:val="ro-RO"/>
        </w:rPr>
        <w:t xml:space="preserve"> </w:t>
      </w:r>
      <w:r w:rsidR="00121893" w:rsidRPr="00857CDA">
        <w:rPr>
          <w:iCs/>
          <w:lang w:val="ro-RO"/>
        </w:rPr>
        <w:t>Nr.</w:t>
      </w:r>
      <w:r w:rsidR="002B679C" w:rsidRPr="00857CDA">
        <w:rPr>
          <w:iCs/>
          <w:lang w:val="ro-RO"/>
        </w:rPr>
        <w:t xml:space="preserve"> ONU</w:t>
      </w:r>
      <w:r w:rsidR="00196C06" w:rsidRPr="00857CDA">
        <w:rPr>
          <w:iCs/>
          <w:lang w:val="ro-RO"/>
        </w:rPr>
        <w:t xml:space="preserve"> 3316, pr</w:t>
      </w:r>
      <w:r w:rsidR="00121893" w:rsidRPr="00857CDA">
        <w:rPr>
          <w:iCs/>
          <w:lang w:val="ro-RO"/>
        </w:rPr>
        <w:t>ima</w:t>
      </w:r>
      <w:r w:rsidR="00196C06" w:rsidRPr="00857CDA">
        <w:rPr>
          <w:iCs/>
          <w:lang w:val="ro-RO"/>
        </w:rPr>
        <w:t xml:space="preserve"> rubri</w:t>
      </w:r>
      <w:r w:rsidR="00121893" w:rsidRPr="00857CDA">
        <w:rPr>
          <w:iCs/>
          <w:lang w:val="ro-RO"/>
        </w:rPr>
        <w:t>că</w:t>
      </w:r>
      <w:r w:rsidR="00196C06" w:rsidRPr="00857CDA">
        <w:rPr>
          <w:iCs/>
          <w:lang w:val="ro-RO"/>
        </w:rPr>
        <w:t xml:space="preserve">, </w:t>
      </w:r>
      <w:r w:rsidR="00902C44" w:rsidRPr="00857CDA">
        <w:rPr>
          <w:iCs/>
          <w:lang w:val="ro-RO"/>
        </w:rPr>
        <w:t>Se șterge</w:t>
      </w:r>
      <w:r w:rsidR="00196C06" w:rsidRPr="00857CDA">
        <w:rPr>
          <w:iCs/>
          <w:lang w:val="ro-RO"/>
        </w:rPr>
        <w:t xml:space="preserve"> </w:t>
      </w:r>
      <w:r w:rsidR="00217674" w:rsidRPr="00857CDA">
        <w:rPr>
          <w:iCs/>
          <w:lang w:val="ro-RO"/>
        </w:rPr>
        <w:t>grupa de ambalare</w:t>
      </w:r>
      <w:r w:rsidR="00196C06" w:rsidRPr="00857CDA">
        <w:rPr>
          <w:iCs/>
          <w:lang w:val="ro-RO"/>
        </w:rPr>
        <w:t xml:space="preserve"> </w:t>
      </w:r>
      <w:r w:rsidR="00121893" w:rsidRPr="00857CDA">
        <w:rPr>
          <w:iCs/>
          <w:lang w:val="ro-RO"/>
        </w:rPr>
        <w:t>din coloana</w:t>
      </w:r>
      <w:r w:rsidR="00196C06" w:rsidRPr="00857CDA">
        <w:rPr>
          <w:iCs/>
          <w:lang w:val="ro-RO"/>
        </w:rPr>
        <w:t xml:space="preserve"> (5)</w:t>
      </w:r>
      <w:r w:rsidR="004C27AD" w:rsidRPr="00857CDA">
        <w:rPr>
          <w:iCs/>
          <w:lang w:val="ro-RO"/>
        </w:rPr>
        <w:t xml:space="preserve"> și </w:t>
      </w:r>
      <w:r w:rsidR="00902C44" w:rsidRPr="00857CDA">
        <w:rPr>
          <w:iCs/>
          <w:lang w:val="ro-RO"/>
        </w:rPr>
        <w:t>se adaugă</w:t>
      </w:r>
      <w:r w:rsidR="00A35BBA" w:rsidRPr="00857CDA">
        <w:rPr>
          <w:iCs/>
          <w:lang w:val="ro-RO"/>
        </w:rPr>
        <w:t xml:space="preserve"> </w:t>
      </w:r>
      <w:r w:rsidR="00121893" w:rsidRPr="00857CDA">
        <w:rPr>
          <w:lang w:val="ro-RO"/>
        </w:rPr>
        <w:t>„</w:t>
      </w:r>
      <w:r w:rsidR="00A35BBA" w:rsidRPr="00857CDA">
        <w:rPr>
          <w:iCs/>
          <w:lang w:val="ro-RO"/>
        </w:rPr>
        <w:t>671</w:t>
      </w:r>
      <w:r w:rsidR="00660131" w:rsidRPr="00857CDA">
        <w:rPr>
          <w:iCs/>
          <w:lang w:val="ro-RO"/>
        </w:rPr>
        <w:t>”</w:t>
      </w:r>
      <w:r w:rsidR="00A35BBA" w:rsidRPr="00857CDA">
        <w:rPr>
          <w:iCs/>
          <w:lang w:val="ro-RO"/>
        </w:rPr>
        <w:t xml:space="preserve"> </w:t>
      </w:r>
      <w:r w:rsidR="00121893" w:rsidRPr="00857CDA">
        <w:rPr>
          <w:iCs/>
          <w:lang w:val="ro-RO"/>
        </w:rPr>
        <w:t>în coloana</w:t>
      </w:r>
      <w:r w:rsidR="00A35BBA" w:rsidRPr="00857CDA">
        <w:rPr>
          <w:iCs/>
          <w:lang w:val="ro-RO"/>
        </w:rPr>
        <w:t xml:space="preserve"> (6)</w:t>
      </w:r>
      <w:r w:rsidR="00394E02" w:rsidRPr="00857CDA">
        <w:rPr>
          <w:iCs/>
          <w:lang w:val="ro-RO"/>
        </w:rPr>
        <w:t>,</w:t>
      </w:r>
      <w:r w:rsidR="00A35BBA" w:rsidRPr="00857CDA">
        <w:rPr>
          <w:iCs/>
          <w:lang w:val="ro-RO"/>
        </w:rPr>
        <w:t xml:space="preserve"> </w:t>
      </w:r>
      <w:r w:rsidR="00121893" w:rsidRPr="00857CDA">
        <w:rPr>
          <w:iCs/>
          <w:lang w:val="ro-RO"/>
        </w:rPr>
        <w:t>În coloana</w:t>
      </w:r>
      <w:r w:rsidR="00A35BBA" w:rsidRPr="00857CDA">
        <w:rPr>
          <w:iCs/>
          <w:lang w:val="ro-RO"/>
        </w:rPr>
        <w:t xml:space="preserve"> (15), </w:t>
      </w:r>
      <w:r w:rsidR="00902C44" w:rsidRPr="00857CDA">
        <w:rPr>
          <w:iCs/>
          <w:lang w:val="ro-RO"/>
        </w:rPr>
        <w:t xml:space="preserve">În </w:t>
      </w:r>
      <w:r w:rsidR="00121893" w:rsidRPr="00857CDA">
        <w:rPr>
          <w:iCs/>
          <w:lang w:val="ro-RO"/>
        </w:rPr>
        <w:t>part</w:t>
      </w:r>
      <w:r w:rsidR="00A35BBA" w:rsidRPr="00857CDA">
        <w:rPr>
          <w:iCs/>
          <w:lang w:val="ro-RO"/>
        </w:rPr>
        <w:t>e</w:t>
      </w:r>
      <w:r w:rsidR="00121893" w:rsidRPr="00857CDA">
        <w:rPr>
          <w:iCs/>
          <w:lang w:val="ro-RO"/>
        </w:rPr>
        <w:t>a</w:t>
      </w:r>
      <w:r w:rsidR="00A35BBA" w:rsidRPr="00857CDA">
        <w:rPr>
          <w:iCs/>
          <w:lang w:val="ro-RO"/>
        </w:rPr>
        <w:t xml:space="preserve"> </w:t>
      </w:r>
      <w:r w:rsidR="00121893" w:rsidRPr="00857CDA">
        <w:rPr>
          <w:iCs/>
          <w:lang w:val="ro-RO"/>
        </w:rPr>
        <w:t>de sus a căsuței</w:t>
      </w:r>
      <w:r w:rsidR="00A35BBA" w:rsidRPr="00857CDA">
        <w:rPr>
          <w:iCs/>
          <w:lang w:val="ro-RO"/>
        </w:rPr>
        <w:t xml:space="preserve">, </w:t>
      </w:r>
      <w:r w:rsidR="00902C44" w:rsidRPr="00857CDA">
        <w:rPr>
          <w:iCs/>
          <w:lang w:val="ro-RO"/>
        </w:rPr>
        <w:t>Se modifică</w:t>
      </w:r>
      <w:r w:rsidR="00A35BBA" w:rsidRPr="00857CDA">
        <w:rPr>
          <w:iCs/>
          <w:lang w:val="ro-RO"/>
        </w:rPr>
        <w:t xml:space="preserve"> </w:t>
      </w:r>
      <w:r w:rsidR="00121893" w:rsidRPr="00857CDA">
        <w:rPr>
          <w:lang w:val="ro-RO"/>
        </w:rPr>
        <w:t>„</w:t>
      </w:r>
      <w:r w:rsidR="00A35BBA" w:rsidRPr="00857CDA">
        <w:rPr>
          <w:iCs/>
          <w:lang w:val="ro-RO"/>
        </w:rPr>
        <w:t>2</w:t>
      </w:r>
      <w:r w:rsidR="00660131" w:rsidRPr="00857CDA">
        <w:rPr>
          <w:iCs/>
          <w:lang w:val="ro-RO"/>
        </w:rPr>
        <w:t>”</w:t>
      </w:r>
      <w:r w:rsidR="00902C44" w:rsidRPr="00857CDA">
        <w:rPr>
          <w:iCs/>
          <w:lang w:val="ro-RO"/>
        </w:rPr>
        <w:t xml:space="preserve"> cu </w:t>
      </w:r>
      <w:r w:rsidR="00121893" w:rsidRPr="00857CDA">
        <w:rPr>
          <w:lang w:val="ro-RO"/>
        </w:rPr>
        <w:t>„</w:t>
      </w:r>
      <w:r w:rsidR="000022EF" w:rsidRPr="00857CDA">
        <w:rPr>
          <w:iCs/>
          <w:lang w:val="ro-RO"/>
        </w:rPr>
        <w:t>A se vedea</w:t>
      </w:r>
      <w:r w:rsidR="00A35BBA" w:rsidRPr="00857CDA">
        <w:rPr>
          <w:iCs/>
          <w:lang w:val="ro-RO"/>
        </w:rPr>
        <w:t xml:space="preserve"> DS 671</w:t>
      </w:r>
      <w:r w:rsidR="00660131" w:rsidRPr="00857CDA">
        <w:rPr>
          <w:iCs/>
          <w:lang w:val="ro-RO"/>
        </w:rPr>
        <w:t>”</w:t>
      </w:r>
      <w:r w:rsidR="00394E02" w:rsidRPr="00857CDA">
        <w:rPr>
          <w:iCs/>
          <w:lang w:val="ro-RO"/>
        </w:rPr>
        <w:t xml:space="preserve"> și</w:t>
      </w:r>
      <w:r w:rsidR="00196C06" w:rsidRPr="00857CDA">
        <w:rPr>
          <w:iCs/>
          <w:lang w:val="ro-RO"/>
        </w:rPr>
        <w:t xml:space="preserve"> </w:t>
      </w:r>
      <w:r w:rsidR="00902C44" w:rsidRPr="00857CDA">
        <w:rPr>
          <w:iCs/>
          <w:lang w:val="ro-RO"/>
        </w:rPr>
        <w:t>Se șterge</w:t>
      </w:r>
      <w:r w:rsidR="00196C06" w:rsidRPr="00857CDA">
        <w:rPr>
          <w:iCs/>
          <w:lang w:val="ro-RO"/>
        </w:rPr>
        <w:t xml:space="preserve"> </w:t>
      </w:r>
      <w:r w:rsidR="000022EF" w:rsidRPr="00857CDA">
        <w:rPr>
          <w:iCs/>
          <w:lang w:val="ro-RO"/>
        </w:rPr>
        <w:t xml:space="preserve">a </w:t>
      </w:r>
      <w:r w:rsidR="00196C06" w:rsidRPr="00857CDA">
        <w:rPr>
          <w:iCs/>
          <w:lang w:val="ro-RO"/>
        </w:rPr>
        <w:t>d</w:t>
      </w:r>
      <w:r w:rsidR="000022EF" w:rsidRPr="00857CDA">
        <w:rPr>
          <w:iCs/>
          <w:lang w:val="ro-RO"/>
        </w:rPr>
        <w:t xml:space="preserve">oua </w:t>
      </w:r>
      <w:r w:rsidR="00196C06" w:rsidRPr="00857CDA">
        <w:rPr>
          <w:iCs/>
          <w:lang w:val="ro-RO"/>
        </w:rPr>
        <w:t>rubri</w:t>
      </w:r>
      <w:r w:rsidR="000022EF" w:rsidRPr="00857CDA">
        <w:rPr>
          <w:iCs/>
          <w:lang w:val="ro-RO"/>
        </w:rPr>
        <w:t>că</w:t>
      </w:r>
      <w:r w:rsidR="003D6AA4" w:rsidRPr="00857CDA">
        <w:rPr>
          <w:iCs/>
          <w:lang w:val="ro-RO"/>
        </w:rPr>
        <w:t xml:space="preserve"> coresp</w:t>
      </w:r>
      <w:r w:rsidR="000022EF" w:rsidRPr="00857CDA">
        <w:rPr>
          <w:iCs/>
          <w:lang w:val="ro-RO"/>
        </w:rPr>
        <w:t>unzătoare</w:t>
      </w:r>
      <w:r w:rsidR="003D6AA4" w:rsidRPr="00857CDA">
        <w:rPr>
          <w:iCs/>
          <w:lang w:val="ro-RO"/>
        </w:rPr>
        <w:t xml:space="preserve"> </w:t>
      </w:r>
      <w:r w:rsidR="00217674" w:rsidRPr="00857CDA">
        <w:rPr>
          <w:iCs/>
          <w:lang w:val="ro-RO"/>
        </w:rPr>
        <w:t>grup</w:t>
      </w:r>
      <w:r w:rsidR="000022EF" w:rsidRPr="00857CDA">
        <w:rPr>
          <w:iCs/>
          <w:lang w:val="ro-RO"/>
        </w:rPr>
        <w:t>ei</w:t>
      </w:r>
      <w:r w:rsidR="00217674" w:rsidRPr="00857CDA">
        <w:rPr>
          <w:iCs/>
          <w:lang w:val="ro-RO"/>
        </w:rPr>
        <w:t xml:space="preserve"> de ambalare</w:t>
      </w:r>
      <w:r w:rsidR="003D6AA4" w:rsidRPr="00857CDA">
        <w:rPr>
          <w:iCs/>
          <w:lang w:val="ro-RO"/>
        </w:rPr>
        <w:t xml:space="preserve"> III</w:t>
      </w:r>
      <w:r w:rsidR="00196C06" w:rsidRPr="00857CDA">
        <w:rPr>
          <w:iCs/>
          <w:lang w:val="ro-RO"/>
        </w:rPr>
        <w:t xml:space="preserve">. </w:t>
      </w:r>
    </w:p>
    <w:p w:rsidR="00EF30C2" w:rsidRPr="00857CDA" w:rsidRDefault="00991390" w:rsidP="00EF30C2">
      <w:pPr>
        <w:pStyle w:val="SingleTxtG"/>
        <w:rPr>
          <w:lang w:val="ro-RO"/>
        </w:rPr>
      </w:pPr>
      <w:r w:rsidRPr="00857CDA">
        <w:rPr>
          <w:lang w:val="ro-RO"/>
        </w:rPr>
        <w:t>Pentru</w:t>
      </w:r>
      <w:r w:rsidR="00EF30C2" w:rsidRPr="00857CDA">
        <w:rPr>
          <w:lang w:val="ro-RO"/>
        </w:rPr>
        <w:t xml:space="preserve"> </w:t>
      </w:r>
      <w:r w:rsidR="00121893" w:rsidRPr="00857CDA">
        <w:rPr>
          <w:lang w:val="ro-RO"/>
        </w:rPr>
        <w:t>Nr.</w:t>
      </w:r>
      <w:r w:rsidR="002B679C" w:rsidRPr="00857CDA">
        <w:rPr>
          <w:lang w:val="ro-RO"/>
        </w:rPr>
        <w:t xml:space="preserve"> ONU</w:t>
      </w:r>
      <w:r w:rsidR="00EF30C2" w:rsidRPr="00857CDA">
        <w:rPr>
          <w:lang w:val="ro-RO"/>
        </w:rPr>
        <w:t xml:space="preserve"> 3359</w:t>
      </w:r>
      <w:r w:rsidR="004C27AD" w:rsidRPr="00857CDA">
        <w:rPr>
          <w:lang w:val="ro-RO"/>
        </w:rPr>
        <w:t xml:space="preserve"> și </w:t>
      </w:r>
      <w:r w:rsidR="00EF30C2" w:rsidRPr="00857CDA">
        <w:rPr>
          <w:lang w:val="ro-RO"/>
        </w:rPr>
        <w:t xml:space="preserve">3373 </w:t>
      </w:r>
      <w:r w:rsidR="000022EF" w:rsidRPr="00857CDA">
        <w:rPr>
          <w:lang w:val="ro-RO"/>
        </w:rPr>
        <w:t>prima rubrică</w:t>
      </w:r>
      <w:r w:rsidR="00EF30C2" w:rsidRPr="00857CDA">
        <w:rPr>
          <w:lang w:val="ro-RO"/>
        </w:rPr>
        <w:t xml:space="preserve">, </w:t>
      </w:r>
      <w:r w:rsidR="00902C44" w:rsidRPr="00857CDA">
        <w:rPr>
          <w:lang w:val="ro-RO"/>
        </w:rPr>
        <w:t>se adaugă</w:t>
      </w:r>
      <w:r w:rsidR="00EF30C2" w:rsidRPr="00857CDA">
        <w:rPr>
          <w:lang w:val="ro-RO"/>
        </w:rPr>
        <w:t xml:space="preserve"> </w:t>
      </w:r>
      <w:r w:rsidR="000022EF" w:rsidRPr="00857CDA">
        <w:rPr>
          <w:lang w:val="ro-RO"/>
        </w:rPr>
        <w:t>„</w:t>
      </w:r>
      <w:r w:rsidR="00EF30C2" w:rsidRPr="00857CDA">
        <w:rPr>
          <w:lang w:val="ro-RO"/>
        </w:rPr>
        <w:t>-</w:t>
      </w:r>
      <w:r w:rsidR="00660131" w:rsidRPr="00857CDA">
        <w:rPr>
          <w:lang w:val="ro-RO"/>
        </w:rPr>
        <w:t>”</w:t>
      </w:r>
      <w:r w:rsidR="00EF30C2" w:rsidRPr="00857CDA">
        <w:rPr>
          <w:lang w:val="ro-RO"/>
        </w:rPr>
        <w:t xml:space="preserve"> </w:t>
      </w:r>
      <w:r w:rsidR="00902C44" w:rsidRPr="00857CDA">
        <w:rPr>
          <w:lang w:val="ro-RO"/>
        </w:rPr>
        <w:t xml:space="preserve">În </w:t>
      </w:r>
      <w:r w:rsidR="000022EF" w:rsidRPr="00857CDA">
        <w:rPr>
          <w:lang w:val="ro-RO"/>
        </w:rPr>
        <w:t>partea de sus a căsuței</w:t>
      </w:r>
      <w:r w:rsidR="00EF30C2" w:rsidRPr="00857CDA">
        <w:rPr>
          <w:lang w:val="ro-RO"/>
        </w:rPr>
        <w:t xml:space="preserve"> de la </w:t>
      </w:r>
      <w:r w:rsidR="00121893" w:rsidRPr="00857CDA">
        <w:rPr>
          <w:lang w:val="ro-RO"/>
        </w:rPr>
        <w:t>coloana</w:t>
      </w:r>
      <w:r w:rsidR="00EF30C2" w:rsidRPr="00857CDA">
        <w:rPr>
          <w:lang w:val="ro-RO"/>
        </w:rPr>
        <w:t xml:space="preserve"> (15).</w:t>
      </w:r>
    </w:p>
    <w:p w:rsidR="00AD3A60" w:rsidRPr="00857CDA" w:rsidRDefault="00902C44" w:rsidP="00AD3A60">
      <w:pPr>
        <w:pStyle w:val="SingleTxtG"/>
        <w:rPr>
          <w:lang w:val="ro-RO"/>
        </w:rPr>
      </w:pPr>
      <w:r w:rsidRPr="00857CDA">
        <w:rPr>
          <w:lang w:val="ro-RO"/>
        </w:rPr>
        <w:t>Se modifică</w:t>
      </w:r>
      <w:r w:rsidR="00AD3A60" w:rsidRPr="00857CDA">
        <w:rPr>
          <w:lang w:val="ro-RO"/>
        </w:rPr>
        <w:t xml:space="preserve"> </w:t>
      </w:r>
      <w:r w:rsidR="00857CDA" w:rsidRPr="00857CDA">
        <w:rPr>
          <w:lang w:val="ro-RO"/>
        </w:rPr>
        <w:t>rândul</w:t>
      </w:r>
      <w:r w:rsidR="00AD3A60" w:rsidRPr="00857CDA">
        <w:rPr>
          <w:lang w:val="ro-RO"/>
        </w:rPr>
        <w:t xml:space="preserve"> </w:t>
      </w:r>
      <w:r w:rsidR="00991390" w:rsidRPr="00857CDA">
        <w:rPr>
          <w:lang w:val="ro-RO"/>
        </w:rPr>
        <w:t>pentru</w:t>
      </w:r>
      <w:r w:rsidR="00AD3A60" w:rsidRPr="00857CDA">
        <w:rPr>
          <w:lang w:val="ro-RO"/>
        </w:rPr>
        <w:t xml:space="preserve"> </w:t>
      </w:r>
      <w:r w:rsidR="00121893" w:rsidRPr="00857CDA">
        <w:rPr>
          <w:lang w:val="ro-RO"/>
        </w:rPr>
        <w:t>Nr.</w:t>
      </w:r>
      <w:r w:rsidR="002B679C" w:rsidRPr="00857CDA">
        <w:rPr>
          <w:lang w:val="ro-RO"/>
        </w:rPr>
        <w:t xml:space="preserve"> ONU</w:t>
      </w:r>
      <w:r w:rsidR="00AD3A60" w:rsidRPr="00857CDA">
        <w:rPr>
          <w:lang w:val="ro-RO"/>
        </w:rPr>
        <w:t xml:space="preserve"> 3363</w:t>
      </w:r>
      <w:r w:rsidR="000022EF" w:rsidRPr="00857CDA">
        <w:rPr>
          <w:lang w:val="ro-RO"/>
        </w:rPr>
        <w:t>, după cum urmează</w:t>
      </w:r>
      <w:r w:rsidR="00091658" w:rsidRPr="00857CDA">
        <w:rPr>
          <w:lang w:val="ro-RO"/>
        </w:rPr>
        <w:t>:</w:t>
      </w:r>
    </w:p>
    <w:tbl>
      <w:tblPr>
        <w:tblW w:w="4241" w:type="pct"/>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8"/>
        <w:gridCol w:w="1708"/>
        <w:gridCol w:w="429"/>
        <w:gridCol w:w="424"/>
        <w:gridCol w:w="424"/>
        <w:gridCol w:w="424"/>
        <w:gridCol w:w="424"/>
        <w:gridCol w:w="428"/>
        <w:gridCol w:w="566"/>
        <w:gridCol w:w="566"/>
        <w:gridCol w:w="424"/>
        <w:gridCol w:w="424"/>
        <w:gridCol w:w="428"/>
        <w:gridCol w:w="424"/>
        <w:gridCol w:w="562"/>
      </w:tblGrid>
      <w:tr w:rsidR="00394E02" w:rsidRPr="00857CDA" w:rsidTr="00394E02">
        <w:trPr>
          <w:cantSplit/>
          <w:tblHeader/>
        </w:trPr>
        <w:tc>
          <w:tcPr>
            <w:tcW w:w="345"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(1)</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(2)</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(3a)</w:t>
            </w:r>
          </w:p>
        </w:tc>
        <w:tc>
          <w:tcPr>
            <w:tcW w:w="258" w:type="pct"/>
            <w:tcBorders>
              <w:top w:val="single" w:sz="4" w:space="0" w:color="auto"/>
              <w:left w:val="single" w:sz="4" w:space="0" w:color="auto"/>
              <w:bottom w:val="single" w:sz="4" w:space="0" w:color="auto"/>
              <w:right w:val="single" w:sz="4" w:space="0" w:color="auto"/>
            </w:tcBorders>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(3b)</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(4)</w:t>
            </w:r>
          </w:p>
        </w:tc>
        <w:tc>
          <w:tcPr>
            <w:tcW w:w="258" w:type="pct"/>
            <w:tcBorders>
              <w:top w:val="single" w:sz="4" w:space="0" w:color="auto"/>
              <w:left w:val="single" w:sz="4" w:space="0" w:color="auto"/>
              <w:bottom w:val="single" w:sz="4" w:space="0" w:color="auto"/>
              <w:right w:val="single" w:sz="4" w:space="0" w:color="auto"/>
            </w:tcBorders>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(5)</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(6)</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(7a)</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(7b)</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(8)</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(9a)</w:t>
            </w:r>
          </w:p>
        </w:tc>
        <w:tc>
          <w:tcPr>
            <w:tcW w:w="258" w:type="pct"/>
            <w:tcBorders>
              <w:top w:val="single" w:sz="4" w:space="0" w:color="auto"/>
              <w:left w:val="single" w:sz="4" w:space="0" w:color="auto"/>
              <w:bottom w:val="single" w:sz="4" w:space="0" w:color="auto"/>
              <w:right w:val="single" w:sz="4" w:space="0" w:color="auto"/>
            </w:tcBorders>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(9b)</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sz w:val="18"/>
                <w:szCs w:val="18"/>
                <w:lang w:val="ro-RO"/>
              </w:rPr>
            </w:pPr>
            <w:r w:rsidRPr="00857CDA">
              <w:rPr>
                <w:bCs/>
                <w:sz w:val="18"/>
                <w:szCs w:val="18"/>
                <w:lang w:val="ro-RO"/>
              </w:rPr>
              <w:t>(10)</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76" w:lineRule="auto"/>
              <w:jc w:val="center"/>
              <w:rPr>
                <w:bCs/>
                <w:iCs/>
                <w:sz w:val="18"/>
                <w:szCs w:val="18"/>
                <w:lang w:val="ro-RO"/>
              </w:rPr>
            </w:pPr>
            <w:r w:rsidRPr="00857CDA">
              <w:rPr>
                <w:bCs/>
                <w:iCs/>
                <w:sz w:val="18"/>
                <w:szCs w:val="18"/>
                <w:lang w:val="ro-RO"/>
              </w:rPr>
              <w:t>(11)</w:t>
            </w:r>
          </w:p>
        </w:tc>
        <w:tc>
          <w:tcPr>
            <w:tcW w:w="342" w:type="pct"/>
            <w:tcBorders>
              <w:top w:val="single" w:sz="4" w:space="0" w:color="auto"/>
              <w:left w:val="single" w:sz="4" w:space="0" w:color="auto"/>
              <w:bottom w:val="single" w:sz="4" w:space="0" w:color="auto"/>
              <w:right w:val="single" w:sz="4" w:space="0" w:color="auto"/>
            </w:tcBorders>
          </w:tcPr>
          <w:p w:rsidR="00AD3A60" w:rsidRPr="00857CDA" w:rsidRDefault="00AD3A60" w:rsidP="004A14F3">
            <w:pPr>
              <w:suppressAutoHyphens w:val="0"/>
              <w:spacing w:before="40" w:after="120" w:line="276" w:lineRule="auto"/>
              <w:jc w:val="center"/>
              <w:rPr>
                <w:bCs/>
                <w:iCs/>
                <w:sz w:val="18"/>
                <w:szCs w:val="18"/>
                <w:lang w:val="ro-RO"/>
              </w:rPr>
            </w:pPr>
            <w:r w:rsidRPr="00857CDA">
              <w:rPr>
                <w:bCs/>
                <w:iCs/>
                <w:sz w:val="18"/>
                <w:szCs w:val="18"/>
                <w:lang w:val="ro-RO"/>
              </w:rPr>
              <w:t>(12) – (20)</w:t>
            </w:r>
          </w:p>
        </w:tc>
      </w:tr>
      <w:tr w:rsidR="00394E02" w:rsidRPr="00857CDA" w:rsidTr="00394E02">
        <w:trPr>
          <w:cantSplit/>
        </w:trPr>
        <w:tc>
          <w:tcPr>
            <w:tcW w:w="345"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line="200" w:lineRule="exact"/>
              <w:jc w:val="center"/>
              <w:rPr>
                <w:sz w:val="18"/>
                <w:szCs w:val="18"/>
                <w:lang w:val="ro-RO"/>
              </w:rPr>
            </w:pPr>
            <w:r w:rsidRPr="00857CDA">
              <w:rPr>
                <w:sz w:val="18"/>
                <w:szCs w:val="18"/>
                <w:lang w:val="ro-RO"/>
              </w:rPr>
              <w:t>3363</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0022EF" w:rsidP="00AD3A60">
            <w:pPr>
              <w:tabs>
                <w:tab w:val="left" w:pos="288"/>
                <w:tab w:val="left" w:pos="576"/>
                <w:tab w:val="left" w:pos="864"/>
                <w:tab w:val="left" w:pos="1152"/>
              </w:tabs>
              <w:spacing w:after="40" w:line="210" w:lineRule="exact"/>
              <w:ind w:right="40"/>
              <w:rPr>
                <w:sz w:val="18"/>
                <w:szCs w:val="18"/>
                <w:lang w:val="ro-RO"/>
              </w:rPr>
            </w:pPr>
            <w:r w:rsidRPr="00857CDA">
              <w:rPr>
                <w:lang w:val="ro-RO"/>
              </w:rPr>
              <w:t>MĂRFURI PERICULOASE CONȚINUTE ÎN UTILAJE sau MĂRFURI PERICULOASE CONȚINUTE ÎN APARATE</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20" w:lineRule="exact"/>
              <w:jc w:val="center"/>
              <w:rPr>
                <w:sz w:val="18"/>
                <w:szCs w:val="18"/>
                <w:lang w:val="ro-RO"/>
              </w:rPr>
            </w:pPr>
            <w:r w:rsidRPr="00857CDA">
              <w:rPr>
                <w:sz w:val="18"/>
                <w:szCs w:val="18"/>
                <w:lang w:val="ro-RO"/>
              </w:rPr>
              <w:t>9</w:t>
            </w:r>
          </w:p>
        </w:tc>
        <w:tc>
          <w:tcPr>
            <w:tcW w:w="258" w:type="pct"/>
            <w:tcBorders>
              <w:top w:val="single" w:sz="4" w:space="0" w:color="auto"/>
              <w:left w:val="single" w:sz="4" w:space="0" w:color="auto"/>
              <w:bottom w:val="single" w:sz="4" w:space="0" w:color="auto"/>
              <w:right w:val="single" w:sz="4" w:space="0" w:color="auto"/>
            </w:tcBorders>
          </w:tcPr>
          <w:p w:rsidR="00AD3A60" w:rsidRPr="00857CDA" w:rsidRDefault="00AD3A60" w:rsidP="00FC5572">
            <w:pPr>
              <w:suppressAutoHyphens w:val="0"/>
              <w:spacing w:before="40" w:after="120" w:line="220" w:lineRule="exact"/>
              <w:jc w:val="center"/>
              <w:rPr>
                <w:sz w:val="18"/>
                <w:szCs w:val="18"/>
                <w:lang w:val="ro-RO"/>
              </w:rPr>
            </w:pPr>
            <w:r w:rsidRPr="00857CDA">
              <w:rPr>
                <w:sz w:val="18"/>
                <w:szCs w:val="18"/>
                <w:lang w:val="ro-RO"/>
              </w:rPr>
              <w:t>M11</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20" w:lineRule="exact"/>
              <w:jc w:val="center"/>
              <w:rPr>
                <w:sz w:val="18"/>
                <w:szCs w:val="18"/>
                <w:lang w:val="ro-RO"/>
              </w:rPr>
            </w:pPr>
          </w:p>
        </w:tc>
        <w:tc>
          <w:tcPr>
            <w:tcW w:w="258" w:type="pct"/>
            <w:tcBorders>
              <w:top w:val="single" w:sz="4" w:space="0" w:color="auto"/>
              <w:left w:val="single" w:sz="4" w:space="0" w:color="auto"/>
              <w:bottom w:val="single" w:sz="4" w:space="0" w:color="auto"/>
              <w:right w:val="single" w:sz="4" w:space="0" w:color="auto"/>
            </w:tcBorders>
          </w:tcPr>
          <w:p w:rsidR="00AD3A60" w:rsidRPr="00857CDA" w:rsidRDefault="00AD3A60" w:rsidP="00FC5572">
            <w:pPr>
              <w:suppressAutoHyphens w:val="0"/>
              <w:spacing w:before="40" w:after="120" w:line="220" w:lineRule="exact"/>
              <w:jc w:val="center"/>
              <w:rPr>
                <w:sz w:val="18"/>
                <w:szCs w:val="18"/>
                <w:lang w:val="ro-RO"/>
              </w:rPr>
            </w:pPr>
            <w:r w:rsidRPr="00857CDA">
              <w:rPr>
                <w:sz w:val="18"/>
                <w:szCs w:val="18"/>
                <w:lang w:val="ro-RO"/>
              </w:rPr>
              <w:t>9</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before="40" w:after="120" w:line="220" w:lineRule="exact"/>
              <w:jc w:val="center"/>
              <w:rPr>
                <w:sz w:val="18"/>
                <w:szCs w:val="18"/>
                <w:lang w:val="ro-RO"/>
              </w:rPr>
            </w:pPr>
            <w:r w:rsidRPr="00857CDA">
              <w:rPr>
                <w:sz w:val="18"/>
                <w:szCs w:val="18"/>
                <w:lang w:val="ro-RO"/>
              </w:rPr>
              <w:t>301</w:t>
            </w:r>
          </w:p>
          <w:p w:rsidR="00AD3A60" w:rsidRPr="00857CDA" w:rsidRDefault="00AD3A60" w:rsidP="00FC5572">
            <w:pPr>
              <w:suppressAutoHyphens w:val="0"/>
              <w:spacing w:before="40" w:after="120" w:line="220" w:lineRule="exact"/>
              <w:jc w:val="center"/>
              <w:rPr>
                <w:sz w:val="18"/>
                <w:szCs w:val="18"/>
                <w:lang w:val="ro-RO"/>
              </w:rPr>
            </w:pPr>
            <w:r w:rsidRPr="00857CDA">
              <w:rPr>
                <w:sz w:val="18"/>
                <w:szCs w:val="18"/>
                <w:lang w:val="ro-RO"/>
              </w:rPr>
              <w:t>672</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FC5572">
            <w:pPr>
              <w:suppressAutoHyphens w:val="0"/>
              <w:spacing w:before="40" w:after="120" w:line="220" w:lineRule="exact"/>
              <w:jc w:val="center"/>
              <w:rPr>
                <w:sz w:val="18"/>
                <w:szCs w:val="18"/>
                <w:lang w:val="ro-RO"/>
              </w:rPr>
            </w:pPr>
            <w:r w:rsidRPr="00857CDA">
              <w:rPr>
                <w:sz w:val="18"/>
                <w:szCs w:val="18"/>
                <w:lang w:val="ro-RO"/>
              </w:rPr>
              <w:t>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FC5572">
            <w:pPr>
              <w:suppressAutoHyphens w:val="0"/>
              <w:spacing w:before="40" w:after="120" w:line="220" w:lineRule="exact"/>
              <w:jc w:val="center"/>
              <w:rPr>
                <w:sz w:val="18"/>
                <w:szCs w:val="18"/>
                <w:lang w:val="ro-RO"/>
              </w:rPr>
            </w:pPr>
            <w:r w:rsidRPr="00857CDA">
              <w:rPr>
                <w:sz w:val="18"/>
                <w:szCs w:val="18"/>
                <w:lang w:val="ro-RO"/>
              </w:rPr>
              <w:t>E0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FC5572">
            <w:pPr>
              <w:suppressAutoHyphens w:val="0"/>
              <w:spacing w:before="40" w:after="120" w:line="220" w:lineRule="exact"/>
              <w:jc w:val="center"/>
              <w:rPr>
                <w:sz w:val="18"/>
                <w:szCs w:val="18"/>
                <w:lang w:val="ro-RO"/>
              </w:rPr>
            </w:pPr>
            <w:r w:rsidRPr="00857CDA">
              <w:rPr>
                <w:sz w:val="18"/>
                <w:szCs w:val="18"/>
                <w:lang w:val="ro-RO"/>
              </w:rPr>
              <w:t>P907</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line="200" w:lineRule="exact"/>
              <w:jc w:val="center"/>
              <w:rPr>
                <w:sz w:val="18"/>
                <w:szCs w:val="18"/>
                <w:lang w:val="ro-RO" w:eastAsia="nb-NO"/>
              </w:rPr>
            </w:pPr>
          </w:p>
        </w:tc>
        <w:tc>
          <w:tcPr>
            <w:tcW w:w="258" w:type="pct"/>
            <w:tcBorders>
              <w:top w:val="single" w:sz="4" w:space="0" w:color="auto"/>
              <w:left w:val="single" w:sz="4" w:space="0" w:color="auto"/>
              <w:bottom w:val="single" w:sz="4" w:space="0" w:color="auto"/>
              <w:right w:val="single" w:sz="4" w:space="0" w:color="auto"/>
            </w:tcBorders>
          </w:tcPr>
          <w:p w:rsidR="00AD3A60" w:rsidRPr="00857CDA" w:rsidRDefault="00AD3A60" w:rsidP="004A14F3">
            <w:pPr>
              <w:suppressAutoHyphens w:val="0"/>
              <w:spacing w:line="200" w:lineRule="exact"/>
              <w:jc w:val="center"/>
              <w:rPr>
                <w:sz w:val="18"/>
                <w:szCs w:val="18"/>
                <w:lang w:val="ro-RO" w:eastAsia="nb-N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line="200" w:lineRule="exact"/>
              <w:jc w:val="center"/>
              <w:rPr>
                <w:sz w:val="18"/>
                <w:szCs w:val="18"/>
                <w:lang w:val="ro-RO" w:eastAsia="nb-NO"/>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AD3A60" w:rsidRPr="00857CDA" w:rsidRDefault="00AD3A60" w:rsidP="004A14F3">
            <w:pPr>
              <w:suppressAutoHyphens w:val="0"/>
              <w:spacing w:line="200" w:lineRule="exact"/>
              <w:jc w:val="center"/>
              <w:rPr>
                <w:sz w:val="18"/>
                <w:szCs w:val="18"/>
                <w:lang w:val="ro-RO" w:eastAsia="nb-NO"/>
              </w:rPr>
            </w:pPr>
          </w:p>
        </w:tc>
        <w:tc>
          <w:tcPr>
            <w:tcW w:w="342" w:type="pct"/>
            <w:tcBorders>
              <w:top w:val="single" w:sz="4" w:space="0" w:color="auto"/>
              <w:left w:val="single" w:sz="4" w:space="0" w:color="auto"/>
              <w:bottom w:val="single" w:sz="4" w:space="0" w:color="auto"/>
              <w:right w:val="single" w:sz="4" w:space="0" w:color="auto"/>
            </w:tcBorders>
          </w:tcPr>
          <w:p w:rsidR="00AD3A60" w:rsidRPr="00857CDA" w:rsidRDefault="00AD3A60" w:rsidP="004A14F3">
            <w:pPr>
              <w:suppressAutoHyphens w:val="0"/>
              <w:spacing w:line="200" w:lineRule="exact"/>
              <w:jc w:val="center"/>
              <w:rPr>
                <w:sz w:val="18"/>
                <w:szCs w:val="18"/>
                <w:lang w:val="ro-RO" w:eastAsia="nb-NO"/>
              </w:rPr>
            </w:pPr>
          </w:p>
        </w:tc>
      </w:tr>
    </w:tbl>
    <w:p w:rsidR="00B822EA" w:rsidRPr="00857CDA" w:rsidRDefault="00B822EA" w:rsidP="00B822EA">
      <w:pPr>
        <w:pStyle w:val="SingleTxtG"/>
        <w:rPr>
          <w:lang w:val="ro-RO"/>
        </w:rPr>
      </w:pPr>
    </w:p>
    <w:p w:rsidR="000029D1" w:rsidRPr="00857CDA" w:rsidRDefault="00991390" w:rsidP="00B822EA">
      <w:pPr>
        <w:pStyle w:val="SingleTxtG"/>
        <w:rPr>
          <w:lang w:val="ro-RO"/>
        </w:rPr>
      </w:pPr>
      <w:r w:rsidRPr="00857CDA">
        <w:rPr>
          <w:lang w:val="ro-RO"/>
        </w:rPr>
        <w:t>Pentru</w:t>
      </w:r>
      <w:r w:rsidR="002F085E" w:rsidRPr="00857CDA">
        <w:rPr>
          <w:lang w:val="ro-RO"/>
        </w:rPr>
        <w:t xml:space="preserve"> </w:t>
      </w:r>
      <w:r w:rsidR="00121893" w:rsidRPr="00857CDA">
        <w:rPr>
          <w:lang w:val="ro-RO"/>
        </w:rPr>
        <w:t>Nr.</w:t>
      </w:r>
      <w:r w:rsidR="002B679C" w:rsidRPr="00857CDA">
        <w:rPr>
          <w:lang w:val="ro-RO"/>
        </w:rPr>
        <w:t xml:space="preserve"> ONU</w:t>
      </w:r>
      <w:r w:rsidR="002F085E" w:rsidRPr="00857CDA">
        <w:rPr>
          <w:lang w:val="ro-RO"/>
        </w:rPr>
        <w:t xml:space="preserve"> 3528, </w:t>
      </w:r>
      <w:r w:rsidR="00902C44" w:rsidRPr="00857CDA">
        <w:rPr>
          <w:lang w:val="ro-RO"/>
        </w:rPr>
        <w:t>În</w:t>
      </w:r>
      <w:r w:rsidR="002F085E" w:rsidRPr="00857CDA">
        <w:rPr>
          <w:lang w:val="ro-RO"/>
        </w:rPr>
        <w:t xml:space="preserve"> </w:t>
      </w:r>
      <w:r w:rsidR="00121893" w:rsidRPr="00857CDA">
        <w:rPr>
          <w:lang w:val="ro-RO"/>
        </w:rPr>
        <w:t>coloana</w:t>
      </w:r>
      <w:r w:rsidR="002F085E" w:rsidRPr="00857CDA">
        <w:rPr>
          <w:lang w:val="ro-RO"/>
        </w:rPr>
        <w:t xml:space="preserve"> (15), </w:t>
      </w:r>
      <w:r w:rsidR="000022EF" w:rsidRPr="00857CDA">
        <w:rPr>
          <w:lang w:val="ro-RO"/>
        </w:rPr>
        <w:t>se introduce</w:t>
      </w:r>
      <w:r w:rsidR="002F085E" w:rsidRPr="00857CDA">
        <w:rPr>
          <w:lang w:val="ro-RO"/>
        </w:rPr>
        <w:t xml:space="preserve"> </w:t>
      </w:r>
    </w:p>
    <w:p w:rsidR="002F085E" w:rsidRPr="00857CDA" w:rsidRDefault="00660131" w:rsidP="002F085E">
      <w:pPr>
        <w:pStyle w:val="SingleTxtG"/>
        <w:rPr>
          <w:lang w:val="ro-RO"/>
        </w:rPr>
      </w:pPr>
      <w:r w:rsidRPr="00857CDA">
        <w:rPr>
          <w:lang w:val="ro-RO"/>
        </w:rPr>
        <w:t>“</w:t>
      </w:r>
      <w:r w:rsidR="00FB1878" w:rsidRPr="00857CDA">
        <w:rPr>
          <w:lang w:val="ro-RO"/>
        </w:rPr>
        <w:t>-</w:t>
      </w:r>
      <w:r w:rsidR="00FB1878" w:rsidRPr="00857CDA">
        <w:rPr>
          <w:lang w:val="ro-RO"/>
        </w:rPr>
        <w:br/>
      </w:r>
      <w:r w:rsidR="002F085E" w:rsidRPr="00857CDA">
        <w:rPr>
          <w:lang w:val="ro-RO"/>
        </w:rPr>
        <w:t>(D)</w:t>
      </w:r>
      <w:r w:rsidRPr="00857CDA">
        <w:rPr>
          <w:lang w:val="ro-RO"/>
        </w:rPr>
        <w:t>”</w:t>
      </w:r>
      <w:r w:rsidR="002F085E" w:rsidRPr="00857CDA">
        <w:rPr>
          <w:lang w:val="ro-RO"/>
        </w:rPr>
        <w:t>.</w:t>
      </w:r>
    </w:p>
    <w:p w:rsidR="000029D1" w:rsidRPr="00857CDA" w:rsidRDefault="00991390" w:rsidP="002F085E">
      <w:pPr>
        <w:pStyle w:val="SingleTxtG"/>
        <w:rPr>
          <w:lang w:val="ro-RO"/>
        </w:rPr>
      </w:pPr>
      <w:r w:rsidRPr="00857CDA">
        <w:rPr>
          <w:lang w:val="ro-RO"/>
        </w:rPr>
        <w:t>Pentru</w:t>
      </w:r>
      <w:r w:rsidR="002F085E" w:rsidRPr="00857CDA">
        <w:rPr>
          <w:lang w:val="ro-RO"/>
        </w:rPr>
        <w:t xml:space="preserve"> </w:t>
      </w:r>
      <w:r w:rsidR="00121893" w:rsidRPr="00857CDA">
        <w:rPr>
          <w:lang w:val="ro-RO"/>
        </w:rPr>
        <w:t>Nr.</w:t>
      </w:r>
      <w:r w:rsidR="002B679C" w:rsidRPr="00857CDA">
        <w:rPr>
          <w:lang w:val="ro-RO"/>
        </w:rPr>
        <w:t xml:space="preserve"> ONU</w:t>
      </w:r>
      <w:r w:rsidR="002F085E" w:rsidRPr="00857CDA">
        <w:rPr>
          <w:lang w:val="ro-RO"/>
        </w:rPr>
        <w:t xml:space="preserve"> 3529, </w:t>
      </w:r>
      <w:r w:rsidR="00902C44" w:rsidRPr="00857CDA">
        <w:rPr>
          <w:lang w:val="ro-RO"/>
        </w:rPr>
        <w:t xml:space="preserve">În </w:t>
      </w:r>
      <w:r w:rsidR="00121893" w:rsidRPr="00857CDA">
        <w:rPr>
          <w:lang w:val="ro-RO"/>
        </w:rPr>
        <w:t>coloana</w:t>
      </w:r>
      <w:r w:rsidR="002F085E" w:rsidRPr="00857CDA">
        <w:rPr>
          <w:lang w:val="ro-RO"/>
        </w:rPr>
        <w:t xml:space="preserve"> (15), </w:t>
      </w:r>
      <w:r w:rsidR="000022EF" w:rsidRPr="00857CDA">
        <w:rPr>
          <w:lang w:val="ro-RO"/>
        </w:rPr>
        <w:t>se introduce</w:t>
      </w:r>
      <w:r w:rsidR="002F085E" w:rsidRPr="00857CDA">
        <w:rPr>
          <w:lang w:val="ro-RO"/>
        </w:rPr>
        <w:t xml:space="preserve"> </w:t>
      </w:r>
    </w:p>
    <w:p w:rsidR="002F085E" w:rsidRPr="00857CDA" w:rsidRDefault="00660131" w:rsidP="002F085E">
      <w:pPr>
        <w:pStyle w:val="SingleTxtG"/>
        <w:rPr>
          <w:lang w:val="ro-RO"/>
        </w:rPr>
      </w:pPr>
      <w:r w:rsidRPr="00857CDA">
        <w:rPr>
          <w:lang w:val="ro-RO"/>
        </w:rPr>
        <w:t>“</w:t>
      </w:r>
      <w:r w:rsidR="00FB1878" w:rsidRPr="00857CDA">
        <w:rPr>
          <w:lang w:val="ro-RO"/>
        </w:rPr>
        <w:t>-</w:t>
      </w:r>
      <w:r w:rsidR="00FB1878" w:rsidRPr="00857CDA">
        <w:rPr>
          <w:lang w:val="ro-RO"/>
        </w:rPr>
        <w:br/>
      </w:r>
      <w:r w:rsidR="002F085E" w:rsidRPr="00857CDA">
        <w:rPr>
          <w:lang w:val="ro-RO"/>
        </w:rPr>
        <w:t>(B)</w:t>
      </w:r>
      <w:r w:rsidRPr="00857CDA">
        <w:rPr>
          <w:lang w:val="ro-RO"/>
        </w:rPr>
        <w:t>”</w:t>
      </w:r>
      <w:r w:rsidR="002F085E" w:rsidRPr="00857CDA">
        <w:rPr>
          <w:lang w:val="ro-RO"/>
        </w:rPr>
        <w:t>.</w:t>
      </w:r>
    </w:p>
    <w:p w:rsidR="000029D1" w:rsidRPr="00857CDA" w:rsidRDefault="00991390" w:rsidP="002F085E">
      <w:pPr>
        <w:pStyle w:val="SingleTxtG"/>
        <w:rPr>
          <w:lang w:val="ro-RO"/>
        </w:rPr>
      </w:pPr>
      <w:r w:rsidRPr="00857CDA">
        <w:rPr>
          <w:lang w:val="ro-RO"/>
        </w:rPr>
        <w:t>Pentru</w:t>
      </w:r>
      <w:r w:rsidR="002F085E" w:rsidRPr="00857CDA">
        <w:rPr>
          <w:lang w:val="ro-RO"/>
        </w:rPr>
        <w:t xml:space="preserve"> </w:t>
      </w:r>
      <w:r w:rsidR="00121893" w:rsidRPr="00857CDA">
        <w:rPr>
          <w:lang w:val="ro-RO"/>
        </w:rPr>
        <w:t>Nr.</w:t>
      </w:r>
      <w:r w:rsidR="002B679C" w:rsidRPr="00857CDA">
        <w:rPr>
          <w:lang w:val="ro-RO"/>
        </w:rPr>
        <w:t xml:space="preserve"> ONU</w:t>
      </w:r>
      <w:r w:rsidR="002F085E" w:rsidRPr="00857CDA">
        <w:rPr>
          <w:lang w:val="ro-RO"/>
        </w:rPr>
        <w:t xml:space="preserve"> 3530, </w:t>
      </w:r>
      <w:r w:rsidR="00902C44" w:rsidRPr="00857CDA">
        <w:rPr>
          <w:lang w:val="ro-RO"/>
        </w:rPr>
        <w:t xml:space="preserve">În </w:t>
      </w:r>
      <w:r w:rsidR="00121893" w:rsidRPr="00857CDA">
        <w:rPr>
          <w:lang w:val="ro-RO"/>
        </w:rPr>
        <w:t>coloana</w:t>
      </w:r>
      <w:r w:rsidR="002F085E" w:rsidRPr="00857CDA">
        <w:rPr>
          <w:lang w:val="ro-RO"/>
        </w:rPr>
        <w:t xml:space="preserve"> (15), </w:t>
      </w:r>
      <w:r w:rsidR="000022EF" w:rsidRPr="00857CDA">
        <w:rPr>
          <w:lang w:val="ro-RO"/>
        </w:rPr>
        <w:t>se introduce</w:t>
      </w:r>
      <w:r w:rsidR="002F085E" w:rsidRPr="00857CDA">
        <w:rPr>
          <w:lang w:val="ro-RO"/>
        </w:rPr>
        <w:t xml:space="preserve"> </w:t>
      </w:r>
    </w:p>
    <w:p w:rsidR="00AD3A60" w:rsidRPr="00857CDA" w:rsidRDefault="00660131" w:rsidP="00AD3A60">
      <w:pPr>
        <w:pStyle w:val="SingleTxtG"/>
        <w:rPr>
          <w:highlight w:val="yellow"/>
          <w:lang w:val="ro-RO"/>
        </w:rPr>
      </w:pPr>
      <w:r w:rsidRPr="00857CDA">
        <w:rPr>
          <w:lang w:val="ro-RO"/>
        </w:rPr>
        <w:t>“</w:t>
      </w:r>
      <w:r w:rsidR="00FB1878" w:rsidRPr="00857CDA">
        <w:rPr>
          <w:lang w:val="ro-RO"/>
        </w:rPr>
        <w:t>-</w:t>
      </w:r>
      <w:r w:rsidR="00FB1878" w:rsidRPr="00857CDA">
        <w:rPr>
          <w:lang w:val="ro-RO"/>
        </w:rPr>
        <w:br/>
      </w:r>
      <w:r w:rsidR="002F085E" w:rsidRPr="00857CDA">
        <w:rPr>
          <w:lang w:val="ro-RO"/>
        </w:rPr>
        <w:t>(E)</w:t>
      </w:r>
      <w:r w:rsidRPr="00857CDA">
        <w:rPr>
          <w:lang w:val="ro-RO"/>
        </w:rPr>
        <w:t>”</w:t>
      </w:r>
      <w:r w:rsidR="002F085E" w:rsidRPr="00857CDA">
        <w:rPr>
          <w:lang w:val="ro-RO"/>
        </w:rPr>
        <w:t>.</w:t>
      </w:r>
    </w:p>
    <w:p w:rsidR="00AD3A60" w:rsidRPr="00857CDA" w:rsidRDefault="00AD3A60" w:rsidP="00AD3A60">
      <w:pPr>
        <w:pStyle w:val="SingleTxtG"/>
        <w:rPr>
          <w:highlight w:val="yellow"/>
          <w:lang w:val="ro-RO"/>
        </w:rPr>
        <w:sectPr w:rsidR="00AD3A60" w:rsidRPr="00857CDA" w:rsidSect="006201FD">
          <w:headerReference w:type="even" r:id="rId11"/>
          <w:headerReference w:type="default" r:id="rId12"/>
          <w:footerReference w:type="even" r:id="rId13"/>
          <w:footerReference w:type="default" r:id="rId14"/>
          <w:footnotePr>
            <w:numStart w:val="6"/>
          </w:footnotePr>
          <w:endnotePr>
            <w:numFmt w:val="decimal"/>
          </w:endnotePr>
          <w:pgSz w:w="11907" w:h="16840" w:code="9"/>
          <w:pgMar w:top="1701" w:right="1134" w:bottom="2268" w:left="1134" w:header="1134" w:footer="1701" w:gutter="0"/>
          <w:cols w:space="720"/>
          <w:titlePg/>
          <w:docGrid w:linePitch="272"/>
        </w:sectPr>
      </w:pPr>
    </w:p>
    <w:p w:rsidR="00F12F57" w:rsidRPr="00857CDA" w:rsidRDefault="00902C44" w:rsidP="00F12F57">
      <w:pPr>
        <w:pStyle w:val="SingleTxtG"/>
        <w:rPr>
          <w:i/>
          <w:lang w:val="ro-RO"/>
        </w:rPr>
      </w:pPr>
      <w:r w:rsidRPr="00857CDA">
        <w:rPr>
          <w:lang w:val="ro-RO"/>
        </w:rPr>
        <w:lastRenderedPageBreak/>
        <w:t>Se adaugă</w:t>
      </w:r>
      <w:r w:rsidR="00196C06" w:rsidRPr="00857CDA">
        <w:rPr>
          <w:lang w:val="ro-RO"/>
        </w:rPr>
        <w:t xml:space="preserve"> </w:t>
      </w:r>
      <w:r w:rsidR="006A1ED1" w:rsidRPr="00857CDA">
        <w:rPr>
          <w:lang w:val="ro-RO"/>
        </w:rPr>
        <w:t>noi</w:t>
      </w:r>
      <w:r w:rsidR="00196C06" w:rsidRPr="00857CDA">
        <w:rPr>
          <w:lang w:val="ro-RO"/>
        </w:rPr>
        <w:t xml:space="preserve"> rubri</w:t>
      </w:r>
      <w:r w:rsidR="00F67C60" w:rsidRPr="00857CDA">
        <w:rPr>
          <w:lang w:val="ro-RO"/>
        </w:rPr>
        <w:t>ci, după cum urmează:</w:t>
      </w:r>
      <w:r w:rsidR="00F12F57" w:rsidRPr="00857CDA">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3423"/>
        <w:gridCol w:w="346"/>
        <w:gridCol w:w="496"/>
        <w:gridCol w:w="266"/>
        <w:gridCol w:w="795"/>
        <w:gridCol w:w="326"/>
        <w:gridCol w:w="377"/>
        <w:gridCol w:w="356"/>
        <w:gridCol w:w="537"/>
        <w:gridCol w:w="346"/>
        <w:gridCol w:w="497"/>
        <w:gridCol w:w="356"/>
        <w:gridCol w:w="447"/>
        <w:gridCol w:w="547"/>
        <w:gridCol w:w="595"/>
        <w:gridCol w:w="356"/>
        <w:gridCol w:w="466"/>
        <w:gridCol w:w="366"/>
        <w:gridCol w:w="356"/>
        <w:gridCol w:w="487"/>
        <w:gridCol w:w="414"/>
        <w:gridCol w:w="356"/>
      </w:tblGrid>
      <w:tr w:rsidR="001E52BC" w:rsidRPr="00857CDA" w:rsidTr="004A05F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(3a)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(3b)</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(5)</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(6)</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(7a)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(7b)</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(8)</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(9a)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(9b)</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sz w:val="18"/>
                <w:szCs w:val="18"/>
                <w:lang w:val="ro-RO"/>
              </w:rPr>
              <w:t>(10)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(15)</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(16)</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(17)</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(18)</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(19)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4A05F2">
            <w:pPr>
              <w:suppressAutoHyphens w:val="0"/>
              <w:spacing w:line="276" w:lineRule="auto"/>
              <w:jc w:val="center"/>
              <w:rPr>
                <w:bCs/>
                <w:sz w:val="18"/>
                <w:szCs w:val="18"/>
                <w:lang w:val="ro-RO"/>
              </w:rPr>
            </w:pPr>
            <w:r w:rsidRPr="00857CDA">
              <w:rPr>
                <w:bCs/>
                <w:iCs/>
                <w:sz w:val="18"/>
                <w:szCs w:val="18"/>
                <w:lang w:val="ro-RO"/>
              </w:rPr>
              <w:t>(20)</w:t>
            </w: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7C4A3C" w:rsidP="006A6437">
            <w:pPr>
              <w:spacing w:line="240" w:lineRule="auto"/>
              <w:rPr>
                <w:sz w:val="18"/>
                <w:szCs w:val="18"/>
                <w:lang w:val="ro-RO" w:eastAsia="zh-CN"/>
              </w:rPr>
            </w:pPr>
            <w:r w:rsidRPr="00857CDA">
              <w:rPr>
                <w:sz w:val="18"/>
                <w:szCs w:val="18"/>
                <w:lang w:val="ro-RO" w:eastAsia="zh-CN"/>
              </w:rPr>
              <w:t>SOLID ANORGANIC TOXIC, INFLAMABIL,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6.1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TF3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I</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20" w:lineRule="exact"/>
              <w:jc w:val="center"/>
              <w:rPr>
                <w:sz w:val="18"/>
                <w:szCs w:val="18"/>
                <w:lang w:val="ro-RO" w:eastAsia="zh-CN"/>
              </w:rPr>
            </w:pPr>
            <w:r w:rsidRPr="00857CDA">
              <w:rPr>
                <w:sz w:val="18"/>
                <w:szCs w:val="18"/>
                <w:lang w:val="ro-RO"/>
              </w:rPr>
              <w:t>6.1</w:t>
            </w:r>
            <w:r w:rsidRPr="00857CDA">
              <w:rPr>
                <w:sz w:val="18"/>
                <w:szCs w:val="18"/>
                <w:lang w:val="ro-RO"/>
              </w:rPr>
              <w:br/>
              <w:t>+4.1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274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E5</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P002</w:t>
            </w:r>
            <w:r w:rsidRPr="00857CDA">
              <w:rPr>
                <w:sz w:val="18"/>
                <w:szCs w:val="18"/>
                <w:lang w:val="ro-RO"/>
              </w:rPr>
              <w:br/>
              <w:t>IBC99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MP18</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T6</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TP33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AT</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rPr>
              <w:t>1</w:t>
            </w:r>
            <w:r w:rsidRPr="00857CDA">
              <w:rPr>
                <w:sz w:val="18"/>
                <w:szCs w:val="18"/>
                <w:lang w:val="ro-RO"/>
              </w:rPr>
              <w:br/>
              <w:t>(C/E)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V10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CV1</w:t>
            </w:r>
            <w:r w:rsidRPr="00857CDA">
              <w:rPr>
                <w:sz w:val="18"/>
                <w:szCs w:val="18"/>
                <w:lang w:val="ro-RO"/>
              </w:rPr>
              <w:br/>
              <w:t>CV13</w:t>
            </w:r>
            <w:r w:rsidRPr="00857CDA">
              <w:rPr>
                <w:sz w:val="18"/>
                <w:szCs w:val="18"/>
                <w:lang w:val="ro-RO"/>
              </w:rPr>
              <w:br/>
              <w:t>CV28</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S9 S14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664</w:t>
            </w: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54037E" w:rsidP="006A6437">
            <w:pPr>
              <w:spacing w:line="240" w:lineRule="auto"/>
              <w:rPr>
                <w:sz w:val="18"/>
                <w:szCs w:val="18"/>
                <w:lang w:val="ro-RO" w:eastAsia="zh-CN"/>
              </w:rPr>
            </w:pPr>
            <w:r w:rsidRPr="00857CDA">
              <w:rPr>
                <w:sz w:val="18"/>
                <w:szCs w:val="18"/>
                <w:lang w:val="ro-RO" w:eastAsia="zh-CN"/>
              </w:rPr>
              <w:t>SOLID ANORGANIC TOXIC, INFLAMABIL,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6.1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TF3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II</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20" w:lineRule="exact"/>
              <w:jc w:val="center"/>
              <w:rPr>
                <w:sz w:val="18"/>
                <w:szCs w:val="18"/>
                <w:lang w:val="ro-RO" w:eastAsia="zh-CN"/>
              </w:rPr>
            </w:pPr>
            <w:r w:rsidRPr="00857CDA">
              <w:rPr>
                <w:sz w:val="18"/>
                <w:szCs w:val="18"/>
                <w:lang w:val="ro-RO"/>
              </w:rPr>
              <w:t>6.1</w:t>
            </w:r>
            <w:r w:rsidRPr="00857CDA">
              <w:rPr>
                <w:sz w:val="18"/>
                <w:szCs w:val="18"/>
                <w:lang w:val="ro-RO"/>
              </w:rPr>
              <w:br/>
              <w:t>+4.1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274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500 g</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P002</w:t>
            </w:r>
            <w:r w:rsidRPr="00857CDA">
              <w:rPr>
                <w:sz w:val="18"/>
                <w:szCs w:val="18"/>
                <w:lang w:val="ro-RO"/>
              </w:rPr>
              <w:br/>
              <w:t>IBC08</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br/>
              <w:t>B4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MP10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T3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TP33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SGAH</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pacing w:line="240" w:lineRule="auto"/>
              <w:jc w:val="center"/>
              <w:rPr>
                <w:sz w:val="18"/>
                <w:szCs w:val="18"/>
                <w:lang w:val="ro-RO" w:eastAsia="zh-CN"/>
              </w:rPr>
            </w:pPr>
            <w:r w:rsidRPr="00857CDA">
              <w:rPr>
                <w:sz w:val="18"/>
                <w:szCs w:val="18"/>
                <w:lang w:val="ro-RO"/>
              </w:rPr>
              <w:t>TU15 TE19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AT</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pacing w:line="240" w:lineRule="auto"/>
              <w:jc w:val="center"/>
              <w:rPr>
                <w:sz w:val="18"/>
                <w:szCs w:val="18"/>
                <w:lang w:val="ro-RO" w:eastAsia="zh-CN"/>
              </w:rPr>
            </w:pPr>
            <w:r w:rsidRPr="00857CDA">
              <w:rPr>
                <w:sz w:val="18"/>
                <w:szCs w:val="18"/>
                <w:lang w:val="ro-RO"/>
              </w:rPr>
              <w:t>2</w:t>
            </w:r>
            <w:r w:rsidRPr="00857CDA">
              <w:rPr>
                <w:sz w:val="18"/>
                <w:szCs w:val="18"/>
                <w:lang w:val="ro-RO"/>
              </w:rPr>
              <w:br/>
              <w:t>(D/E)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V11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rPr>
              <w:t>CV13</w:t>
            </w:r>
            <w:r w:rsidRPr="00857CDA">
              <w:rPr>
                <w:sz w:val="18"/>
                <w:szCs w:val="18"/>
                <w:lang w:val="ro-RO"/>
              </w:rPr>
              <w:br/>
              <w:t>CV28</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S9 S19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nb-NO"/>
              </w:rPr>
              <w:t>64</w:t>
            </w: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54037E" w:rsidP="006A6437">
            <w:pPr>
              <w:spacing w:line="240" w:lineRule="auto"/>
              <w:rPr>
                <w:sz w:val="18"/>
                <w:szCs w:val="18"/>
                <w:lang w:val="ro-RO" w:eastAsia="zh-CN"/>
              </w:rPr>
            </w:pPr>
            <w:r w:rsidRPr="00857CDA">
              <w:rPr>
                <w:sz w:val="18"/>
                <w:szCs w:val="18"/>
                <w:lang w:val="ro-RO"/>
              </w:rPr>
              <w:t>BATERII CU LITIU INSTALATE ÎN UNITĂȚI DE TRANSPORT MARFĂ baterii cu litiu ion sau baterii cu litiu metal</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r w:rsidRPr="00857CDA">
              <w:rPr>
                <w:sz w:val="18"/>
                <w:szCs w:val="18"/>
                <w:lang w:val="ro-RO"/>
              </w:rPr>
              <w:t>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r w:rsidRPr="00857CDA">
              <w:rPr>
                <w:sz w:val="18"/>
                <w:szCs w:val="18"/>
                <w:lang w:val="ro-RO"/>
              </w:rPr>
              <w:t>M4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r w:rsidRPr="00857CDA">
              <w:rPr>
                <w:sz w:val="18"/>
                <w:szCs w:val="18"/>
                <w:lang w:val="ro-RO" w:eastAsia="nb-NO"/>
              </w:rPr>
              <w:t>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r w:rsidRPr="00857CDA">
              <w:rPr>
                <w:sz w:val="18"/>
                <w:szCs w:val="18"/>
                <w:lang w:val="ro-RO" w:eastAsia="nb-NO"/>
              </w:rPr>
              <w:t>389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r w:rsidRPr="00857CDA">
              <w:rPr>
                <w:sz w:val="18"/>
                <w:szCs w:val="18"/>
                <w:lang w:val="ro-RO" w:eastAsia="nb-N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r w:rsidRPr="00857CDA">
              <w:rPr>
                <w:sz w:val="18"/>
                <w:szCs w:val="18"/>
                <w:lang w:val="ro-RO" w:eastAsia="nb-N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40" w:lineRule="auto"/>
              <w:jc w:val="center"/>
              <w:rPr>
                <w:sz w:val="18"/>
                <w:szCs w:val="18"/>
                <w:lang w:val="ro-RO" w:eastAsia="en-GB"/>
              </w:rPr>
            </w:pPr>
            <w:r w:rsidRPr="00857CDA">
              <w:rPr>
                <w:sz w:val="18"/>
                <w:szCs w:val="18"/>
                <w:lang w:val="ro-RO"/>
              </w:rPr>
              <w:t>-</w:t>
            </w:r>
            <w:r w:rsidRPr="00857CDA">
              <w:rPr>
                <w:sz w:val="18"/>
                <w:szCs w:val="18"/>
                <w:lang w:val="ro-RO"/>
              </w:rPr>
              <w:br/>
              <w:t>(E)</w:t>
            </w:r>
          </w:p>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7D7488">
            <w:pPr>
              <w:spacing w:line="240" w:lineRule="auto"/>
              <w:jc w:val="center"/>
              <w:rPr>
                <w:sz w:val="18"/>
                <w:szCs w:val="18"/>
                <w:lang w:val="ro-RO"/>
              </w:rPr>
            </w:pPr>
            <w:r w:rsidRPr="00857CDA">
              <w:rPr>
                <w:sz w:val="18"/>
                <w:szCs w:val="18"/>
                <w:lang w:val="ro-RO" w:eastAsia="nb-NO"/>
              </w:rPr>
              <w:t>90</w:t>
            </w: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54037E" w:rsidP="006A6437">
            <w:pPr>
              <w:spacing w:line="240" w:lineRule="auto"/>
              <w:rPr>
                <w:sz w:val="18"/>
                <w:szCs w:val="18"/>
                <w:lang w:val="ro-RO" w:eastAsia="zh-CN"/>
              </w:rPr>
            </w:pPr>
            <w:r w:rsidRPr="00857CDA">
              <w:rPr>
                <w:sz w:val="18"/>
                <w:szCs w:val="18"/>
                <w:lang w:val="ro-RO" w:eastAsia="zh-CN"/>
              </w:rPr>
              <w:t>OBIECTE CARE CONȚIN GAZ INFLAMABIL,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6F</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43120D" w:rsidP="006A6437">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autoSpaceDE w:val="0"/>
              <w:autoSpaceDN w:val="0"/>
              <w:adjustRightInd w:val="0"/>
              <w:spacing w:line="220" w:lineRule="exact"/>
              <w:ind w:right="113"/>
              <w:jc w:val="center"/>
              <w:rPr>
                <w:sz w:val="18"/>
                <w:szCs w:val="18"/>
                <w:lang w:val="ro-RO"/>
              </w:rPr>
            </w:pP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4037E" w:rsidRPr="00857CDA" w:rsidRDefault="0054037E" w:rsidP="006A6437">
            <w:pPr>
              <w:spacing w:line="240" w:lineRule="auto"/>
              <w:rPr>
                <w:sz w:val="18"/>
                <w:szCs w:val="18"/>
                <w:lang w:val="ro-RO" w:eastAsia="zh-CN"/>
              </w:rPr>
            </w:pPr>
            <w:r w:rsidRPr="00857CDA">
              <w:rPr>
                <w:sz w:val="18"/>
                <w:szCs w:val="18"/>
                <w:lang w:val="ro-RO" w:eastAsia="zh-CN"/>
              </w:rPr>
              <w:t>OBIECTE CARE CONȚIN GAZ NEINFLAMABIL, NETOXIC,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6A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43120D" w:rsidP="006A6437">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54037E" w:rsidP="006A6437">
            <w:pPr>
              <w:spacing w:line="240" w:lineRule="auto"/>
              <w:rPr>
                <w:sz w:val="18"/>
                <w:szCs w:val="18"/>
                <w:lang w:val="ro-RO" w:eastAsia="zh-CN"/>
              </w:rPr>
            </w:pPr>
            <w:r w:rsidRPr="00857CDA">
              <w:rPr>
                <w:sz w:val="18"/>
                <w:szCs w:val="18"/>
                <w:lang w:val="ro-RO" w:eastAsia="zh-CN"/>
              </w:rPr>
              <w:t>OBIECTE CARE CONȚIN GAZ TOXIC,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6T</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43120D" w:rsidP="006A6437">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54037E" w:rsidP="006A6437">
            <w:pPr>
              <w:spacing w:line="240" w:lineRule="auto"/>
              <w:rPr>
                <w:sz w:val="18"/>
                <w:szCs w:val="18"/>
                <w:lang w:val="ro-RO" w:eastAsia="zh-CN"/>
              </w:rPr>
            </w:pPr>
            <w:r w:rsidRPr="00857CDA">
              <w:rPr>
                <w:sz w:val="18"/>
                <w:szCs w:val="18"/>
                <w:lang w:val="ro-RO" w:eastAsia="zh-CN"/>
              </w:rPr>
              <w:t>OBIECTE CARE CONȚIN LICHID INFLAMABIL,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F3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43120D" w:rsidP="006A6437">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54037E" w:rsidP="006A6437">
            <w:pPr>
              <w:spacing w:line="240" w:lineRule="auto"/>
              <w:rPr>
                <w:sz w:val="18"/>
                <w:szCs w:val="18"/>
                <w:lang w:val="ro-RO" w:eastAsia="zh-CN"/>
              </w:rPr>
            </w:pPr>
            <w:r w:rsidRPr="00857CDA">
              <w:rPr>
                <w:sz w:val="18"/>
                <w:szCs w:val="18"/>
                <w:lang w:val="ro-RO" w:eastAsia="zh-CN"/>
              </w:rPr>
              <w:t>OBIECTE CARE CONȚIN SOLID INFLAMABIL,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4.1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F4</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D7488" w:rsidRPr="00857CDA" w:rsidRDefault="0043120D" w:rsidP="007D7488">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43120D" w:rsidP="006A6437">
            <w:pPr>
              <w:spacing w:line="240" w:lineRule="auto"/>
              <w:rPr>
                <w:sz w:val="18"/>
                <w:szCs w:val="18"/>
                <w:lang w:val="ro-RO" w:eastAsia="zh-CN"/>
              </w:rPr>
            </w:pPr>
            <w:r w:rsidRPr="00857CDA">
              <w:rPr>
                <w:sz w:val="18"/>
                <w:szCs w:val="18"/>
                <w:lang w:val="ro-RO" w:eastAsia="zh-CN"/>
              </w:rPr>
              <w:t>OBIECTE CARE CONȚIN O SUBSTANȚĂ PREDISPUSĂ LA APRINDERE SPONTANĂ,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4.2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S6</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D7488" w:rsidRPr="00857CDA" w:rsidRDefault="0043120D" w:rsidP="007D7488">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120D" w:rsidRPr="00857CDA" w:rsidRDefault="0043120D" w:rsidP="006A6437">
            <w:pPr>
              <w:spacing w:line="240" w:lineRule="auto"/>
              <w:rPr>
                <w:sz w:val="18"/>
                <w:szCs w:val="18"/>
                <w:lang w:val="ro-RO" w:eastAsia="zh-CN"/>
              </w:rPr>
            </w:pPr>
            <w:r w:rsidRPr="00857CDA">
              <w:rPr>
                <w:sz w:val="18"/>
                <w:szCs w:val="18"/>
                <w:lang w:val="ro-RO" w:eastAsia="zh-CN"/>
              </w:rPr>
              <w:t>OBIECTE CARE CONȚIN O SUBSTANȚĂ CARE ÎN CONTACT CU APA DEGAJĂ GAZE INFLAMABILE,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4.3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W3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D7488" w:rsidRPr="00857CDA" w:rsidRDefault="0043120D" w:rsidP="007D7488">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43120D" w:rsidP="006A6437">
            <w:pPr>
              <w:spacing w:line="240" w:lineRule="auto"/>
              <w:rPr>
                <w:sz w:val="18"/>
                <w:szCs w:val="18"/>
                <w:lang w:val="ro-RO" w:eastAsia="zh-CN"/>
              </w:rPr>
            </w:pPr>
            <w:r w:rsidRPr="00857CDA">
              <w:rPr>
                <w:sz w:val="18"/>
                <w:szCs w:val="18"/>
                <w:lang w:val="ro-RO" w:eastAsia="zh-CN"/>
              </w:rPr>
              <w:t>OBIECTE CARE CONȚIN O SUBSTANȚĂ COMBURANTĂ,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5.1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O3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D7488" w:rsidRPr="00857CDA" w:rsidRDefault="0043120D" w:rsidP="007D7488">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43120D" w:rsidP="006A6437">
            <w:pPr>
              <w:spacing w:line="240" w:lineRule="auto"/>
              <w:rPr>
                <w:sz w:val="18"/>
                <w:szCs w:val="18"/>
                <w:lang w:val="ro-RO" w:eastAsia="zh-CN"/>
              </w:rPr>
            </w:pPr>
            <w:r w:rsidRPr="00857CDA">
              <w:rPr>
                <w:sz w:val="18"/>
                <w:szCs w:val="18"/>
                <w:lang w:val="ro-RO" w:eastAsia="zh-CN"/>
              </w:rPr>
              <w:t>OBIECTE CARE CONȚIN PEROXID ORGANIC,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5.2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C75D71">
            <w:pPr>
              <w:spacing w:line="240" w:lineRule="auto"/>
              <w:jc w:val="center"/>
              <w:rPr>
                <w:sz w:val="18"/>
                <w:szCs w:val="18"/>
                <w:lang w:val="ro-RO" w:eastAsia="zh-CN"/>
              </w:rPr>
            </w:pPr>
            <w:r w:rsidRPr="00857CDA">
              <w:rPr>
                <w:bCs/>
                <w:sz w:val="18"/>
                <w:szCs w:val="18"/>
                <w:lang w:val="ro-RO"/>
              </w:rPr>
              <w:t xml:space="preserve">P1 </w:t>
            </w:r>
            <w:r w:rsidR="00C75D71" w:rsidRPr="00857CDA">
              <w:rPr>
                <w:bCs/>
                <w:sz w:val="18"/>
                <w:szCs w:val="18"/>
                <w:lang w:val="ro-RO"/>
              </w:rPr>
              <w:t>sau</w:t>
            </w:r>
            <w:r w:rsidRPr="00857CDA">
              <w:rPr>
                <w:bCs/>
                <w:sz w:val="18"/>
                <w:szCs w:val="18"/>
                <w:lang w:val="ro-RO"/>
              </w:rPr>
              <w:t xml:space="preserve"> P2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D7488" w:rsidRPr="00857CDA" w:rsidRDefault="0043120D" w:rsidP="007D7488">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lastRenderedPageBreak/>
              <w:t>3546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43120D" w:rsidP="006A6437">
            <w:pPr>
              <w:spacing w:line="240" w:lineRule="auto"/>
              <w:rPr>
                <w:sz w:val="18"/>
                <w:szCs w:val="18"/>
                <w:lang w:val="ro-RO" w:eastAsia="zh-CN"/>
              </w:rPr>
            </w:pPr>
            <w:r w:rsidRPr="00857CDA">
              <w:rPr>
                <w:sz w:val="18"/>
                <w:szCs w:val="18"/>
                <w:lang w:val="ro-RO" w:eastAsia="zh-CN"/>
              </w:rPr>
              <w:t>OBIECTE CARE CONȚIN O SUBSTANȚĂ TOXICĂ,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6.1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T10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D7488" w:rsidRPr="00857CDA" w:rsidRDefault="0043120D" w:rsidP="007D7488">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43120D" w:rsidP="006A6437">
            <w:pPr>
              <w:spacing w:line="240" w:lineRule="auto"/>
              <w:rPr>
                <w:sz w:val="18"/>
                <w:szCs w:val="18"/>
                <w:lang w:val="ro-RO" w:eastAsia="zh-CN"/>
              </w:rPr>
            </w:pPr>
            <w:r w:rsidRPr="00857CDA">
              <w:rPr>
                <w:sz w:val="18"/>
                <w:szCs w:val="18"/>
                <w:lang w:val="ro-RO" w:eastAsia="zh-CN"/>
              </w:rPr>
              <w:t>OBIECTE CARE CONȚIN O SUBSTANȚĂ COROSIVĂ,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8</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C11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7D7488" w:rsidRPr="00857CDA" w:rsidRDefault="0043120D" w:rsidP="007D7488">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r w:rsidR="001E52BC" w:rsidRPr="00857CDA" w:rsidTr="001E52BC">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3548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A6437" w:rsidRPr="00857CDA" w:rsidRDefault="0043120D" w:rsidP="006A6437">
            <w:pPr>
              <w:spacing w:line="240" w:lineRule="auto"/>
              <w:rPr>
                <w:sz w:val="18"/>
                <w:szCs w:val="18"/>
                <w:lang w:val="ro-RO" w:eastAsia="zh-CN"/>
              </w:rPr>
            </w:pPr>
            <w:r w:rsidRPr="00857CDA">
              <w:rPr>
                <w:sz w:val="18"/>
                <w:szCs w:val="18"/>
                <w:lang w:val="ro-RO" w:eastAsia="zh-CN"/>
              </w:rPr>
              <w:t>OBIECTE CARE CONȚIN MĂRFURI PERICULOASE DIVERSE, N.S.A.</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9</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bCs/>
                <w:sz w:val="18"/>
                <w:szCs w:val="18"/>
                <w:lang w:val="ro-RO"/>
              </w:rPr>
              <w:t>M11</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43120D" w:rsidP="006A6437">
            <w:pPr>
              <w:suppressAutoHyphens w:val="0"/>
              <w:spacing w:line="220" w:lineRule="exact"/>
              <w:jc w:val="center"/>
              <w:rPr>
                <w:sz w:val="18"/>
                <w:szCs w:val="18"/>
                <w:lang w:val="ro-RO"/>
              </w:rPr>
            </w:pPr>
            <w:r w:rsidRPr="00857CDA">
              <w:rPr>
                <w:bCs/>
                <w:sz w:val="18"/>
                <w:szCs w:val="18"/>
                <w:lang w:val="ro-RO"/>
              </w:rPr>
              <w:t>A se vedea</w:t>
            </w:r>
          </w:p>
          <w:p w:rsidR="006A6437" w:rsidRPr="00857CDA" w:rsidRDefault="006A6437" w:rsidP="006A6437">
            <w:pPr>
              <w:spacing w:line="240" w:lineRule="auto"/>
              <w:jc w:val="center"/>
              <w:rPr>
                <w:sz w:val="18"/>
                <w:szCs w:val="18"/>
                <w:lang w:val="ro-RO" w:eastAsia="zh-CN"/>
              </w:rPr>
            </w:pPr>
            <w:r w:rsidRPr="00857CDA">
              <w:rPr>
                <w:sz w:val="18"/>
                <w:szCs w:val="18"/>
                <w:lang w:val="ro-RO"/>
              </w:rPr>
              <w:t>5.2.2.1.12</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217AF">
            <w:pPr>
              <w:suppressAutoHyphens w:val="0"/>
              <w:spacing w:line="220" w:lineRule="exact"/>
              <w:jc w:val="center"/>
              <w:rPr>
                <w:sz w:val="18"/>
                <w:szCs w:val="18"/>
                <w:lang w:val="ro-RO" w:eastAsia="zh-CN"/>
              </w:rPr>
            </w:pPr>
            <w:r w:rsidRPr="00857CDA">
              <w:rPr>
                <w:sz w:val="18"/>
                <w:szCs w:val="18"/>
                <w:lang w:val="ro-RO"/>
              </w:rPr>
              <w:t>274</w:t>
            </w:r>
            <w:r w:rsidRPr="00857CDA">
              <w:rPr>
                <w:sz w:val="18"/>
                <w:szCs w:val="18"/>
                <w:lang w:val="ro-RO"/>
              </w:rPr>
              <w:br/>
              <w:t>667</w:t>
            </w:r>
            <w:r w:rsidRPr="00857CDA">
              <w:rPr>
                <w:sz w:val="18"/>
                <w:szCs w:val="18"/>
                <w:lang w:val="ro-RO"/>
              </w:rPr>
              <w:br/>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E0</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r w:rsidRPr="00857CDA">
              <w:rPr>
                <w:sz w:val="18"/>
                <w:szCs w:val="18"/>
                <w:lang w:val="ro-RO"/>
              </w:rPr>
              <w:t>P006</w:t>
            </w:r>
            <w:r w:rsidRPr="00857CDA">
              <w:rPr>
                <w:sz w:val="18"/>
                <w:szCs w:val="18"/>
                <w:lang w:val="ro-RO"/>
              </w:rPr>
              <w:br/>
              <w:t>LP03</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1E52BC">
            <w:pPr>
              <w:suppressAutoHyphens w:val="0"/>
              <w:spacing w:line="200" w:lineRule="exact"/>
              <w:jc w:val="center"/>
              <w:rPr>
                <w:sz w:val="18"/>
                <w:szCs w:val="18"/>
                <w:lang w:val="ro-RO" w:eastAsia="zh-CN"/>
              </w:rPr>
            </w:pPr>
            <w:r w:rsidRPr="00857CDA">
              <w:rPr>
                <w:sz w:val="18"/>
                <w:szCs w:val="18"/>
                <w:lang w:val="ro-RO" w:eastAsia="en-GB"/>
              </w:rPr>
              <w:t>4</w:t>
            </w:r>
            <w:r w:rsidRPr="00857CDA">
              <w:rPr>
                <w:sz w:val="18"/>
                <w:szCs w:val="18"/>
                <w:lang w:val="ro-RO" w:eastAsia="en-GB"/>
              </w:rPr>
              <w:br/>
              <w:t>(E)</w:t>
            </w: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CV13</w:t>
            </w:r>
          </w:p>
          <w:p w:rsidR="006A6437" w:rsidRPr="00857CDA" w:rsidRDefault="006A6437" w:rsidP="006A6437">
            <w:pPr>
              <w:suppressAutoHyphens w:val="0"/>
              <w:spacing w:line="200" w:lineRule="exact"/>
              <w:jc w:val="center"/>
              <w:rPr>
                <w:sz w:val="18"/>
                <w:szCs w:val="18"/>
                <w:lang w:val="ro-RO"/>
              </w:rPr>
            </w:pPr>
            <w:r w:rsidRPr="00857CDA">
              <w:rPr>
                <w:sz w:val="18"/>
                <w:szCs w:val="18"/>
                <w:lang w:val="ro-RO"/>
              </w:rPr>
              <w:t>CV28</w:t>
            </w:r>
          </w:p>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c>
          <w:tcPr>
            <w:tcW w:w="0" w:type="auto"/>
            <w:tcBorders>
              <w:top w:val="single" w:sz="4" w:space="0" w:color="auto"/>
              <w:left w:val="single" w:sz="4" w:space="0" w:color="auto"/>
              <w:bottom w:val="single" w:sz="4" w:space="0" w:color="auto"/>
              <w:right w:val="single" w:sz="4" w:space="0" w:color="auto"/>
            </w:tcBorders>
          </w:tcPr>
          <w:p w:rsidR="006A6437" w:rsidRPr="00857CDA" w:rsidRDefault="006A6437" w:rsidP="006A6437">
            <w:pPr>
              <w:spacing w:line="240" w:lineRule="auto"/>
              <w:jc w:val="center"/>
              <w:rPr>
                <w:sz w:val="18"/>
                <w:szCs w:val="18"/>
                <w:lang w:val="ro-RO" w:eastAsia="zh-CN"/>
              </w:rPr>
            </w:pPr>
          </w:p>
        </w:tc>
      </w:tr>
    </w:tbl>
    <w:p w:rsidR="001662B3" w:rsidRPr="00857CDA" w:rsidRDefault="001662B3" w:rsidP="00196C06">
      <w:pPr>
        <w:pStyle w:val="H1G"/>
        <w:rPr>
          <w:lang w:val="ro-RO"/>
        </w:rPr>
        <w:sectPr w:rsidR="001662B3" w:rsidRPr="00857CDA" w:rsidSect="001662B3">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196C06" w:rsidRPr="00857CDA" w:rsidRDefault="00196C06" w:rsidP="00196C06">
      <w:pPr>
        <w:pStyle w:val="H1G"/>
        <w:rPr>
          <w:lang w:val="ro-RO"/>
        </w:rPr>
      </w:pPr>
      <w:r w:rsidRPr="00857CDA">
        <w:rPr>
          <w:lang w:val="ro-RO"/>
        </w:rPr>
        <w:lastRenderedPageBreak/>
        <w:tab/>
      </w:r>
      <w:r w:rsidRPr="00857CDA">
        <w:rPr>
          <w:lang w:val="ro-RO"/>
        </w:rPr>
        <w:tab/>
      </w:r>
      <w:r w:rsidR="00902C44" w:rsidRPr="00857CDA">
        <w:rPr>
          <w:lang w:val="ro-RO"/>
        </w:rPr>
        <w:t>Capitolul</w:t>
      </w:r>
      <w:r w:rsidRPr="00857CDA">
        <w:rPr>
          <w:lang w:val="ro-RO"/>
        </w:rPr>
        <w:t xml:space="preserve"> 3.3</w:t>
      </w:r>
    </w:p>
    <w:p w:rsidR="00972698" w:rsidRPr="00857CDA" w:rsidRDefault="00972698" w:rsidP="00972698">
      <w:pPr>
        <w:pStyle w:val="SingleTxtG"/>
        <w:rPr>
          <w:lang w:val="ro-RO"/>
        </w:rPr>
      </w:pPr>
      <w:r w:rsidRPr="00857CDA">
        <w:rPr>
          <w:lang w:val="ro-RO"/>
        </w:rPr>
        <w:t>3.3.1</w:t>
      </w:r>
      <w:r w:rsidRPr="00857CDA">
        <w:rPr>
          <w:lang w:val="ro-RO"/>
        </w:rPr>
        <w:tab/>
      </w:r>
      <w:r w:rsidR="00902C44" w:rsidRPr="00857CDA">
        <w:rPr>
          <w:lang w:val="ro-RO"/>
        </w:rPr>
        <w:t xml:space="preserve">În </w:t>
      </w:r>
      <w:r w:rsidR="00970E20" w:rsidRPr="00857CDA">
        <w:rPr>
          <w:lang w:val="ro-RO"/>
        </w:rPr>
        <w:t>a treia frază</w:t>
      </w:r>
      <w:r w:rsidRPr="00857CDA">
        <w:rPr>
          <w:lang w:val="ro-RO"/>
        </w:rPr>
        <w:t xml:space="preserve">, </w:t>
      </w:r>
      <w:r w:rsidR="00995AE9" w:rsidRPr="00857CDA">
        <w:rPr>
          <w:lang w:val="ro-RO"/>
        </w:rPr>
        <w:t>s</w:t>
      </w:r>
      <w:r w:rsidR="00902C44" w:rsidRPr="00857CDA">
        <w:rPr>
          <w:lang w:val="ro-RO"/>
        </w:rPr>
        <w:t>e modifică</w:t>
      </w:r>
      <w:r w:rsidRPr="00857CDA">
        <w:rPr>
          <w:lang w:val="ro-RO"/>
        </w:rPr>
        <w:t xml:space="preserve"> </w:t>
      </w:r>
      <w:r w:rsidR="0043120D" w:rsidRPr="00857CDA">
        <w:rPr>
          <w:lang w:val="ro-RO"/>
        </w:rPr>
        <w:t>„</w:t>
      </w:r>
      <w:r w:rsidR="00C75D71" w:rsidRPr="00857CDA">
        <w:rPr>
          <w:lang w:val="ro-RO"/>
        </w:rPr>
        <w:t>«Baterii cu litiu deteriorate»</w:t>
      </w:r>
      <w:r w:rsidR="00660131" w:rsidRPr="00857CDA">
        <w:rPr>
          <w:lang w:val="ro-RO"/>
        </w:rPr>
        <w:t>“</w:t>
      </w:r>
      <w:r w:rsidR="00902C44" w:rsidRPr="00857CDA">
        <w:rPr>
          <w:lang w:val="ro-RO"/>
        </w:rPr>
        <w:t xml:space="preserve"> cu </w:t>
      </w:r>
      <w:r w:rsidR="0043120D" w:rsidRPr="00857CDA">
        <w:rPr>
          <w:lang w:val="ro-RO"/>
        </w:rPr>
        <w:t>„</w:t>
      </w:r>
      <w:r w:rsidR="00C75D71" w:rsidRPr="00857CDA">
        <w:rPr>
          <w:lang w:val="ro-RO"/>
        </w:rPr>
        <w:t>«BATERII CU</w:t>
      </w:r>
      <w:r w:rsidRPr="00857CDA">
        <w:rPr>
          <w:lang w:val="ro-RO"/>
        </w:rPr>
        <w:t xml:space="preserve"> LITIU </w:t>
      </w:r>
      <w:r w:rsidR="00991390" w:rsidRPr="00857CDA">
        <w:rPr>
          <w:lang w:val="ro-RO"/>
        </w:rPr>
        <w:t>PENTRU</w:t>
      </w:r>
      <w:r w:rsidRPr="00857CDA">
        <w:rPr>
          <w:lang w:val="ro-RO"/>
        </w:rPr>
        <w:t xml:space="preserve"> </w:t>
      </w:r>
      <w:r w:rsidR="00C75D71" w:rsidRPr="00857CDA">
        <w:rPr>
          <w:lang w:val="ro-RO"/>
        </w:rPr>
        <w:t>ELIMINARE»</w:t>
      </w:r>
      <w:r w:rsidR="00660131" w:rsidRPr="00857CDA">
        <w:rPr>
          <w:lang w:val="ro-RO"/>
        </w:rPr>
        <w:t>”</w:t>
      </w:r>
      <w:r w:rsidRPr="00857CDA">
        <w:rPr>
          <w:lang w:val="ro-RO"/>
        </w:rPr>
        <w:t>.</w:t>
      </w:r>
    </w:p>
    <w:p w:rsidR="00196C06" w:rsidRPr="00857CDA" w:rsidRDefault="0043120D" w:rsidP="00196C06">
      <w:pPr>
        <w:pStyle w:val="SingleTxtG"/>
        <w:rPr>
          <w:lang w:val="ro-RO"/>
        </w:rPr>
      </w:pPr>
      <w:r w:rsidRPr="00857CDA">
        <w:rPr>
          <w:lang w:val="ro-RO" w:eastAsia="en-GB"/>
        </w:rPr>
        <w:t>Dispoziția specială</w:t>
      </w:r>
      <w:r w:rsidR="00196C06" w:rsidRPr="00857CDA">
        <w:rPr>
          <w:lang w:val="ro-RO" w:eastAsia="en-GB"/>
        </w:rPr>
        <w:t xml:space="preserve"> 23</w:t>
      </w:r>
      <w:r w:rsidR="00196C06" w:rsidRPr="00857CDA">
        <w:rPr>
          <w:lang w:val="ro-RO" w:eastAsia="en-GB"/>
        </w:rPr>
        <w:tab/>
      </w:r>
      <w:r w:rsidR="00902C44" w:rsidRPr="00857CDA">
        <w:rPr>
          <w:lang w:val="ro-RO"/>
        </w:rPr>
        <w:t>Se modifică</w:t>
      </w:r>
      <w:r w:rsidR="00196C06" w:rsidRPr="00857CDA">
        <w:rPr>
          <w:lang w:val="ro-RO"/>
        </w:rPr>
        <w:t xml:space="preserve"> </w:t>
      </w:r>
      <w:r w:rsidRPr="00857CDA">
        <w:rPr>
          <w:lang w:val="ro-RO"/>
        </w:rPr>
        <w:t>„</w:t>
      </w:r>
      <w:r w:rsidR="002B679C" w:rsidRPr="00857CDA">
        <w:rPr>
          <w:lang w:val="ro-RO"/>
        </w:rPr>
        <w:t>risc</w:t>
      </w:r>
      <w:r w:rsidR="00196C06" w:rsidRPr="00857CDA">
        <w:rPr>
          <w:lang w:val="ro-RO"/>
        </w:rPr>
        <w:t xml:space="preserve"> d</w:t>
      </w:r>
      <w:r w:rsidR="001A034E" w:rsidRPr="00857CDA">
        <w:rPr>
          <w:lang w:val="ro-RO"/>
        </w:rPr>
        <w:t xml:space="preserve">e </w:t>
      </w:r>
      <w:r w:rsidR="00196C06" w:rsidRPr="00857CDA">
        <w:rPr>
          <w:lang w:val="ro-RO"/>
        </w:rPr>
        <w:t>inflamabilit</w:t>
      </w:r>
      <w:r w:rsidR="001A034E" w:rsidRPr="00857CDA">
        <w:rPr>
          <w:lang w:val="ro-RO"/>
        </w:rPr>
        <w:t>ate</w:t>
      </w:r>
      <w:r w:rsidR="00660131" w:rsidRPr="00857CDA">
        <w:rPr>
          <w:lang w:val="ro-RO"/>
        </w:rPr>
        <w:t>”</w:t>
      </w:r>
      <w:r w:rsidR="00902C44" w:rsidRPr="00857CDA">
        <w:rPr>
          <w:lang w:val="ro-RO"/>
        </w:rPr>
        <w:t xml:space="preserve"> cu </w:t>
      </w:r>
      <w:r w:rsidRPr="00857CDA">
        <w:rPr>
          <w:lang w:val="ro-RO"/>
        </w:rPr>
        <w:t>„</w:t>
      </w:r>
      <w:r w:rsidR="002B679C" w:rsidRPr="00857CDA">
        <w:rPr>
          <w:lang w:val="ro-RO"/>
        </w:rPr>
        <w:t>pericol</w:t>
      </w:r>
      <w:r w:rsidR="00196C06" w:rsidRPr="00857CDA">
        <w:rPr>
          <w:lang w:val="ro-RO"/>
        </w:rPr>
        <w:t xml:space="preserve"> d</w:t>
      </w:r>
      <w:r w:rsidR="001A034E" w:rsidRPr="00857CDA">
        <w:rPr>
          <w:lang w:val="ro-RO"/>
        </w:rPr>
        <w:t xml:space="preserve">e </w:t>
      </w:r>
      <w:r w:rsidR="00196C06" w:rsidRPr="00857CDA">
        <w:rPr>
          <w:lang w:val="ro-RO"/>
        </w:rPr>
        <w:t>inflamabilit</w:t>
      </w:r>
      <w:r w:rsidR="001A034E" w:rsidRPr="00857CDA">
        <w:rPr>
          <w:lang w:val="ro-RO"/>
        </w:rPr>
        <w:t>ate</w:t>
      </w:r>
      <w:r w:rsidR="00660131" w:rsidRPr="00857CDA">
        <w:rPr>
          <w:lang w:val="ro-RO"/>
        </w:rPr>
        <w:t>”</w:t>
      </w:r>
      <w:r w:rsidR="00196C06" w:rsidRPr="00857CDA">
        <w:rPr>
          <w:lang w:val="ro-RO"/>
        </w:rPr>
        <w:t>.</w:t>
      </w:r>
    </w:p>
    <w:p w:rsidR="00196C06" w:rsidRPr="00857CDA" w:rsidRDefault="0043120D" w:rsidP="00196C06">
      <w:pPr>
        <w:spacing w:before="120" w:after="120" w:line="240" w:lineRule="auto"/>
        <w:ind w:left="1134" w:right="1134"/>
        <w:jc w:val="both"/>
        <w:rPr>
          <w:lang w:val="ro-RO" w:eastAsia="en-GB"/>
        </w:rPr>
      </w:pPr>
      <w:r w:rsidRPr="00857CDA">
        <w:rPr>
          <w:lang w:val="ro-RO"/>
        </w:rPr>
        <w:t>Dispoziția specială</w:t>
      </w:r>
      <w:r w:rsidR="00196C06" w:rsidRPr="00857CDA">
        <w:rPr>
          <w:lang w:val="ro-RO"/>
        </w:rPr>
        <w:t xml:space="preserve"> 61</w:t>
      </w:r>
      <w:r w:rsidR="00196C06" w:rsidRPr="00857CDA">
        <w:rPr>
          <w:lang w:val="ro-RO"/>
        </w:rPr>
        <w:tab/>
      </w:r>
      <w:r w:rsidR="00841085" w:rsidRPr="00857CDA">
        <w:rPr>
          <w:lang w:val="ro-RO"/>
        </w:rPr>
        <w:t>Se modifică</w:t>
      </w:r>
      <w:r w:rsidR="00196C06" w:rsidRPr="00857CDA">
        <w:rPr>
          <w:lang w:val="ro-RO"/>
        </w:rPr>
        <w:t xml:space="preserve"> </w:t>
      </w:r>
      <w:r w:rsidRPr="00857CDA">
        <w:rPr>
          <w:lang w:val="ro-RO"/>
        </w:rPr>
        <w:t>„</w:t>
      </w:r>
      <w:r w:rsidR="001A034E" w:rsidRPr="00857CDA">
        <w:rPr>
          <w:lang w:val="ro-RO"/>
        </w:rPr>
        <w:t xml:space="preserve">celelalte denumiri care figurează în „Linii directoare pentru clasificarea pesticidelor conform riscului recomandate de OMS”” cu „celelalte denumiri figurează în „Linii directoare pentru clasificarea pesticidelor conform </w:t>
      </w:r>
      <w:r w:rsidR="00841085" w:rsidRPr="00857CDA">
        <w:rPr>
          <w:lang w:val="ro-RO"/>
        </w:rPr>
        <w:t>pericolului</w:t>
      </w:r>
      <w:r w:rsidR="001A034E" w:rsidRPr="00857CDA">
        <w:rPr>
          <w:lang w:val="ro-RO"/>
        </w:rPr>
        <w:t xml:space="preserve"> recomandate de OMS” </w:t>
      </w:r>
      <w:r w:rsidR="00196C06" w:rsidRPr="00857CDA">
        <w:rPr>
          <w:lang w:val="ro-RO"/>
        </w:rPr>
        <w:t>(The WHO recommended classification of pesticides by hazard and guidelines to classification)</w:t>
      </w:r>
      <w:r w:rsidR="00660131" w:rsidRPr="00857CDA">
        <w:rPr>
          <w:lang w:val="ro-RO"/>
        </w:rPr>
        <w:t>”</w:t>
      </w:r>
      <w:r w:rsidR="00196C06" w:rsidRPr="00857CDA">
        <w:rPr>
          <w:lang w:val="ro-RO"/>
        </w:rPr>
        <w:t>.</w:t>
      </w:r>
    </w:p>
    <w:p w:rsidR="00196C06" w:rsidRPr="00857CDA" w:rsidRDefault="0043120D" w:rsidP="00196C06">
      <w:pPr>
        <w:spacing w:before="120" w:after="120" w:line="240" w:lineRule="auto"/>
        <w:ind w:left="1134" w:right="1134"/>
        <w:jc w:val="both"/>
        <w:rPr>
          <w:lang w:val="ro-RO" w:eastAsia="en-GB"/>
        </w:rPr>
      </w:pPr>
      <w:r w:rsidRPr="00857CDA">
        <w:rPr>
          <w:lang w:val="ro-RO" w:eastAsia="en-GB"/>
        </w:rPr>
        <w:t>Dispoziția specială</w:t>
      </w:r>
      <w:r w:rsidR="00196C06" w:rsidRPr="00857CDA">
        <w:rPr>
          <w:lang w:val="ro-RO" w:eastAsia="en-GB"/>
        </w:rPr>
        <w:t xml:space="preserve"> 122</w:t>
      </w:r>
      <w:r w:rsidR="00196C06" w:rsidRPr="00857CDA">
        <w:rPr>
          <w:lang w:val="ro-RO" w:eastAsia="en-GB"/>
        </w:rPr>
        <w:tab/>
      </w:r>
      <w:r w:rsidR="00902C44" w:rsidRPr="00857CDA">
        <w:rPr>
          <w:lang w:val="ro-RO" w:eastAsia="en-GB"/>
        </w:rPr>
        <w:t>Se modifică</w:t>
      </w:r>
      <w:r w:rsidR="00196C06" w:rsidRPr="00857CDA">
        <w:rPr>
          <w:lang w:val="ro-RO" w:eastAsia="en-GB"/>
        </w:rPr>
        <w:t xml:space="preserve"> </w:t>
      </w:r>
      <w:r w:rsidRPr="00857CDA">
        <w:rPr>
          <w:lang w:val="ro-RO"/>
        </w:rPr>
        <w:t>„</w:t>
      </w:r>
      <w:r w:rsidR="001A034E" w:rsidRPr="00857CDA">
        <w:rPr>
          <w:lang w:val="ro-RO" w:eastAsia="en-GB"/>
        </w:rPr>
        <w:t>Riscuri</w:t>
      </w:r>
      <w:r w:rsidR="001A034E" w:rsidRPr="00857CDA">
        <w:rPr>
          <w:lang w:val="ro-RO"/>
        </w:rPr>
        <w:t>le</w:t>
      </w:r>
      <w:r w:rsidR="00660131" w:rsidRPr="00857CDA">
        <w:rPr>
          <w:lang w:val="ro-RO"/>
        </w:rPr>
        <w:t>”</w:t>
      </w:r>
      <w:r w:rsidR="00902C44" w:rsidRPr="00857CDA">
        <w:rPr>
          <w:lang w:val="ro-RO" w:eastAsia="en-GB"/>
        </w:rPr>
        <w:t xml:space="preserve"> cu </w:t>
      </w:r>
      <w:r w:rsidR="00660131" w:rsidRPr="00857CDA">
        <w:rPr>
          <w:lang w:val="ro-RO" w:eastAsia="en-GB"/>
        </w:rPr>
        <w:t>“</w:t>
      </w:r>
      <w:r w:rsidR="001A034E" w:rsidRPr="00857CDA">
        <w:rPr>
          <w:lang w:val="ro-RO" w:eastAsia="en-GB"/>
        </w:rPr>
        <w:t>Pericolele</w:t>
      </w:r>
      <w:r w:rsidR="00660131" w:rsidRPr="00857CDA">
        <w:rPr>
          <w:lang w:val="ro-RO"/>
        </w:rPr>
        <w:t>”</w:t>
      </w:r>
      <w:r w:rsidR="00196C06" w:rsidRPr="00857CDA">
        <w:rPr>
          <w:lang w:val="ro-RO" w:eastAsia="en-GB"/>
        </w:rPr>
        <w:t>.</w:t>
      </w:r>
    </w:p>
    <w:p w:rsidR="00C96986" w:rsidRPr="00857CDA" w:rsidRDefault="0043120D" w:rsidP="00196C06">
      <w:pPr>
        <w:tabs>
          <w:tab w:val="left" w:pos="3402"/>
        </w:tabs>
        <w:spacing w:before="120" w:after="120" w:line="240" w:lineRule="auto"/>
        <w:ind w:left="1134" w:right="1134"/>
        <w:jc w:val="both"/>
        <w:rPr>
          <w:lang w:val="ro-RO" w:eastAsia="en-GB"/>
        </w:rPr>
      </w:pPr>
      <w:r w:rsidRPr="00857CDA">
        <w:rPr>
          <w:lang w:val="ro-RO" w:eastAsia="en-GB"/>
        </w:rPr>
        <w:t>Dispoziția specială</w:t>
      </w:r>
      <w:r w:rsidR="00196C06" w:rsidRPr="00857CDA">
        <w:rPr>
          <w:lang w:val="ro-RO" w:eastAsia="en-GB"/>
        </w:rPr>
        <w:t xml:space="preserve"> 172</w:t>
      </w:r>
      <w:r w:rsidR="00196C06" w:rsidRPr="00857CDA">
        <w:rPr>
          <w:lang w:val="ro-RO" w:eastAsia="en-GB"/>
        </w:rPr>
        <w:tab/>
      </w:r>
      <w:r w:rsidR="00902C44" w:rsidRPr="00857CDA">
        <w:rPr>
          <w:lang w:val="ro-RO" w:eastAsia="en-GB"/>
        </w:rPr>
        <w:t xml:space="preserve">În </w:t>
      </w:r>
      <w:r w:rsidR="00970E20" w:rsidRPr="00857CDA">
        <w:rPr>
          <w:lang w:val="ro-RO" w:eastAsia="en-GB"/>
        </w:rPr>
        <w:t>fraz</w:t>
      </w:r>
      <w:r w:rsidR="001A034E" w:rsidRPr="00857CDA">
        <w:rPr>
          <w:lang w:val="ro-RO" w:eastAsia="en-GB"/>
        </w:rPr>
        <w:t xml:space="preserve">a </w:t>
      </w:r>
      <w:r w:rsidR="001928AE" w:rsidRPr="00857CDA">
        <w:rPr>
          <w:lang w:val="ro-RO" w:eastAsia="en-GB"/>
        </w:rPr>
        <w:t>introducti</w:t>
      </w:r>
      <w:r w:rsidR="001A034E" w:rsidRPr="00857CDA">
        <w:rPr>
          <w:lang w:val="ro-RO" w:eastAsia="en-GB"/>
        </w:rPr>
        <w:t>vă</w:t>
      </w:r>
      <w:r w:rsidR="004C27AD" w:rsidRPr="00857CDA">
        <w:rPr>
          <w:lang w:val="ro-RO" w:eastAsia="en-GB"/>
        </w:rPr>
        <w:t xml:space="preserve"> </w:t>
      </w:r>
      <w:r w:rsidR="00C96986" w:rsidRPr="00857CDA">
        <w:rPr>
          <w:lang w:val="ro-RO" w:eastAsia="en-GB"/>
        </w:rPr>
        <w:t xml:space="preserve">se modifică </w:t>
      </w:r>
      <w:r w:rsidR="00C96986" w:rsidRPr="00857CDA">
        <w:rPr>
          <w:lang w:val="ro-RO"/>
        </w:rPr>
        <w:t>„</w:t>
      </w:r>
      <w:r w:rsidR="00C96986" w:rsidRPr="00857CDA">
        <w:rPr>
          <w:lang w:val="ro-RO" w:eastAsia="en-GB"/>
        </w:rPr>
        <w:t>risc</w:t>
      </w:r>
      <w:r w:rsidR="00C96986" w:rsidRPr="00857CDA">
        <w:rPr>
          <w:lang w:val="ro-RO"/>
        </w:rPr>
        <w:t>”</w:t>
      </w:r>
      <w:r w:rsidR="00C96986" w:rsidRPr="00857CDA">
        <w:rPr>
          <w:lang w:val="ro-RO" w:eastAsia="en-GB"/>
        </w:rPr>
        <w:t xml:space="preserve"> cu </w:t>
      </w:r>
      <w:r w:rsidR="00C96986" w:rsidRPr="00857CDA">
        <w:rPr>
          <w:lang w:val="ro-RO"/>
        </w:rPr>
        <w:t>„</w:t>
      </w:r>
      <w:r w:rsidR="00C96986" w:rsidRPr="00857CDA">
        <w:rPr>
          <w:lang w:val="ro-RO" w:eastAsia="en-GB"/>
        </w:rPr>
        <w:t>pericol</w:t>
      </w:r>
      <w:r w:rsidR="00C96986" w:rsidRPr="00857CDA">
        <w:rPr>
          <w:lang w:val="ro-RO"/>
        </w:rPr>
        <w:t>”</w:t>
      </w:r>
      <w:r w:rsidR="00C96986" w:rsidRPr="00857CDA">
        <w:rPr>
          <w:lang w:val="ro-RO" w:eastAsia="en-GB"/>
        </w:rPr>
        <w:t>,</w:t>
      </w:r>
      <w:r w:rsidR="004C27AD" w:rsidRPr="00857CDA">
        <w:rPr>
          <w:lang w:val="ro-RO" w:eastAsia="en-GB"/>
        </w:rPr>
        <w:t xml:space="preserve"> </w:t>
      </w:r>
    </w:p>
    <w:p w:rsidR="00C96986" w:rsidRPr="00857CDA" w:rsidRDefault="001A034E" w:rsidP="00196C06">
      <w:pPr>
        <w:tabs>
          <w:tab w:val="left" w:pos="3402"/>
        </w:tabs>
        <w:spacing w:before="120" w:after="120" w:line="240" w:lineRule="auto"/>
        <w:ind w:left="1134" w:right="1134"/>
        <w:jc w:val="both"/>
        <w:rPr>
          <w:lang w:val="ro-RO" w:eastAsia="en-GB"/>
        </w:rPr>
      </w:pPr>
      <w:r w:rsidRPr="00857CDA">
        <w:rPr>
          <w:lang w:val="ro-RO" w:eastAsia="en-GB"/>
        </w:rPr>
        <w:t>la</w:t>
      </w:r>
      <w:r w:rsidR="001928AE" w:rsidRPr="00857CDA">
        <w:rPr>
          <w:lang w:val="ro-RO" w:eastAsia="en-GB"/>
        </w:rPr>
        <w:t xml:space="preserve"> alin</w:t>
      </w:r>
      <w:r w:rsidRPr="00857CDA">
        <w:rPr>
          <w:lang w:val="ro-RO" w:eastAsia="en-GB"/>
        </w:rPr>
        <w:t>e</w:t>
      </w:r>
      <w:r w:rsidR="001928AE" w:rsidRPr="00857CDA">
        <w:rPr>
          <w:lang w:val="ro-RO" w:eastAsia="en-GB"/>
        </w:rPr>
        <w:t>a</w:t>
      </w:r>
      <w:r w:rsidRPr="00857CDA">
        <w:rPr>
          <w:lang w:val="ro-RO" w:eastAsia="en-GB"/>
        </w:rPr>
        <w:t>t</w:t>
      </w:r>
      <w:r w:rsidR="00C96986" w:rsidRPr="00857CDA">
        <w:rPr>
          <w:lang w:val="ro-RO" w:eastAsia="en-GB"/>
        </w:rPr>
        <w:t>ul</w:t>
      </w:r>
      <w:r w:rsidR="001928AE" w:rsidRPr="00857CDA">
        <w:rPr>
          <w:lang w:val="ro-RO" w:eastAsia="en-GB"/>
        </w:rPr>
        <w:t xml:space="preserve"> a)</w:t>
      </w:r>
      <w:r w:rsidR="00C96986" w:rsidRPr="00857CDA">
        <w:rPr>
          <w:lang w:val="ro-RO" w:eastAsia="en-GB"/>
        </w:rPr>
        <w:t xml:space="preserve"> se modifică </w:t>
      </w:r>
      <w:r w:rsidR="00C96986" w:rsidRPr="00857CDA">
        <w:rPr>
          <w:lang w:val="ro-RO"/>
        </w:rPr>
        <w:t>„</w:t>
      </w:r>
      <w:r w:rsidR="00C96986" w:rsidRPr="00857CDA">
        <w:rPr>
          <w:lang w:val="ro-RO" w:eastAsia="en-GB"/>
        </w:rPr>
        <w:t>riscului</w:t>
      </w:r>
      <w:r w:rsidR="00C96986" w:rsidRPr="00857CDA">
        <w:rPr>
          <w:lang w:val="ro-RO"/>
        </w:rPr>
        <w:t>”</w:t>
      </w:r>
      <w:r w:rsidR="00C96986" w:rsidRPr="00857CDA">
        <w:rPr>
          <w:lang w:val="ro-RO" w:eastAsia="en-GB"/>
        </w:rPr>
        <w:t xml:space="preserve"> cu </w:t>
      </w:r>
      <w:r w:rsidR="00C96986" w:rsidRPr="00857CDA">
        <w:rPr>
          <w:lang w:val="ro-RO"/>
        </w:rPr>
        <w:t>„</w:t>
      </w:r>
      <w:r w:rsidR="00C96986" w:rsidRPr="00857CDA">
        <w:rPr>
          <w:lang w:val="ro-RO" w:eastAsia="en-GB"/>
        </w:rPr>
        <w:t>pericolului</w:t>
      </w:r>
      <w:r w:rsidR="00C96986" w:rsidRPr="00857CDA">
        <w:rPr>
          <w:lang w:val="ro-RO"/>
        </w:rPr>
        <w:t>”</w:t>
      </w:r>
      <w:r w:rsidR="001928AE" w:rsidRPr="00857CDA">
        <w:rPr>
          <w:lang w:val="ro-RO" w:eastAsia="en-GB"/>
        </w:rPr>
        <w:t xml:space="preserve">, </w:t>
      </w:r>
    </w:p>
    <w:p w:rsidR="00C96986" w:rsidRPr="00857CDA" w:rsidRDefault="00C96986" w:rsidP="00196C06">
      <w:pPr>
        <w:tabs>
          <w:tab w:val="left" w:pos="3402"/>
        </w:tabs>
        <w:spacing w:before="120" w:after="120" w:line="240" w:lineRule="auto"/>
        <w:ind w:left="1134" w:right="1134"/>
        <w:jc w:val="both"/>
        <w:rPr>
          <w:lang w:val="ro-RO" w:eastAsia="en-GB"/>
        </w:rPr>
      </w:pPr>
      <w:r w:rsidRPr="00857CDA">
        <w:rPr>
          <w:lang w:val="ro-RO" w:eastAsia="en-GB"/>
        </w:rPr>
        <w:t xml:space="preserve">la </w:t>
      </w:r>
      <w:r w:rsidR="00857CDA" w:rsidRPr="00857CDA">
        <w:rPr>
          <w:lang w:val="ro-RO" w:eastAsia="en-GB"/>
        </w:rPr>
        <w:t>alineatul</w:t>
      </w:r>
      <w:r w:rsidRPr="00857CDA">
        <w:rPr>
          <w:lang w:val="ro-RO" w:eastAsia="en-GB"/>
        </w:rPr>
        <w:t xml:space="preserve"> </w:t>
      </w:r>
      <w:r w:rsidR="001928AE" w:rsidRPr="00857CDA">
        <w:rPr>
          <w:lang w:val="ro-RO" w:eastAsia="en-GB"/>
        </w:rPr>
        <w:t xml:space="preserve">b) </w:t>
      </w:r>
      <w:r w:rsidRPr="00857CDA">
        <w:rPr>
          <w:lang w:val="ro-RO" w:eastAsia="en-GB"/>
        </w:rPr>
        <w:t xml:space="preserve">se modifică: </w:t>
      </w:r>
      <w:r w:rsidRPr="00857CDA">
        <w:rPr>
          <w:lang w:val="ro-RO"/>
        </w:rPr>
        <w:t>„</w:t>
      </w:r>
      <w:r w:rsidRPr="00857CDA">
        <w:rPr>
          <w:lang w:val="ro-RO" w:eastAsia="en-GB"/>
        </w:rPr>
        <w:t>riscului</w:t>
      </w:r>
      <w:r w:rsidRPr="00857CDA">
        <w:rPr>
          <w:lang w:val="ro-RO"/>
        </w:rPr>
        <w:t>”</w:t>
      </w:r>
      <w:r w:rsidRPr="00857CDA">
        <w:rPr>
          <w:lang w:val="ro-RO" w:eastAsia="en-GB"/>
        </w:rPr>
        <w:t xml:space="preserve"> cu </w:t>
      </w:r>
      <w:r w:rsidRPr="00857CDA">
        <w:rPr>
          <w:lang w:val="ro-RO"/>
        </w:rPr>
        <w:t>„</w:t>
      </w:r>
      <w:r w:rsidRPr="00857CDA">
        <w:rPr>
          <w:lang w:val="ro-RO" w:eastAsia="en-GB"/>
        </w:rPr>
        <w:t>pericolului</w:t>
      </w:r>
      <w:r w:rsidRPr="00857CDA">
        <w:rPr>
          <w:lang w:val="ro-RO"/>
        </w:rPr>
        <w:t>”</w:t>
      </w:r>
      <w:r w:rsidRPr="00857CDA">
        <w:rPr>
          <w:lang w:val="ro-RO" w:eastAsia="en-GB"/>
        </w:rPr>
        <w:t xml:space="preserve"> și </w:t>
      </w:r>
      <w:r w:rsidRPr="00857CDA">
        <w:rPr>
          <w:lang w:val="ro-RO"/>
        </w:rPr>
        <w:t>„</w:t>
      </w:r>
      <w:r w:rsidRPr="00857CDA">
        <w:rPr>
          <w:lang w:val="ro-RO" w:eastAsia="en-GB"/>
        </w:rPr>
        <w:t>risc</w:t>
      </w:r>
      <w:r w:rsidRPr="00857CDA">
        <w:rPr>
          <w:lang w:val="ro-RO"/>
        </w:rPr>
        <w:t>”</w:t>
      </w:r>
      <w:r w:rsidRPr="00857CDA">
        <w:rPr>
          <w:lang w:val="ro-RO" w:eastAsia="en-GB"/>
        </w:rPr>
        <w:t xml:space="preserve"> cu </w:t>
      </w:r>
      <w:r w:rsidRPr="00857CDA">
        <w:rPr>
          <w:lang w:val="ro-RO"/>
        </w:rPr>
        <w:t>„</w:t>
      </w:r>
      <w:r w:rsidRPr="00857CDA">
        <w:rPr>
          <w:lang w:val="ro-RO" w:eastAsia="en-GB"/>
        </w:rPr>
        <w:t>pericol</w:t>
      </w:r>
      <w:r w:rsidRPr="00857CDA">
        <w:rPr>
          <w:lang w:val="ro-RO"/>
        </w:rPr>
        <w:t>”</w:t>
      </w:r>
      <w:r w:rsidRPr="00857CDA">
        <w:rPr>
          <w:lang w:val="ro-RO" w:eastAsia="en-GB"/>
        </w:rPr>
        <w:t xml:space="preserve">, </w:t>
      </w:r>
    </w:p>
    <w:p w:rsidR="00C96986" w:rsidRPr="00857CDA" w:rsidRDefault="00C96986" w:rsidP="00196C06">
      <w:pPr>
        <w:tabs>
          <w:tab w:val="left" w:pos="3402"/>
        </w:tabs>
        <w:spacing w:before="120" w:after="120" w:line="240" w:lineRule="auto"/>
        <w:ind w:left="1134" w:right="1134"/>
        <w:jc w:val="both"/>
        <w:rPr>
          <w:lang w:val="ro-RO" w:eastAsia="en-GB"/>
        </w:rPr>
      </w:pPr>
      <w:r w:rsidRPr="00857CDA">
        <w:rPr>
          <w:lang w:val="ro-RO" w:eastAsia="en-GB"/>
        </w:rPr>
        <w:t xml:space="preserve">la alineatul c), se modifică </w:t>
      </w:r>
      <w:r w:rsidRPr="00857CDA">
        <w:rPr>
          <w:lang w:val="ro-RO"/>
        </w:rPr>
        <w:t>„</w:t>
      </w:r>
      <w:r w:rsidRPr="00857CDA">
        <w:rPr>
          <w:lang w:val="ro-RO" w:eastAsia="en-GB"/>
        </w:rPr>
        <w:t>risc(uri)</w:t>
      </w:r>
      <w:r w:rsidRPr="00857CDA">
        <w:rPr>
          <w:lang w:val="ro-RO"/>
        </w:rPr>
        <w:t>”</w:t>
      </w:r>
      <w:r w:rsidRPr="00857CDA">
        <w:rPr>
          <w:lang w:val="ro-RO" w:eastAsia="en-GB"/>
        </w:rPr>
        <w:t xml:space="preserve"> cu </w:t>
      </w:r>
      <w:r w:rsidRPr="00857CDA">
        <w:rPr>
          <w:lang w:val="ro-RO"/>
        </w:rPr>
        <w:t>„</w:t>
      </w:r>
      <w:r w:rsidRPr="00857CDA">
        <w:rPr>
          <w:lang w:val="ro-RO" w:eastAsia="en-GB"/>
        </w:rPr>
        <w:t>pericol(e)</w:t>
      </w:r>
      <w:r w:rsidRPr="00857CDA">
        <w:rPr>
          <w:lang w:val="ro-RO"/>
        </w:rPr>
        <w:t>”</w:t>
      </w:r>
      <w:r w:rsidRPr="00857CDA">
        <w:rPr>
          <w:lang w:val="ro-RO" w:eastAsia="en-GB"/>
        </w:rPr>
        <w:t>,</w:t>
      </w:r>
    </w:p>
    <w:p w:rsidR="00196C06" w:rsidRPr="00857CDA" w:rsidRDefault="00C96986" w:rsidP="00196C06">
      <w:pPr>
        <w:tabs>
          <w:tab w:val="left" w:pos="3402"/>
        </w:tabs>
        <w:spacing w:before="120" w:after="120" w:line="240" w:lineRule="auto"/>
        <w:ind w:left="1134" w:right="1134"/>
        <w:jc w:val="both"/>
        <w:rPr>
          <w:lang w:val="ro-RO" w:eastAsia="en-GB"/>
        </w:rPr>
      </w:pPr>
      <w:r w:rsidRPr="00857CDA">
        <w:rPr>
          <w:lang w:val="ro-RO" w:eastAsia="en-GB"/>
        </w:rPr>
        <w:t xml:space="preserve">iar la </w:t>
      </w:r>
      <w:r w:rsidR="00857CDA" w:rsidRPr="00857CDA">
        <w:rPr>
          <w:lang w:val="ro-RO" w:eastAsia="en-GB"/>
        </w:rPr>
        <w:t>alineatul</w:t>
      </w:r>
      <w:r w:rsidR="004C27AD" w:rsidRPr="00857CDA">
        <w:rPr>
          <w:lang w:val="ro-RO" w:eastAsia="en-GB"/>
        </w:rPr>
        <w:t xml:space="preserve"> </w:t>
      </w:r>
      <w:r w:rsidR="001928AE" w:rsidRPr="00857CDA">
        <w:rPr>
          <w:lang w:val="ro-RO" w:eastAsia="en-GB"/>
        </w:rPr>
        <w:t xml:space="preserve">d) </w:t>
      </w:r>
      <w:r w:rsidRPr="00857CDA">
        <w:rPr>
          <w:lang w:val="ro-RO" w:eastAsia="en-GB"/>
        </w:rPr>
        <w:t>s</w:t>
      </w:r>
      <w:r w:rsidR="00902C44" w:rsidRPr="00857CDA">
        <w:rPr>
          <w:lang w:val="ro-RO" w:eastAsia="en-GB"/>
        </w:rPr>
        <w:t>e modifică</w:t>
      </w:r>
      <w:r w:rsidR="00196C06" w:rsidRPr="00857CDA">
        <w:rPr>
          <w:lang w:val="ro-RO" w:eastAsia="en-GB"/>
        </w:rPr>
        <w:t xml:space="preserve"> </w:t>
      </w:r>
      <w:r w:rsidR="0043120D" w:rsidRPr="00857CDA">
        <w:rPr>
          <w:lang w:val="ro-RO"/>
        </w:rPr>
        <w:t>„</w:t>
      </w:r>
      <w:r w:rsidR="002B679C" w:rsidRPr="00857CDA">
        <w:rPr>
          <w:lang w:val="ro-RO" w:eastAsia="en-GB"/>
        </w:rPr>
        <w:t>risc</w:t>
      </w:r>
      <w:r w:rsidR="00660131" w:rsidRPr="00857CDA">
        <w:rPr>
          <w:lang w:val="ro-RO"/>
        </w:rPr>
        <w:t>”</w:t>
      </w:r>
      <w:r w:rsidR="00902C44" w:rsidRPr="00857CDA">
        <w:rPr>
          <w:lang w:val="ro-RO" w:eastAsia="en-GB"/>
        </w:rPr>
        <w:t xml:space="preserve"> cu </w:t>
      </w:r>
      <w:r w:rsidR="0043120D" w:rsidRPr="00857CDA">
        <w:rPr>
          <w:lang w:val="ro-RO"/>
        </w:rPr>
        <w:t>„</w:t>
      </w:r>
      <w:r w:rsidR="002B679C" w:rsidRPr="00857CDA">
        <w:rPr>
          <w:lang w:val="ro-RO" w:eastAsia="en-GB"/>
        </w:rPr>
        <w:t>pericol</w:t>
      </w:r>
      <w:r w:rsidR="00660131" w:rsidRPr="00857CDA">
        <w:rPr>
          <w:lang w:val="ro-RO"/>
        </w:rPr>
        <w:t>”</w:t>
      </w:r>
      <w:r w:rsidR="00196C06" w:rsidRPr="00857CDA">
        <w:rPr>
          <w:lang w:val="ro-RO" w:eastAsia="en-GB"/>
        </w:rPr>
        <w:t>.</w:t>
      </w:r>
    </w:p>
    <w:p w:rsidR="00754218" w:rsidRPr="00857CDA" w:rsidRDefault="00902C44" w:rsidP="00754218">
      <w:pPr>
        <w:pStyle w:val="SingleTxtG"/>
        <w:rPr>
          <w:lang w:val="ro-RO"/>
        </w:rPr>
      </w:pPr>
      <w:r w:rsidRPr="00857CDA">
        <w:rPr>
          <w:lang w:val="ro-RO"/>
        </w:rPr>
        <w:t>Se șterge</w:t>
      </w:r>
      <w:r w:rsidR="00754218" w:rsidRPr="00857CDA">
        <w:rPr>
          <w:lang w:val="ro-RO"/>
        </w:rPr>
        <w:t xml:space="preserve"> </w:t>
      </w:r>
      <w:r w:rsidR="0043120D" w:rsidRPr="00857CDA">
        <w:rPr>
          <w:lang w:val="ro-RO"/>
        </w:rPr>
        <w:t>Dispoziția specială</w:t>
      </w:r>
      <w:r w:rsidR="00754218" w:rsidRPr="00857CDA">
        <w:rPr>
          <w:lang w:val="ro-RO"/>
        </w:rPr>
        <w:t xml:space="preserve"> 186</w:t>
      </w:r>
      <w:r w:rsidR="004C27AD" w:rsidRPr="00857CDA">
        <w:rPr>
          <w:lang w:val="ro-RO"/>
        </w:rPr>
        <w:t xml:space="preserve"> și </w:t>
      </w:r>
      <w:r w:rsidRPr="00857CDA">
        <w:rPr>
          <w:lang w:val="ro-RO"/>
        </w:rPr>
        <w:t>se adaugă</w:t>
      </w:r>
      <w:r w:rsidR="00754218" w:rsidRPr="00857CDA">
        <w:rPr>
          <w:lang w:val="ro-RO"/>
        </w:rPr>
        <w:t xml:space="preserve">: </w:t>
      </w:r>
      <w:r w:rsidR="0043120D" w:rsidRPr="00857CDA">
        <w:rPr>
          <w:lang w:val="ro-RO"/>
        </w:rPr>
        <w:t>„</w:t>
      </w:r>
      <w:r w:rsidR="00754218" w:rsidRPr="00857CDA">
        <w:rPr>
          <w:lang w:val="ro-RO"/>
        </w:rPr>
        <w:t>186</w:t>
      </w:r>
      <w:r w:rsidR="00754218" w:rsidRPr="00857CDA">
        <w:rPr>
          <w:lang w:val="ro-RO"/>
        </w:rPr>
        <w:tab/>
      </w:r>
      <w:r w:rsidR="00754218" w:rsidRPr="00857CDA">
        <w:rPr>
          <w:i/>
          <w:lang w:val="ro-RO"/>
        </w:rPr>
        <w:t>(</w:t>
      </w:r>
      <w:r w:rsidR="004C27AD" w:rsidRPr="00857CDA">
        <w:rPr>
          <w:i/>
          <w:lang w:val="ro-RO"/>
        </w:rPr>
        <w:t>Șters</w:t>
      </w:r>
      <w:r w:rsidR="00754218" w:rsidRPr="00857CDA">
        <w:rPr>
          <w:i/>
          <w:lang w:val="ro-RO"/>
        </w:rPr>
        <w:t>)</w:t>
      </w:r>
      <w:r w:rsidR="00660131" w:rsidRPr="00857CDA">
        <w:rPr>
          <w:lang w:val="ro-RO"/>
        </w:rPr>
        <w:t>”</w:t>
      </w:r>
      <w:r w:rsidR="00754218" w:rsidRPr="00857CDA">
        <w:rPr>
          <w:lang w:val="ro-RO"/>
        </w:rPr>
        <w:t>.</w:t>
      </w:r>
    </w:p>
    <w:p w:rsidR="0063441B" w:rsidRPr="00857CDA" w:rsidRDefault="0043120D" w:rsidP="00196C06">
      <w:pPr>
        <w:spacing w:before="120" w:after="120" w:line="240" w:lineRule="auto"/>
        <w:ind w:left="1134" w:right="1134"/>
        <w:jc w:val="both"/>
        <w:rPr>
          <w:lang w:val="ro-RO"/>
        </w:rPr>
      </w:pPr>
      <w:r w:rsidRPr="00857CDA">
        <w:rPr>
          <w:lang w:val="ro-RO"/>
        </w:rPr>
        <w:t>Dispoziția specială</w:t>
      </w:r>
      <w:r w:rsidR="0063441B" w:rsidRPr="00857CDA">
        <w:rPr>
          <w:lang w:val="ro-RO"/>
        </w:rPr>
        <w:t xml:space="preserve"> 188</w:t>
      </w:r>
      <w:r w:rsidR="00693EFD" w:rsidRPr="00857CDA">
        <w:rPr>
          <w:lang w:val="ro-RO"/>
        </w:rPr>
        <w:t xml:space="preserve"> după literele </w:t>
      </w:r>
      <w:r w:rsidR="0063441B" w:rsidRPr="00857CDA">
        <w:rPr>
          <w:lang w:val="ro-RO"/>
        </w:rPr>
        <w:t>a)</w:t>
      </w:r>
      <w:r w:rsidR="004C27AD" w:rsidRPr="00857CDA">
        <w:rPr>
          <w:lang w:val="ro-RO"/>
        </w:rPr>
        <w:t xml:space="preserve"> și </w:t>
      </w:r>
      <w:r w:rsidR="00693EFD" w:rsidRPr="00857CDA">
        <w:rPr>
          <w:lang w:val="ro-RO"/>
        </w:rPr>
        <w:t>b) s</w:t>
      </w:r>
      <w:r w:rsidR="00902C44" w:rsidRPr="00857CDA">
        <w:rPr>
          <w:lang w:val="ro-RO"/>
        </w:rPr>
        <w:t>e adaugă</w:t>
      </w:r>
      <w:r w:rsidR="0063441B" w:rsidRPr="00857CDA">
        <w:rPr>
          <w:lang w:val="ro-RO"/>
        </w:rPr>
        <w:t xml:space="preserve"> noua Not</w:t>
      </w:r>
      <w:r w:rsidR="00693EFD" w:rsidRPr="00857CDA">
        <w:rPr>
          <w:lang w:val="ro-RO"/>
        </w:rPr>
        <w:t>ă, după cum urmează</w:t>
      </w:r>
      <w:r w:rsidR="00091658" w:rsidRPr="00857CDA">
        <w:rPr>
          <w:lang w:val="ro-RO"/>
        </w:rPr>
        <w:t>:</w:t>
      </w:r>
    </w:p>
    <w:p w:rsidR="0063441B" w:rsidRPr="00857CDA" w:rsidRDefault="0043120D" w:rsidP="007E0BE3">
      <w:pPr>
        <w:spacing w:before="120" w:after="120" w:line="240" w:lineRule="auto"/>
        <w:ind w:left="1134" w:right="1134"/>
        <w:jc w:val="both"/>
        <w:rPr>
          <w:i/>
          <w:lang w:val="ro-RO"/>
        </w:rPr>
      </w:pPr>
      <w:r w:rsidRPr="00857CDA">
        <w:rPr>
          <w:lang w:val="ro-RO"/>
        </w:rPr>
        <w:t>„</w:t>
      </w:r>
      <w:r w:rsidR="0063441B" w:rsidRPr="00857CDA">
        <w:rPr>
          <w:b/>
          <w:i/>
          <w:lang w:val="ro-RO"/>
        </w:rPr>
        <w:t>NOT</w:t>
      </w:r>
      <w:r w:rsidR="00693EFD" w:rsidRPr="00857CDA">
        <w:rPr>
          <w:b/>
          <w:i/>
          <w:lang w:val="ro-RO"/>
        </w:rPr>
        <w:t>Ă</w:t>
      </w:r>
      <w:r w:rsidR="0063441B" w:rsidRPr="00857CDA">
        <w:rPr>
          <w:b/>
          <w:i/>
          <w:lang w:val="ro-RO"/>
        </w:rPr>
        <w:t>:</w:t>
      </w:r>
      <w:r w:rsidR="0063441B" w:rsidRPr="00857CDA">
        <w:rPr>
          <w:i/>
          <w:lang w:val="ro-RO"/>
        </w:rPr>
        <w:t xml:space="preserve"> </w:t>
      </w:r>
      <w:r w:rsidR="007E0BE3" w:rsidRPr="00857CDA">
        <w:rPr>
          <w:i/>
          <w:lang w:val="ro-RO"/>
        </w:rPr>
        <w:t>Atunci când bateriile cu litiu conforme cu 2.2.9.1.7 f) sunt transportate în conformitate cu prezenta dispoziție specială, conținutul total de litiu al tuturor pilelor cu litiu metal conținute în baterie nu trebuie să depășească 1,5 g, iar capacitatea totală a tuturor pilelor cu litiu</w:t>
      </w:r>
      <w:r w:rsidR="00F12AF9" w:rsidRPr="00857CDA">
        <w:rPr>
          <w:i/>
          <w:lang w:val="ro-RO"/>
        </w:rPr>
        <w:t xml:space="preserve"> </w:t>
      </w:r>
      <w:r w:rsidR="007E0BE3" w:rsidRPr="00857CDA">
        <w:rPr>
          <w:i/>
          <w:lang w:val="ro-RO"/>
        </w:rPr>
        <w:t>ion conținute în baterie nu trebuie să depășească 10 Wh (a se vedea dispoziția specială 387)</w:t>
      </w:r>
      <w:r w:rsidR="0063441B" w:rsidRPr="00857CDA">
        <w:rPr>
          <w:i/>
          <w:lang w:val="ro-RO"/>
        </w:rPr>
        <w:t>.</w:t>
      </w:r>
      <w:r w:rsidR="00660131" w:rsidRPr="00857CDA">
        <w:rPr>
          <w:lang w:val="ro-RO"/>
        </w:rPr>
        <w:t>”</w:t>
      </w:r>
      <w:r w:rsidR="0063441B" w:rsidRPr="00857CDA">
        <w:rPr>
          <w:lang w:val="ro-RO"/>
        </w:rPr>
        <w:t>.</w:t>
      </w:r>
    </w:p>
    <w:p w:rsidR="0063441B" w:rsidRPr="00857CDA" w:rsidRDefault="0043120D" w:rsidP="00965D2A">
      <w:pPr>
        <w:pStyle w:val="SingleTxtG"/>
        <w:rPr>
          <w:lang w:val="ro-RO"/>
        </w:rPr>
      </w:pPr>
      <w:r w:rsidRPr="00857CDA">
        <w:rPr>
          <w:lang w:val="ro-RO"/>
        </w:rPr>
        <w:t>Dispoziția specială</w:t>
      </w:r>
      <w:r w:rsidR="0063441B" w:rsidRPr="00857CDA">
        <w:rPr>
          <w:lang w:val="ro-RO"/>
        </w:rPr>
        <w:t xml:space="preserve"> 18</w:t>
      </w:r>
      <w:r w:rsidR="00444D01" w:rsidRPr="00857CDA">
        <w:rPr>
          <w:lang w:val="ro-RO"/>
        </w:rPr>
        <w:t>8 c)</w:t>
      </w:r>
      <w:r w:rsidR="007D7488" w:rsidRPr="00857CDA">
        <w:rPr>
          <w:lang w:val="ro-RO"/>
        </w:rPr>
        <w:tab/>
      </w:r>
      <w:r w:rsidR="00B74147" w:rsidRPr="00857CDA">
        <w:rPr>
          <w:lang w:val="ro-RO"/>
        </w:rPr>
        <w:t>s</w:t>
      </w:r>
      <w:r w:rsidR="00902C44" w:rsidRPr="00857CDA">
        <w:rPr>
          <w:lang w:val="ro-RO"/>
        </w:rPr>
        <w:t>e modifică</w:t>
      </w:r>
      <w:r w:rsidR="00E65F32" w:rsidRPr="00857CDA">
        <w:rPr>
          <w:lang w:val="ro-RO"/>
        </w:rPr>
        <w:t xml:space="preserve"> </w:t>
      </w:r>
      <w:r w:rsidRPr="00857CDA">
        <w:rPr>
          <w:lang w:val="ro-RO"/>
        </w:rPr>
        <w:t>„</w:t>
      </w:r>
      <w:r w:rsidR="00E65F32" w:rsidRPr="00857CDA">
        <w:rPr>
          <w:lang w:val="ro-RO"/>
        </w:rPr>
        <w:t>2.2.9.1.7 a)</w:t>
      </w:r>
      <w:r w:rsidR="004C27AD" w:rsidRPr="00857CDA">
        <w:rPr>
          <w:lang w:val="ro-RO"/>
        </w:rPr>
        <w:t xml:space="preserve"> </w:t>
      </w:r>
      <w:r w:rsidR="00B74147" w:rsidRPr="00857CDA">
        <w:rPr>
          <w:lang w:val="ro-RO"/>
        </w:rPr>
        <w:t>la</w:t>
      </w:r>
      <w:r w:rsidR="004C27AD" w:rsidRPr="00857CDA">
        <w:rPr>
          <w:lang w:val="ro-RO"/>
        </w:rPr>
        <w:t xml:space="preserve"> </w:t>
      </w:r>
      <w:r w:rsidR="00E65F32" w:rsidRPr="00857CDA">
        <w:rPr>
          <w:lang w:val="ro-RO"/>
        </w:rPr>
        <w:t>e)</w:t>
      </w:r>
      <w:r w:rsidR="00660131" w:rsidRPr="00857CDA">
        <w:rPr>
          <w:lang w:val="ro-RO"/>
        </w:rPr>
        <w:t>”</w:t>
      </w:r>
      <w:r w:rsidR="00902C44" w:rsidRPr="00857CDA">
        <w:rPr>
          <w:lang w:val="ro-RO"/>
        </w:rPr>
        <w:t xml:space="preserve"> cu </w:t>
      </w:r>
      <w:r w:rsidRPr="00857CDA">
        <w:rPr>
          <w:lang w:val="ro-RO"/>
        </w:rPr>
        <w:t>„</w:t>
      </w:r>
      <w:r w:rsidR="00E65F32" w:rsidRPr="00857CDA">
        <w:rPr>
          <w:lang w:val="ro-RO"/>
        </w:rPr>
        <w:t>2.2.9.1.7 a), e), f)</w:t>
      </w:r>
      <w:r w:rsidR="00B74147" w:rsidRPr="00857CDA">
        <w:rPr>
          <w:lang w:val="ro-RO"/>
        </w:rPr>
        <w:t>,</w:t>
      </w:r>
      <w:r w:rsidR="00E65F32" w:rsidRPr="00857CDA">
        <w:rPr>
          <w:lang w:val="ro-RO"/>
        </w:rPr>
        <w:t xml:space="preserve"> </w:t>
      </w:r>
      <w:r w:rsidR="00B74147" w:rsidRPr="00857CDA">
        <w:rPr>
          <w:lang w:val="ro-RO"/>
        </w:rPr>
        <w:t xml:space="preserve">după caz </w:t>
      </w:r>
      <w:r w:rsidR="004C27AD" w:rsidRPr="00857CDA">
        <w:rPr>
          <w:lang w:val="ro-RO"/>
        </w:rPr>
        <w:t xml:space="preserve">și </w:t>
      </w:r>
      <w:r w:rsidR="00E65F32" w:rsidRPr="00857CDA">
        <w:rPr>
          <w:lang w:val="ro-RO"/>
        </w:rPr>
        <w:t>g)</w:t>
      </w:r>
      <w:r w:rsidR="00660131" w:rsidRPr="00857CDA">
        <w:rPr>
          <w:lang w:val="ro-RO"/>
        </w:rPr>
        <w:t>”</w:t>
      </w:r>
      <w:r w:rsidR="00E65F32" w:rsidRPr="00857CDA">
        <w:rPr>
          <w:lang w:val="ro-RO"/>
        </w:rPr>
        <w:t>.</w:t>
      </w:r>
    </w:p>
    <w:p w:rsidR="00196C06" w:rsidRPr="00857CDA" w:rsidRDefault="0043120D" w:rsidP="00FD0A2C">
      <w:pPr>
        <w:pStyle w:val="SingleTxtG"/>
        <w:spacing w:before="120"/>
        <w:rPr>
          <w:lang w:val="ro-RO" w:eastAsia="en-GB" w:bidi="en-GB"/>
        </w:rPr>
      </w:pPr>
      <w:r w:rsidRPr="00857CDA">
        <w:rPr>
          <w:lang w:val="ro-RO"/>
        </w:rPr>
        <w:t>Dispoziția specială</w:t>
      </w:r>
      <w:r w:rsidR="00444D01" w:rsidRPr="00857CDA">
        <w:rPr>
          <w:lang w:val="ro-RO"/>
        </w:rPr>
        <w:t xml:space="preserve"> 188 f)</w:t>
      </w:r>
      <w:r w:rsidR="00196C06" w:rsidRPr="00857CDA">
        <w:rPr>
          <w:lang w:val="ro-RO"/>
        </w:rPr>
        <w:tab/>
      </w:r>
      <w:r w:rsidR="00902C44" w:rsidRPr="00857CDA">
        <w:rPr>
          <w:lang w:val="ro-RO"/>
        </w:rPr>
        <w:t>Se adaugă</w:t>
      </w:r>
      <w:r w:rsidR="00196C06" w:rsidRPr="00857CDA">
        <w:rPr>
          <w:lang w:val="ro-RO"/>
        </w:rPr>
        <w:t xml:space="preserve"> d</w:t>
      </w:r>
      <w:r w:rsidR="00FD0A2C" w:rsidRPr="00857CDA">
        <w:rPr>
          <w:lang w:val="ro-RO"/>
        </w:rPr>
        <w:t>ouă fraze la sfârșit, după cum urmează</w:t>
      </w:r>
      <w:r w:rsidR="00091658" w:rsidRPr="00857CDA">
        <w:rPr>
          <w:lang w:val="ro-RO"/>
        </w:rPr>
        <w:t>:</w:t>
      </w:r>
      <w:r w:rsidR="00196C06" w:rsidRPr="00857CDA">
        <w:rPr>
          <w:lang w:val="ro-RO" w:eastAsia="en-GB" w:bidi="en-GB"/>
        </w:rPr>
        <w:t xml:space="preserve"> </w:t>
      </w:r>
      <w:r w:rsidRPr="00857CDA">
        <w:rPr>
          <w:lang w:val="ro-RO"/>
        </w:rPr>
        <w:t>„</w:t>
      </w:r>
      <w:r w:rsidR="00FD0A2C" w:rsidRPr="00857CDA">
        <w:rPr>
          <w:lang w:val="ro-RO"/>
        </w:rPr>
        <w:t>Atunci când</w:t>
      </w:r>
      <w:r w:rsidR="00FD0A2C" w:rsidRPr="00857CDA">
        <w:rPr>
          <w:lang w:val="ro-RO" w:eastAsia="en-GB" w:bidi="en-GB"/>
        </w:rPr>
        <w:t xml:space="preserve"> coletele sunt plasate într-un supra-ambalaj, mărcile bateriei cu litiu trebuie să fie ori vizibile direct, ori reproduse pe exteriorul supra-ambalajului, iar supra-ambalajul trebuie să poarte marca „SUPRA-AMBALAJ</w:t>
      </w:r>
      <w:r w:rsidR="00746016" w:rsidRPr="00857CDA">
        <w:rPr>
          <w:lang w:val="ro-RO" w:eastAsia="en-GB" w:bidi="en-GB"/>
        </w:rPr>
        <w:t>”</w:t>
      </w:r>
      <w:r w:rsidR="00FD0A2C" w:rsidRPr="00857CDA">
        <w:rPr>
          <w:lang w:val="ro-RO" w:eastAsia="en-GB" w:bidi="en-GB"/>
        </w:rPr>
        <w:t>. Literele mărcii „SUPRA-AMBALAJ” trebuie să fie de cel puţin 12 mm în înălţime</w:t>
      </w:r>
      <w:r w:rsidR="00196C06" w:rsidRPr="00857CDA">
        <w:rPr>
          <w:lang w:val="ro-RO" w:eastAsia="en-GB" w:bidi="en-GB"/>
        </w:rPr>
        <w:t>.</w:t>
      </w:r>
      <w:r w:rsidR="00746016" w:rsidRPr="00857CDA">
        <w:rPr>
          <w:lang w:val="ro-RO" w:eastAsia="en-GB" w:bidi="en-GB"/>
        </w:rPr>
        <w:t>”</w:t>
      </w:r>
      <w:r w:rsidR="00995AE9" w:rsidRPr="00857CDA">
        <w:rPr>
          <w:lang w:val="ro-RO" w:eastAsia="en-GB" w:bidi="en-GB"/>
        </w:rPr>
        <w:t>.</w:t>
      </w:r>
      <w:r w:rsidR="00D57A45" w:rsidRPr="00857CDA">
        <w:rPr>
          <w:lang w:val="ro-RO" w:eastAsia="en-GB" w:bidi="en-GB"/>
        </w:rPr>
        <w:t xml:space="preserve"> </w:t>
      </w:r>
      <w:r w:rsidR="00902C44" w:rsidRPr="00857CDA">
        <w:rPr>
          <w:iCs/>
          <w:lang w:val="ro-RO"/>
        </w:rPr>
        <w:t>Se adaugă</w:t>
      </w:r>
      <w:r w:rsidR="00196C06" w:rsidRPr="00857CDA">
        <w:rPr>
          <w:iCs/>
          <w:lang w:val="ro-RO"/>
        </w:rPr>
        <w:t xml:space="preserve"> noua </w:t>
      </w:r>
      <w:r w:rsidR="00995AE9" w:rsidRPr="00857CDA">
        <w:rPr>
          <w:iCs/>
          <w:lang w:val="ro-RO"/>
        </w:rPr>
        <w:t>Notă</w:t>
      </w:r>
      <w:r w:rsidR="00746016" w:rsidRPr="00857CDA">
        <w:rPr>
          <w:iCs/>
          <w:lang w:val="ro-RO"/>
        </w:rPr>
        <w:t>, după cum urmează</w:t>
      </w:r>
      <w:r w:rsidR="00091658" w:rsidRPr="00857CDA">
        <w:rPr>
          <w:lang w:val="ro-RO"/>
        </w:rPr>
        <w:t>:</w:t>
      </w:r>
    </w:p>
    <w:p w:rsidR="00196C06" w:rsidRPr="00857CDA" w:rsidRDefault="0043120D" w:rsidP="003B6379">
      <w:pPr>
        <w:pStyle w:val="SingleTxtG"/>
        <w:rPr>
          <w:iCs/>
          <w:lang w:val="ro-RO"/>
        </w:rPr>
      </w:pPr>
      <w:r w:rsidRPr="00857CDA">
        <w:rPr>
          <w:lang w:val="ro-RO"/>
        </w:rPr>
        <w:t>„</w:t>
      </w:r>
      <w:r w:rsidR="00196C06" w:rsidRPr="00857CDA">
        <w:rPr>
          <w:b/>
          <w:i/>
          <w:iCs/>
          <w:lang w:val="ro-RO"/>
        </w:rPr>
        <w:t>NOT</w:t>
      </w:r>
      <w:r w:rsidR="00746016" w:rsidRPr="00857CDA">
        <w:rPr>
          <w:b/>
          <w:i/>
          <w:iCs/>
          <w:lang w:val="ro-RO"/>
        </w:rPr>
        <w:t>Ă</w:t>
      </w:r>
      <w:r w:rsidR="00196C06" w:rsidRPr="00857CDA">
        <w:rPr>
          <w:b/>
          <w:i/>
          <w:iCs/>
          <w:lang w:val="ro-RO"/>
        </w:rPr>
        <w:t>:</w:t>
      </w:r>
      <w:r w:rsidR="00196C06" w:rsidRPr="00857CDA">
        <w:rPr>
          <w:i/>
          <w:iCs/>
          <w:lang w:val="ro-RO"/>
        </w:rPr>
        <w:t xml:space="preserve"> </w:t>
      </w:r>
      <w:r w:rsidR="00AF7202" w:rsidRPr="00857CDA">
        <w:rPr>
          <w:i/>
          <w:iCs/>
          <w:lang w:val="ro-RO"/>
        </w:rPr>
        <w:tab/>
      </w:r>
      <w:r w:rsidR="003B6379" w:rsidRPr="00857CDA">
        <w:rPr>
          <w:i/>
          <w:iCs/>
          <w:lang w:val="ro-RO"/>
        </w:rPr>
        <w:t xml:space="preserve">Coletele care conțin baterii cu litiu ambalate în conformitate cu dispozițiile secțiunii IB din instrucțiunea de ambalare 965 sau 968 din capitolul 11 din partea 4 a Instrucțiunilor tehnice </w:t>
      </w:r>
      <w:r w:rsidR="00995AE9" w:rsidRPr="00857CDA">
        <w:rPr>
          <w:i/>
          <w:iCs/>
          <w:lang w:val="ro-RO"/>
        </w:rPr>
        <w:t xml:space="preserve">ale </w:t>
      </w:r>
      <w:r w:rsidR="003B6379" w:rsidRPr="00857CDA">
        <w:rPr>
          <w:i/>
          <w:iCs/>
          <w:lang w:val="ro-RO"/>
        </w:rPr>
        <w:t>OACI</w:t>
      </w:r>
      <w:r w:rsidR="008323DD" w:rsidRPr="00857CDA">
        <w:rPr>
          <w:i/>
          <w:iCs/>
          <w:lang w:val="ro-RO"/>
        </w:rPr>
        <w:t>,</w:t>
      </w:r>
      <w:r w:rsidR="003B6379" w:rsidRPr="00857CDA">
        <w:rPr>
          <w:i/>
          <w:iCs/>
          <w:lang w:val="ro-RO"/>
        </w:rPr>
        <w:t xml:space="preserve"> care poartă marca prevăzută la paragraful 5.2.1.9 (marca pentru baterii cu litiu) și eticheta reprezentată la paragraful 5.2.2.2.2, modelul nr. 9A</w:t>
      </w:r>
      <w:r w:rsidR="008323DD" w:rsidRPr="00857CDA">
        <w:rPr>
          <w:i/>
          <w:iCs/>
          <w:lang w:val="ro-RO"/>
        </w:rPr>
        <w:t>,</w:t>
      </w:r>
      <w:r w:rsidR="003B6379" w:rsidRPr="00857CDA">
        <w:rPr>
          <w:i/>
          <w:iCs/>
          <w:lang w:val="ro-RO"/>
        </w:rPr>
        <w:t xml:space="preserve"> se consideră conforme cu dispozițiile prezentei dispoziții speciale</w:t>
      </w:r>
      <w:r w:rsidR="00196C06" w:rsidRPr="00857CDA">
        <w:rPr>
          <w:i/>
          <w:iCs/>
          <w:lang w:val="ro-RO"/>
        </w:rPr>
        <w:t>.</w:t>
      </w:r>
      <w:r w:rsidR="00660131" w:rsidRPr="00857CDA">
        <w:rPr>
          <w:lang w:val="ro-RO"/>
        </w:rPr>
        <w:t>”</w:t>
      </w:r>
      <w:r w:rsidR="00196C06" w:rsidRPr="00857CDA">
        <w:rPr>
          <w:iCs/>
          <w:lang w:val="ro-RO"/>
        </w:rPr>
        <w:t>.</w:t>
      </w:r>
    </w:p>
    <w:p w:rsidR="00196C06" w:rsidRPr="00857CDA" w:rsidRDefault="0043120D" w:rsidP="00196C06">
      <w:pPr>
        <w:pStyle w:val="SingleTxtG"/>
        <w:rPr>
          <w:i/>
          <w:iCs/>
          <w:lang w:val="ro-RO"/>
        </w:rPr>
      </w:pPr>
      <w:r w:rsidRPr="00857CDA">
        <w:rPr>
          <w:lang w:val="ro-RO"/>
        </w:rPr>
        <w:t>Dispoziția specială</w:t>
      </w:r>
      <w:r w:rsidR="00196C06" w:rsidRPr="00857CDA">
        <w:rPr>
          <w:lang w:val="ro-RO"/>
        </w:rPr>
        <w:t xml:space="preserve"> 188</w:t>
      </w:r>
      <w:r w:rsidR="00C00F54" w:rsidRPr="00857CDA">
        <w:rPr>
          <w:lang w:val="ro-RO"/>
        </w:rPr>
        <w:t xml:space="preserve">, </w:t>
      </w:r>
      <w:r w:rsidR="00902C44" w:rsidRPr="00857CDA">
        <w:rPr>
          <w:lang w:val="ro-RO"/>
        </w:rPr>
        <w:t xml:space="preserve">În </w:t>
      </w:r>
      <w:r w:rsidR="00C00F54" w:rsidRPr="00857CDA">
        <w:rPr>
          <w:lang w:val="ro-RO"/>
        </w:rPr>
        <w:t>pr</w:t>
      </w:r>
      <w:r w:rsidR="008323DD" w:rsidRPr="00857CDA">
        <w:rPr>
          <w:lang w:val="ro-RO"/>
        </w:rPr>
        <w:t>i</w:t>
      </w:r>
      <w:r w:rsidR="00C00F54" w:rsidRPr="00857CDA">
        <w:rPr>
          <w:lang w:val="ro-RO"/>
        </w:rPr>
        <w:t>m</w:t>
      </w:r>
      <w:r w:rsidR="008323DD" w:rsidRPr="00857CDA">
        <w:rPr>
          <w:lang w:val="ro-RO"/>
        </w:rPr>
        <w:t>ul</w:t>
      </w:r>
      <w:r w:rsidR="00C00F54" w:rsidRPr="00857CDA">
        <w:rPr>
          <w:lang w:val="ro-RO"/>
        </w:rPr>
        <w:t xml:space="preserve"> </w:t>
      </w:r>
      <w:r w:rsidR="00970E20" w:rsidRPr="00857CDA">
        <w:rPr>
          <w:lang w:val="ro-RO"/>
        </w:rPr>
        <w:t>paragraf</w:t>
      </w:r>
      <w:r w:rsidR="00C00F54" w:rsidRPr="00857CDA">
        <w:rPr>
          <w:lang w:val="ro-RO"/>
        </w:rPr>
        <w:t xml:space="preserve"> </w:t>
      </w:r>
      <w:r w:rsidR="00AB51D7" w:rsidRPr="00857CDA">
        <w:rPr>
          <w:lang w:val="ro-RO"/>
        </w:rPr>
        <w:t xml:space="preserve">de </w:t>
      </w:r>
      <w:r w:rsidR="00991390" w:rsidRPr="00857CDA">
        <w:rPr>
          <w:lang w:val="ro-RO"/>
        </w:rPr>
        <w:t>după</w:t>
      </w:r>
      <w:r w:rsidR="00196C06" w:rsidRPr="00857CDA">
        <w:rPr>
          <w:lang w:val="ro-RO"/>
        </w:rPr>
        <w:t xml:space="preserve"> </w:t>
      </w:r>
      <w:r w:rsidR="008323DD" w:rsidRPr="00857CDA">
        <w:rPr>
          <w:lang w:val="ro-RO"/>
        </w:rPr>
        <w:t xml:space="preserve">litera </w:t>
      </w:r>
      <w:r w:rsidR="00C00F54" w:rsidRPr="00857CDA">
        <w:rPr>
          <w:lang w:val="ro-RO"/>
        </w:rPr>
        <w:t>h</w:t>
      </w:r>
      <w:r w:rsidR="00196C06" w:rsidRPr="00857CDA">
        <w:rPr>
          <w:lang w:val="ro-RO"/>
        </w:rPr>
        <w:t>)</w:t>
      </w:r>
      <w:r w:rsidR="00995AE9" w:rsidRPr="00857CDA">
        <w:rPr>
          <w:lang w:val="ro-RO"/>
        </w:rPr>
        <w:t xml:space="preserve"> </w:t>
      </w:r>
      <w:r w:rsidR="008323DD" w:rsidRPr="00857CDA">
        <w:rPr>
          <w:lang w:val="ro-RO"/>
        </w:rPr>
        <w:t>s</w:t>
      </w:r>
      <w:r w:rsidR="00902C44" w:rsidRPr="00857CDA">
        <w:rPr>
          <w:lang w:val="ro-RO"/>
        </w:rPr>
        <w:t>e adaugă</w:t>
      </w:r>
      <w:r w:rsidR="00196C06" w:rsidRPr="00857CDA">
        <w:rPr>
          <w:lang w:val="ro-RO"/>
        </w:rPr>
        <w:t xml:space="preserve"> </w:t>
      </w:r>
      <w:r w:rsidR="008323DD" w:rsidRPr="00857CDA">
        <w:rPr>
          <w:lang w:val="ro-RO"/>
        </w:rPr>
        <w:t>o</w:t>
      </w:r>
      <w:r w:rsidR="00196C06" w:rsidRPr="00857CDA">
        <w:rPr>
          <w:lang w:val="ro-RO"/>
        </w:rPr>
        <w:t xml:space="preserve"> nou</w:t>
      </w:r>
      <w:r w:rsidR="008323DD" w:rsidRPr="00857CDA">
        <w:rPr>
          <w:lang w:val="ro-RO"/>
        </w:rPr>
        <w:t>ă</w:t>
      </w:r>
      <w:r w:rsidR="00196C06" w:rsidRPr="00857CDA">
        <w:rPr>
          <w:lang w:val="ro-RO"/>
        </w:rPr>
        <w:t xml:space="preserve"> </w:t>
      </w:r>
      <w:r w:rsidR="00970E20" w:rsidRPr="00857CDA">
        <w:rPr>
          <w:lang w:val="ro-RO"/>
        </w:rPr>
        <w:t>frază</w:t>
      </w:r>
      <w:r w:rsidR="008323DD" w:rsidRPr="00857CDA">
        <w:rPr>
          <w:lang w:val="ro-RO"/>
        </w:rPr>
        <w:t xml:space="preserve"> la sfârșit, după cum urmează</w:t>
      </w:r>
      <w:r w:rsidR="00091658" w:rsidRPr="00857CDA">
        <w:rPr>
          <w:lang w:val="ro-RO"/>
        </w:rPr>
        <w:t>:</w:t>
      </w:r>
      <w:r w:rsidR="00196C06" w:rsidRPr="00857CDA">
        <w:rPr>
          <w:lang w:val="ro-RO"/>
        </w:rPr>
        <w:t xml:space="preserve"> </w:t>
      </w:r>
      <w:r w:rsidRPr="00857CDA">
        <w:rPr>
          <w:lang w:val="ro-RO"/>
        </w:rPr>
        <w:t>„</w:t>
      </w:r>
      <w:r w:rsidR="00902C44" w:rsidRPr="00857CDA">
        <w:rPr>
          <w:lang w:val="ro-RO"/>
        </w:rPr>
        <w:t xml:space="preserve">În </w:t>
      </w:r>
      <w:r w:rsidR="00196C06" w:rsidRPr="00857CDA">
        <w:rPr>
          <w:lang w:val="ro-RO"/>
        </w:rPr>
        <w:t>pr</w:t>
      </w:r>
      <w:r w:rsidR="008323DD" w:rsidRPr="00857CDA">
        <w:rPr>
          <w:lang w:val="ro-RO"/>
        </w:rPr>
        <w:t>ez</w:t>
      </w:r>
      <w:r w:rsidR="00196C06" w:rsidRPr="00857CDA">
        <w:rPr>
          <w:lang w:val="ro-RO"/>
        </w:rPr>
        <w:t>ent</w:t>
      </w:r>
      <w:r w:rsidR="008323DD" w:rsidRPr="00857CDA">
        <w:rPr>
          <w:lang w:val="ro-RO"/>
        </w:rPr>
        <w:t>a</w:t>
      </w:r>
      <w:r w:rsidR="00196C06" w:rsidRPr="00857CDA">
        <w:rPr>
          <w:lang w:val="ro-RO"/>
        </w:rPr>
        <w:t xml:space="preserve"> </w:t>
      </w:r>
      <w:r w:rsidR="008323DD" w:rsidRPr="00857CDA">
        <w:rPr>
          <w:lang w:val="ro-RO"/>
        </w:rPr>
        <w:t>d</w:t>
      </w:r>
      <w:r w:rsidRPr="00857CDA">
        <w:rPr>
          <w:lang w:val="ro-RO"/>
        </w:rPr>
        <w:t>ispoziți</w:t>
      </w:r>
      <w:r w:rsidR="008323DD" w:rsidRPr="00857CDA">
        <w:rPr>
          <w:lang w:val="ro-RO"/>
        </w:rPr>
        <w:t>e</w:t>
      </w:r>
      <w:r w:rsidRPr="00857CDA">
        <w:rPr>
          <w:lang w:val="ro-RO"/>
        </w:rPr>
        <w:t xml:space="preserve"> specială</w:t>
      </w:r>
      <w:r w:rsidR="00196C06" w:rsidRPr="00857CDA">
        <w:rPr>
          <w:lang w:val="ro-RO"/>
        </w:rPr>
        <w:t xml:space="preserve">, </w:t>
      </w:r>
      <w:r w:rsidR="008323DD" w:rsidRPr="00857CDA">
        <w:rPr>
          <w:lang w:val="ro-RO"/>
        </w:rPr>
        <w:t>prin</w:t>
      </w:r>
      <w:r w:rsidR="00902C44" w:rsidRPr="00857CDA">
        <w:rPr>
          <w:lang w:val="ro-RO"/>
        </w:rPr>
        <w:t xml:space="preserve"> </w:t>
      </w:r>
      <w:r w:rsidRPr="00857CDA">
        <w:rPr>
          <w:lang w:val="ro-RO"/>
        </w:rPr>
        <w:t>„</w:t>
      </w:r>
      <w:r w:rsidR="008323DD" w:rsidRPr="00857CDA">
        <w:rPr>
          <w:lang w:val="ro-RO"/>
        </w:rPr>
        <w:t>echi</w:t>
      </w:r>
      <w:r w:rsidR="00196C06" w:rsidRPr="00857CDA">
        <w:rPr>
          <w:lang w:val="ro-RO"/>
        </w:rPr>
        <w:t>p</w:t>
      </w:r>
      <w:r w:rsidR="008323DD" w:rsidRPr="00857CDA">
        <w:rPr>
          <w:lang w:val="ro-RO"/>
        </w:rPr>
        <w:t>a</w:t>
      </w:r>
      <w:r w:rsidR="00196C06" w:rsidRPr="00857CDA">
        <w:rPr>
          <w:lang w:val="ro-RO"/>
        </w:rPr>
        <w:t>ment</w:t>
      </w:r>
      <w:r w:rsidR="00660131" w:rsidRPr="00857CDA">
        <w:rPr>
          <w:lang w:val="ro-RO"/>
        </w:rPr>
        <w:t>”</w:t>
      </w:r>
      <w:r w:rsidR="00196C06" w:rsidRPr="00857CDA">
        <w:rPr>
          <w:lang w:val="ro-RO"/>
        </w:rPr>
        <w:t xml:space="preserve"> </w:t>
      </w:r>
      <w:r w:rsidR="008323DD" w:rsidRPr="00857CDA">
        <w:rPr>
          <w:lang w:val="ro-RO"/>
        </w:rPr>
        <w:t xml:space="preserve">se înțelege </w:t>
      </w:r>
      <w:r w:rsidR="00196C06" w:rsidRPr="00857CDA">
        <w:rPr>
          <w:lang w:val="ro-RO"/>
        </w:rPr>
        <w:t>un apar</w:t>
      </w:r>
      <w:r w:rsidR="008323DD" w:rsidRPr="00857CDA">
        <w:rPr>
          <w:lang w:val="ro-RO"/>
        </w:rPr>
        <w:t>at</w:t>
      </w:r>
      <w:r w:rsidR="00196C06" w:rsidRPr="00857CDA">
        <w:rPr>
          <w:lang w:val="ro-RO"/>
        </w:rPr>
        <w:t xml:space="preserve"> aliment</w:t>
      </w:r>
      <w:r w:rsidR="008323DD" w:rsidRPr="00857CDA">
        <w:rPr>
          <w:lang w:val="ro-RO"/>
        </w:rPr>
        <w:t>at</w:t>
      </w:r>
      <w:r w:rsidR="00902C44" w:rsidRPr="00857CDA">
        <w:rPr>
          <w:lang w:val="ro-RO"/>
        </w:rPr>
        <w:t xml:space="preserve"> cu </w:t>
      </w:r>
      <w:r w:rsidR="00196C06" w:rsidRPr="00857CDA">
        <w:rPr>
          <w:lang w:val="ro-RO"/>
        </w:rPr>
        <w:t xml:space="preserve">pile </w:t>
      </w:r>
      <w:r w:rsidR="008323DD" w:rsidRPr="00857CDA">
        <w:rPr>
          <w:lang w:val="ro-RO"/>
        </w:rPr>
        <w:t>sau</w:t>
      </w:r>
      <w:r w:rsidR="00196C06" w:rsidRPr="00857CDA">
        <w:rPr>
          <w:lang w:val="ro-RO"/>
        </w:rPr>
        <w:t xml:space="preserve"> bateri</w:t>
      </w:r>
      <w:r w:rsidR="008323DD" w:rsidRPr="00857CDA">
        <w:rPr>
          <w:lang w:val="ro-RO"/>
        </w:rPr>
        <w:t>i</w:t>
      </w:r>
      <w:r w:rsidR="00196C06" w:rsidRPr="00857CDA">
        <w:rPr>
          <w:lang w:val="ro-RO"/>
        </w:rPr>
        <w:t xml:space="preserve"> </w:t>
      </w:r>
      <w:r w:rsidR="008323DD" w:rsidRPr="00857CDA">
        <w:rPr>
          <w:lang w:val="ro-RO"/>
        </w:rPr>
        <w:t>c</w:t>
      </w:r>
      <w:r w:rsidR="00196C06" w:rsidRPr="00857CDA">
        <w:rPr>
          <w:lang w:val="ro-RO"/>
        </w:rPr>
        <w:t>u litiu.</w:t>
      </w:r>
      <w:r w:rsidR="00660131" w:rsidRPr="00857CDA">
        <w:rPr>
          <w:lang w:val="ro-RO"/>
        </w:rPr>
        <w:t>”</w:t>
      </w:r>
      <w:r w:rsidR="00196C06" w:rsidRPr="00857CDA">
        <w:rPr>
          <w:lang w:val="ro-RO"/>
        </w:rPr>
        <w:t>.</w:t>
      </w:r>
    </w:p>
    <w:p w:rsidR="00196C06" w:rsidRPr="00857CDA" w:rsidRDefault="00902C44" w:rsidP="00196C06">
      <w:pPr>
        <w:pStyle w:val="SingleTxtG"/>
        <w:rPr>
          <w:lang w:val="ro-RO"/>
        </w:rPr>
      </w:pPr>
      <w:r w:rsidRPr="00857CDA">
        <w:rPr>
          <w:lang w:val="ro-RO"/>
        </w:rPr>
        <w:t>Se șterge</w:t>
      </w:r>
      <w:r w:rsidR="00196C06" w:rsidRPr="00857CDA">
        <w:rPr>
          <w:lang w:val="ro-RO"/>
        </w:rPr>
        <w:t xml:space="preserve"> </w:t>
      </w:r>
      <w:r w:rsidR="008323DD" w:rsidRPr="00857CDA">
        <w:rPr>
          <w:lang w:val="ro-RO"/>
        </w:rPr>
        <w:t>d</w:t>
      </w:r>
      <w:r w:rsidR="0043120D" w:rsidRPr="00857CDA">
        <w:rPr>
          <w:lang w:val="ro-RO"/>
        </w:rPr>
        <w:t>ispoziția specială</w:t>
      </w:r>
      <w:r w:rsidR="00AF7202" w:rsidRPr="00857CDA">
        <w:rPr>
          <w:lang w:val="ro-RO"/>
        </w:rPr>
        <w:t xml:space="preserve"> 240</w:t>
      </w:r>
      <w:r w:rsidR="004C27AD" w:rsidRPr="00857CDA">
        <w:rPr>
          <w:lang w:val="ro-RO"/>
        </w:rPr>
        <w:t xml:space="preserve"> și </w:t>
      </w:r>
      <w:r w:rsidRPr="00857CDA">
        <w:rPr>
          <w:lang w:val="ro-RO"/>
        </w:rPr>
        <w:t>se adaugă</w:t>
      </w:r>
      <w:r w:rsidR="00091658" w:rsidRPr="00857CDA">
        <w:rPr>
          <w:lang w:val="ro-RO"/>
        </w:rPr>
        <w:t>:</w:t>
      </w:r>
      <w:r w:rsidR="00196C06" w:rsidRPr="00857CDA">
        <w:rPr>
          <w:lang w:val="ro-RO"/>
        </w:rPr>
        <w:t xml:space="preserve"> </w:t>
      </w:r>
      <w:r w:rsidR="0043120D" w:rsidRPr="00857CDA">
        <w:rPr>
          <w:lang w:val="ro-RO"/>
        </w:rPr>
        <w:t>„</w:t>
      </w:r>
      <w:r w:rsidR="00196C06" w:rsidRPr="00857CDA">
        <w:rPr>
          <w:lang w:val="ro-RO"/>
        </w:rPr>
        <w:t>240</w:t>
      </w:r>
      <w:r w:rsidR="00196C06" w:rsidRPr="00857CDA">
        <w:rPr>
          <w:lang w:val="ro-RO"/>
        </w:rPr>
        <w:tab/>
      </w:r>
      <w:r w:rsidR="00196C06" w:rsidRPr="00857CDA">
        <w:rPr>
          <w:i/>
          <w:lang w:val="ro-RO"/>
        </w:rPr>
        <w:t>(</w:t>
      </w:r>
      <w:r w:rsidR="004C27AD" w:rsidRPr="00857CDA">
        <w:rPr>
          <w:i/>
          <w:lang w:val="ro-RO"/>
        </w:rPr>
        <w:t>Șters</w:t>
      </w:r>
      <w:r w:rsidR="00196C06" w:rsidRPr="00857CDA">
        <w:rPr>
          <w:i/>
          <w:lang w:val="ro-RO"/>
        </w:rPr>
        <w:t>)</w:t>
      </w:r>
      <w:r w:rsidR="00660131" w:rsidRPr="00857CDA">
        <w:rPr>
          <w:lang w:val="ro-RO"/>
        </w:rPr>
        <w:t>”</w:t>
      </w:r>
      <w:r w:rsidR="00196C06" w:rsidRPr="00857CDA">
        <w:rPr>
          <w:lang w:val="ro-RO"/>
        </w:rPr>
        <w:t>.</w:t>
      </w:r>
    </w:p>
    <w:p w:rsidR="00361EEE" w:rsidRPr="00857CDA" w:rsidRDefault="0043120D" w:rsidP="00361EEE">
      <w:pPr>
        <w:pStyle w:val="SingleTxtG"/>
        <w:rPr>
          <w:lang w:val="ro-RO"/>
        </w:rPr>
      </w:pPr>
      <w:r w:rsidRPr="00857CDA">
        <w:rPr>
          <w:lang w:val="ro-RO"/>
        </w:rPr>
        <w:t>Dispoziția specială</w:t>
      </w:r>
      <w:r w:rsidR="00361EEE" w:rsidRPr="00857CDA">
        <w:rPr>
          <w:lang w:val="ro-RO"/>
        </w:rPr>
        <w:t> 250</w:t>
      </w:r>
      <w:r w:rsidR="00361EEE" w:rsidRPr="00857CDA">
        <w:rPr>
          <w:lang w:val="ro-RO"/>
        </w:rPr>
        <w:tab/>
      </w:r>
      <w:r w:rsidR="008323DD" w:rsidRPr="00857CDA">
        <w:rPr>
          <w:lang w:val="ro-RO"/>
        </w:rPr>
        <w:t xml:space="preserve">la </w:t>
      </w:r>
      <w:r w:rsidR="00361EEE" w:rsidRPr="00857CDA">
        <w:rPr>
          <w:lang w:val="ro-RO"/>
        </w:rPr>
        <w:t>alin</w:t>
      </w:r>
      <w:r w:rsidR="008323DD" w:rsidRPr="00857CDA">
        <w:rPr>
          <w:lang w:val="ro-RO"/>
        </w:rPr>
        <w:t>e</w:t>
      </w:r>
      <w:r w:rsidR="00361EEE" w:rsidRPr="00857CDA">
        <w:rPr>
          <w:lang w:val="ro-RO"/>
        </w:rPr>
        <w:t>a</w:t>
      </w:r>
      <w:r w:rsidR="008323DD" w:rsidRPr="00857CDA">
        <w:rPr>
          <w:lang w:val="ro-RO"/>
        </w:rPr>
        <w:t>tul</w:t>
      </w:r>
      <w:r w:rsidR="00361EEE" w:rsidRPr="00857CDA">
        <w:rPr>
          <w:lang w:val="ro-RO"/>
        </w:rPr>
        <w:t xml:space="preserve"> a) </w:t>
      </w:r>
      <w:r w:rsidR="008323DD" w:rsidRPr="00857CDA">
        <w:rPr>
          <w:lang w:val="ro-RO"/>
        </w:rPr>
        <w:t>s</w:t>
      </w:r>
      <w:r w:rsidR="00902C44" w:rsidRPr="00857CDA">
        <w:rPr>
          <w:lang w:val="ro-RO"/>
        </w:rPr>
        <w:t>e șterge</w:t>
      </w:r>
      <w:r w:rsidR="00091658" w:rsidRPr="00857CDA">
        <w:rPr>
          <w:lang w:val="ro-RO"/>
        </w:rPr>
        <w:t>:</w:t>
      </w:r>
      <w:r w:rsidR="00361EEE" w:rsidRPr="00857CDA">
        <w:rPr>
          <w:lang w:val="ro-RO"/>
        </w:rPr>
        <w:t xml:space="preserve"> </w:t>
      </w:r>
      <w:r w:rsidRPr="00857CDA">
        <w:rPr>
          <w:lang w:val="ro-RO"/>
        </w:rPr>
        <w:t>„</w:t>
      </w:r>
      <w:r w:rsidR="00361EEE" w:rsidRPr="00857CDA">
        <w:rPr>
          <w:lang w:val="ro-RO"/>
        </w:rPr>
        <w:t>(</w:t>
      </w:r>
      <w:r w:rsidR="00995AE9" w:rsidRPr="00857CDA">
        <w:rPr>
          <w:lang w:val="ro-RO"/>
        </w:rPr>
        <w:t>a se vedea S-3-8 a Suplimentului</w:t>
      </w:r>
      <w:r w:rsidR="00361EEE" w:rsidRPr="00857CDA">
        <w:rPr>
          <w:lang w:val="ro-RO"/>
        </w:rPr>
        <w:t>)</w:t>
      </w:r>
      <w:r w:rsidR="00660131" w:rsidRPr="00857CDA">
        <w:rPr>
          <w:lang w:val="ro-RO"/>
        </w:rPr>
        <w:t>”</w:t>
      </w:r>
      <w:r w:rsidR="00361EEE" w:rsidRPr="00857CDA">
        <w:rPr>
          <w:lang w:val="ro-RO"/>
        </w:rPr>
        <w:t>.</w:t>
      </w:r>
    </w:p>
    <w:p w:rsidR="00D57A45" w:rsidRPr="00857CDA" w:rsidRDefault="0043120D" w:rsidP="00196C06">
      <w:pPr>
        <w:pStyle w:val="SingleTxtG"/>
        <w:rPr>
          <w:iCs/>
          <w:lang w:val="ro-RO"/>
        </w:rPr>
      </w:pPr>
      <w:r w:rsidRPr="00857CDA">
        <w:rPr>
          <w:iCs/>
          <w:lang w:val="ro-RO"/>
        </w:rPr>
        <w:t>Dispoziția specială</w:t>
      </w:r>
      <w:r w:rsidR="00196C06" w:rsidRPr="00857CDA">
        <w:rPr>
          <w:iCs/>
          <w:lang w:val="ro-RO"/>
        </w:rPr>
        <w:t xml:space="preserve"> 251</w:t>
      </w:r>
      <w:r w:rsidR="00196C06" w:rsidRPr="00857CDA">
        <w:rPr>
          <w:iCs/>
          <w:lang w:val="ro-RO"/>
        </w:rPr>
        <w:tab/>
      </w:r>
      <w:r w:rsidR="00CD52C1" w:rsidRPr="00857CDA">
        <w:rPr>
          <w:iCs/>
          <w:lang w:val="ro-RO"/>
        </w:rPr>
        <w:t>Se fac următoarele modificări</w:t>
      </w:r>
      <w:r w:rsidR="00091658" w:rsidRPr="00857CDA">
        <w:rPr>
          <w:iCs/>
          <w:lang w:val="ro-RO"/>
        </w:rPr>
        <w:t>:</w:t>
      </w:r>
    </w:p>
    <w:p w:rsidR="00C64110" w:rsidRPr="00857CDA" w:rsidRDefault="00206DDE" w:rsidP="00B5047A">
      <w:pPr>
        <w:pStyle w:val="SingleTxtG"/>
        <w:rPr>
          <w:iCs/>
          <w:lang w:val="ro-RO"/>
        </w:rPr>
      </w:pPr>
      <w:r w:rsidRPr="00857CDA">
        <w:rPr>
          <w:iCs/>
          <w:lang w:val="ro-RO"/>
        </w:rPr>
        <w:t>În primul paragraf, se modifică a doua frază cu următoarea:</w:t>
      </w:r>
    </w:p>
    <w:p w:rsidR="00196C06" w:rsidRPr="00857CDA" w:rsidRDefault="00CD52C1" w:rsidP="000112BB">
      <w:pPr>
        <w:pStyle w:val="SingleTxtG"/>
        <w:ind w:left="1701"/>
        <w:rPr>
          <w:iCs/>
          <w:lang w:val="ro-RO"/>
        </w:rPr>
      </w:pPr>
      <w:r w:rsidRPr="00857CDA">
        <w:rPr>
          <w:lang w:val="ro-RO"/>
        </w:rPr>
        <w:lastRenderedPageBreak/>
        <w:t>„</w:t>
      </w:r>
      <w:r w:rsidR="000112BB" w:rsidRPr="00857CDA">
        <w:rPr>
          <w:iCs/>
          <w:lang w:val="ro-RO"/>
        </w:rPr>
        <w:t>Aceste truse trebuie să conțină numai mărfuri periculoase autorizate ca și</w:t>
      </w:r>
      <w:r w:rsidR="00091658" w:rsidRPr="00857CDA">
        <w:rPr>
          <w:lang w:val="ro-RO"/>
        </w:rPr>
        <w:t>:</w:t>
      </w:r>
    </w:p>
    <w:p w:rsidR="00196C06" w:rsidRPr="00857CDA" w:rsidRDefault="00196C06" w:rsidP="00B5047A">
      <w:pPr>
        <w:pStyle w:val="SingleTxtG"/>
        <w:ind w:left="1701"/>
        <w:rPr>
          <w:iCs/>
          <w:lang w:val="ro-RO"/>
        </w:rPr>
      </w:pPr>
      <w:r w:rsidRPr="00857CDA">
        <w:rPr>
          <w:iCs/>
          <w:lang w:val="ro-RO"/>
        </w:rPr>
        <w:t>a)</w:t>
      </w:r>
      <w:r w:rsidRPr="00857CDA">
        <w:rPr>
          <w:iCs/>
          <w:lang w:val="ro-RO"/>
        </w:rPr>
        <w:tab/>
      </w:r>
      <w:r w:rsidR="00B5047A" w:rsidRPr="00857CDA">
        <w:rPr>
          <w:iCs/>
          <w:lang w:val="ro-RO"/>
        </w:rPr>
        <w:t>Cantități exceptate, sub cantitățile indicate la codul care figurează în coloana (7b) a tabelului A din capitolul 3.2, cu condiția ca</w:t>
      </w:r>
      <w:r w:rsidR="00F10B07" w:rsidRPr="00857CDA">
        <w:rPr>
          <w:iCs/>
          <w:lang w:val="ro-RO"/>
        </w:rPr>
        <w:t>,</w:t>
      </w:r>
      <w:r w:rsidR="00690855" w:rsidRPr="00857CDA">
        <w:rPr>
          <w:iCs/>
          <w:lang w:val="ro-RO"/>
        </w:rPr>
        <w:t xml:space="preserve"> </w:t>
      </w:r>
      <w:r w:rsidR="00B5047A" w:rsidRPr="00857CDA">
        <w:rPr>
          <w:iCs/>
          <w:lang w:val="ro-RO"/>
        </w:rPr>
        <w:t>cantitatea netă pe ambalaj interior și cantitatea netă pe colet să fie conforme cu cele prescrise la 3.5.1.2 și 3.5.1.3</w:t>
      </w:r>
      <w:r w:rsidRPr="00857CDA">
        <w:rPr>
          <w:iCs/>
          <w:lang w:val="ro-RO"/>
        </w:rPr>
        <w:t>;</w:t>
      </w:r>
    </w:p>
    <w:p w:rsidR="00196C06" w:rsidRPr="00857CDA" w:rsidRDefault="00196C06" w:rsidP="00D57A45">
      <w:pPr>
        <w:pStyle w:val="SingleTxtG"/>
        <w:ind w:left="1701"/>
        <w:rPr>
          <w:iCs/>
          <w:lang w:val="ro-RO"/>
        </w:rPr>
      </w:pPr>
      <w:r w:rsidRPr="00857CDA">
        <w:rPr>
          <w:iCs/>
          <w:lang w:val="ro-RO"/>
        </w:rPr>
        <w:t>b)</w:t>
      </w:r>
      <w:r w:rsidRPr="00857CDA">
        <w:rPr>
          <w:iCs/>
          <w:lang w:val="ro-RO"/>
        </w:rPr>
        <w:tab/>
      </w:r>
      <w:r w:rsidR="00002086" w:rsidRPr="00857CDA">
        <w:rPr>
          <w:iCs/>
          <w:lang w:val="ro-RO"/>
        </w:rPr>
        <w:t>Cantități limitate, așa cum sunt indicate</w:t>
      </w:r>
      <w:r w:rsidRPr="00857CDA">
        <w:rPr>
          <w:iCs/>
          <w:lang w:val="ro-RO"/>
        </w:rPr>
        <w:t xml:space="preserve"> </w:t>
      </w:r>
      <w:r w:rsidR="00121893" w:rsidRPr="00857CDA">
        <w:rPr>
          <w:iCs/>
          <w:lang w:val="ro-RO"/>
        </w:rPr>
        <w:t>în coloana</w:t>
      </w:r>
      <w:r w:rsidRPr="00857CDA">
        <w:rPr>
          <w:iCs/>
          <w:lang w:val="ro-RO"/>
        </w:rPr>
        <w:t xml:space="preserve"> </w:t>
      </w:r>
      <w:r w:rsidR="00C05731" w:rsidRPr="00857CDA">
        <w:rPr>
          <w:iCs/>
          <w:lang w:val="ro-RO"/>
        </w:rPr>
        <w:t>(</w:t>
      </w:r>
      <w:r w:rsidRPr="00857CDA">
        <w:rPr>
          <w:iCs/>
          <w:lang w:val="ro-RO"/>
        </w:rPr>
        <w:t>7a</w:t>
      </w:r>
      <w:r w:rsidR="00C05731" w:rsidRPr="00857CDA">
        <w:rPr>
          <w:iCs/>
          <w:lang w:val="ro-RO"/>
        </w:rPr>
        <w:t>)</w:t>
      </w:r>
      <w:r w:rsidRPr="00857CDA">
        <w:rPr>
          <w:iCs/>
          <w:lang w:val="ro-RO"/>
        </w:rPr>
        <w:t xml:space="preserve"> </w:t>
      </w:r>
      <w:r w:rsidR="00002086" w:rsidRPr="00857CDA">
        <w:rPr>
          <w:iCs/>
          <w:lang w:val="ro-RO"/>
        </w:rPr>
        <w:t>a</w:t>
      </w:r>
      <w:r w:rsidR="00C05731" w:rsidRPr="00857CDA">
        <w:rPr>
          <w:iCs/>
          <w:lang w:val="ro-RO"/>
        </w:rPr>
        <w:t xml:space="preserve"> </w:t>
      </w:r>
      <w:r w:rsidR="00857CDA" w:rsidRPr="00857CDA">
        <w:rPr>
          <w:iCs/>
          <w:lang w:val="ro-RO"/>
        </w:rPr>
        <w:t>tabelului</w:t>
      </w:r>
      <w:r w:rsidR="00C05731" w:rsidRPr="00857CDA">
        <w:rPr>
          <w:iCs/>
          <w:lang w:val="ro-RO"/>
        </w:rPr>
        <w:t xml:space="preserve"> A</w:t>
      </w:r>
      <w:r w:rsidRPr="00857CDA">
        <w:rPr>
          <w:iCs/>
          <w:lang w:val="ro-RO"/>
        </w:rPr>
        <w:t xml:space="preserve"> d</w:t>
      </w:r>
      <w:r w:rsidR="00002086" w:rsidRPr="00857CDA">
        <w:rPr>
          <w:iCs/>
          <w:lang w:val="ro-RO"/>
        </w:rPr>
        <w:t>in</w:t>
      </w:r>
      <w:r w:rsidRPr="00857CDA">
        <w:rPr>
          <w:iCs/>
          <w:lang w:val="ro-RO"/>
        </w:rPr>
        <w:t xml:space="preserve"> </w:t>
      </w:r>
      <w:r w:rsidR="00902C44" w:rsidRPr="00857CDA">
        <w:rPr>
          <w:iCs/>
          <w:lang w:val="ro-RO"/>
        </w:rPr>
        <w:t>Capitolul</w:t>
      </w:r>
      <w:r w:rsidRPr="00857CDA">
        <w:rPr>
          <w:iCs/>
          <w:lang w:val="ro-RO"/>
        </w:rPr>
        <w:t xml:space="preserve"> 3.2, </w:t>
      </w:r>
      <w:r w:rsidR="00002086" w:rsidRPr="00857CDA">
        <w:rPr>
          <w:iCs/>
          <w:lang w:val="ro-RO"/>
        </w:rPr>
        <w:t>cu</w:t>
      </w:r>
      <w:r w:rsidRPr="00857CDA">
        <w:rPr>
          <w:iCs/>
          <w:lang w:val="ro-RO"/>
        </w:rPr>
        <w:t xml:space="preserve"> condi</w:t>
      </w:r>
      <w:r w:rsidR="00002086" w:rsidRPr="00857CDA">
        <w:rPr>
          <w:iCs/>
          <w:lang w:val="ro-RO"/>
        </w:rPr>
        <w:t>ția ca</w:t>
      </w:r>
      <w:r w:rsidR="00F10B07" w:rsidRPr="00857CDA">
        <w:rPr>
          <w:iCs/>
          <w:lang w:val="ro-RO"/>
        </w:rPr>
        <w:t>,</w:t>
      </w:r>
      <w:r w:rsidR="00002086" w:rsidRPr="00857CDA">
        <w:rPr>
          <w:iCs/>
          <w:lang w:val="ro-RO"/>
        </w:rPr>
        <w:t xml:space="preserve"> cantitatea</w:t>
      </w:r>
      <w:r w:rsidRPr="00857CDA">
        <w:rPr>
          <w:iCs/>
          <w:lang w:val="ro-RO"/>
        </w:rPr>
        <w:t xml:space="preserve"> </w:t>
      </w:r>
      <w:r w:rsidR="00002086" w:rsidRPr="00857CDA">
        <w:rPr>
          <w:iCs/>
          <w:lang w:val="ro-RO"/>
        </w:rPr>
        <w:t>netă</w:t>
      </w:r>
      <w:r w:rsidR="00902C44" w:rsidRPr="00857CDA">
        <w:rPr>
          <w:iCs/>
          <w:lang w:val="ro-RO"/>
        </w:rPr>
        <w:t xml:space="preserve"> </w:t>
      </w:r>
      <w:r w:rsidR="00002086" w:rsidRPr="00857CDA">
        <w:rPr>
          <w:iCs/>
          <w:lang w:val="ro-RO"/>
        </w:rPr>
        <w:t>pe ambalaj</w:t>
      </w:r>
      <w:r w:rsidRPr="00857CDA">
        <w:rPr>
          <w:iCs/>
          <w:lang w:val="ro-RO"/>
        </w:rPr>
        <w:t xml:space="preserve"> int</w:t>
      </w:r>
      <w:r w:rsidR="00002086" w:rsidRPr="00857CDA">
        <w:rPr>
          <w:iCs/>
          <w:lang w:val="ro-RO"/>
        </w:rPr>
        <w:t>e</w:t>
      </w:r>
      <w:r w:rsidRPr="00857CDA">
        <w:rPr>
          <w:iCs/>
          <w:lang w:val="ro-RO"/>
        </w:rPr>
        <w:t>ri</w:t>
      </w:r>
      <w:r w:rsidR="00002086" w:rsidRPr="00857CDA">
        <w:rPr>
          <w:iCs/>
          <w:lang w:val="ro-RO"/>
        </w:rPr>
        <w:t>or</w:t>
      </w:r>
      <w:r w:rsidRPr="00857CDA">
        <w:rPr>
          <w:iCs/>
          <w:lang w:val="ro-RO"/>
        </w:rPr>
        <w:t xml:space="preserve"> </w:t>
      </w:r>
      <w:r w:rsidR="00002086" w:rsidRPr="00857CDA">
        <w:rPr>
          <w:iCs/>
          <w:lang w:val="ro-RO"/>
        </w:rPr>
        <w:t>să nu</w:t>
      </w:r>
      <w:r w:rsidRPr="00857CDA">
        <w:rPr>
          <w:iCs/>
          <w:lang w:val="ro-RO"/>
        </w:rPr>
        <w:t xml:space="preserve"> d</w:t>
      </w:r>
      <w:r w:rsidR="00002086" w:rsidRPr="00857CDA">
        <w:rPr>
          <w:iCs/>
          <w:lang w:val="ro-RO"/>
        </w:rPr>
        <w:t>e</w:t>
      </w:r>
      <w:r w:rsidRPr="00857CDA">
        <w:rPr>
          <w:iCs/>
          <w:lang w:val="ro-RO"/>
        </w:rPr>
        <w:t>p</w:t>
      </w:r>
      <w:r w:rsidR="00002086" w:rsidRPr="00857CDA">
        <w:rPr>
          <w:iCs/>
          <w:lang w:val="ro-RO"/>
        </w:rPr>
        <w:t>ășească</w:t>
      </w:r>
      <w:r w:rsidRPr="00857CDA">
        <w:rPr>
          <w:iCs/>
          <w:lang w:val="ro-RO"/>
        </w:rPr>
        <w:t xml:space="preserve"> 250 ml </w:t>
      </w:r>
      <w:r w:rsidR="00002086" w:rsidRPr="00857CDA">
        <w:rPr>
          <w:iCs/>
          <w:lang w:val="ro-RO"/>
        </w:rPr>
        <w:t>sa</w:t>
      </w:r>
      <w:r w:rsidRPr="00857CDA">
        <w:rPr>
          <w:iCs/>
          <w:lang w:val="ro-RO"/>
        </w:rPr>
        <w:t>u 250 g.</w:t>
      </w:r>
      <w:r w:rsidR="00660131" w:rsidRPr="00857CDA">
        <w:rPr>
          <w:lang w:val="ro-RO"/>
        </w:rPr>
        <w:t>”</w:t>
      </w:r>
      <w:r w:rsidRPr="00857CDA">
        <w:rPr>
          <w:iCs/>
          <w:lang w:val="ro-RO"/>
        </w:rPr>
        <w:t>.</w:t>
      </w:r>
    </w:p>
    <w:p w:rsidR="00196C06" w:rsidRPr="00857CDA" w:rsidRDefault="00902C44" w:rsidP="00D57A45">
      <w:pPr>
        <w:pStyle w:val="SingleTxtG"/>
        <w:ind w:left="1701"/>
        <w:rPr>
          <w:iCs/>
          <w:lang w:val="ro-RO"/>
        </w:rPr>
      </w:pPr>
      <w:r w:rsidRPr="00857CDA">
        <w:rPr>
          <w:iCs/>
          <w:lang w:val="ro-RO"/>
        </w:rPr>
        <w:t xml:space="preserve">În </w:t>
      </w:r>
      <w:r w:rsidR="00690855" w:rsidRPr="00857CDA">
        <w:rPr>
          <w:iCs/>
          <w:lang w:val="ro-RO"/>
        </w:rPr>
        <w:t>cel de al doilea</w:t>
      </w:r>
      <w:r w:rsidR="00196C06" w:rsidRPr="00857CDA">
        <w:rPr>
          <w:iCs/>
          <w:lang w:val="ro-RO"/>
        </w:rPr>
        <w:t xml:space="preserve"> </w:t>
      </w:r>
      <w:r w:rsidR="00970E20" w:rsidRPr="00857CDA">
        <w:rPr>
          <w:iCs/>
          <w:lang w:val="ro-RO"/>
        </w:rPr>
        <w:t>paragraf</w:t>
      </w:r>
      <w:r w:rsidR="00196C06" w:rsidRPr="00857CDA">
        <w:rPr>
          <w:iCs/>
          <w:lang w:val="ro-RO"/>
        </w:rPr>
        <w:t xml:space="preserve">, </w:t>
      </w:r>
      <w:r w:rsidR="00690855" w:rsidRPr="00857CDA">
        <w:rPr>
          <w:iCs/>
          <w:lang w:val="ro-RO"/>
        </w:rPr>
        <w:t>s</w:t>
      </w:r>
      <w:r w:rsidRPr="00857CDA">
        <w:rPr>
          <w:iCs/>
          <w:lang w:val="ro-RO"/>
        </w:rPr>
        <w:t>e șterge</w:t>
      </w:r>
      <w:r w:rsidR="00196C06" w:rsidRPr="00857CDA">
        <w:rPr>
          <w:iCs/>
          <w:lang w:val="ro-RO"/>
        </w:rPr>
        <w:t xml:space="preserve"> </w:t>
      </w:r>
      <w:r w:rsidR="00970E20" w:rsidRPr="00857CDA">
        <w:rPr>
          <w:iCs/>
          <w:lang w:val="ro-RO"/>
        </w:rPr>
        <w:t>ultima frază</w:t>
      </w:r>
      <w:r w:rsidR="00196C06" w:rsidRPr="00857CDA">
        <w:rPr>
          <w:iCs/>
          <w:lang w:val="ro-RO"/>
        </w:rPr>
        <w:t xml:space="preserve">. </w:t>
      </w:r>
    </w:p>
    <w:p w:rsidR="00196C06" w:rsidRPr="00857CDA" w:rsidRDefault="00690855" w:rsidP="00690855">
      <w:pPr>
        <w:pStyle w:val="SingleTxtG"/>
        <w:ind w:left="1701"/>
        <w:rPr>
          <w:iCs/>
          <w:lang w:val="ro-RO"/>
        </w:rPr>
      </w:pPr>
      <w:r w:rsidRPr="00857CDA">
        <w:rPr>
          <w:iCs/>
          <w:lang w:val="ro-RO"/>
        </w:rPr>
        <w:t>La începutul celui de al treilea</w:t>
      </w:r>
      <w:r w:rsidR="00196C06" w:rsidRPr="00857CDA">
        <w:rPr>
          <w:iCs/>
          <w:lang w:val="ro-RO"/>
        </w:rPr>
        <w:t xml:space="preserve"> </w:t>
      </w:r>
      <w:r w:rsidR="00970E20" w:rsidRPr="00857CDA">
        <w:rPr>
          <w:iCs/>
          <w:lang w:val="ro-RO"/>
        </w:rPr>
        <w:t>paragraf</w:t>
      </w:r>
      <w:r w:rsidR="00196C06" w:rsidRPr="00857CDA">
        <w:rPr>
          <w:iCs/>
          <w:lang w:val="ro-RO"/>
        </w:rPr>
        <w:t xml:space="preserve">, </w:t>
      </w:r>
      <w:r w:rsidR="00902C44" w:rsidRPr="00857CDA">
        <w:rPr>
          <w:iCs/>
          <w:lang w:val="ro-RO"/>
        </w:rPr>
        <w:t>se adaugă</w:t>
      </w:r>
      <w:r w:rsidR="00196C06" w:rsidRPr="00857CDA">
        <w:rPr>
          <w:iCs/>
          <w:lang w:val="ro-RO"/>
        </w:rPr>
        <w:t xml:space="preserve"> </w:t>
      </w:r>
      <w:r w:rsidRPr="00857CDA">
        <w:rPr>
          <w:iCs/>
          <w:lang w:val="ro-RO"/>
        </w:rPr>
        <w:t>o nouă frază, după cum urmează</w:t>
      </w:r>
      <w:r w:rsidR="00091658" w:rsidRPr="00857CDA">
        <w:rPr>
          <w:lang w:val="ro-RO"/>
        </w:rPr>
        <w:t>:</w:t>
      </w:r>
      <w:r w:rsidR="00196C06" w:rsidRPr="00857CDA">
        <w:rPr>
          <w:iCs/>
          <w:lang w:val="ro-RO"/>
        </w:rPr>
        <w:t xml:space="preserve"> </w:t>
      </w:r>
      <w:r w:rsidR="00CD52C1" w:rsidRPr="00857CDA">
        <w:rPr>
          <w:lang w:val="ro-RO"/>
        </w:rPr>
        <w:t>„</w:t>
      </w:r>
      <w:r w:rsidRPr="00857CDA">
        <w:rPr>
          <w:iCs/>
          <w:lang w:val="ro-RO"/>
        </w:rPr>
        <w:t>În scopul descrierii mărfurilor periculoase în documentul de transport conform 5.4.1.1.1, grupa de ambalare care figurează în document trebuie să fie cea mai severă grupă de ambalare atribuită substanțelor prezente în trusă</w:t>
      </w:r>
      <w:r w:rsidR="00196C06" w:rsidRPr="00857CDA">
        <w:rPr>
          <w:iCs/>
          <w:lang w:val="ro-RO"/>
        </w:rPr>
        <w:t>.</w:t>
      </w:r>
      <w:r w:rsidR="00660131" w:rsidRPr="00857CDA">
        <w:rPr>
          <w:lang w:val="ro-RO"/>
        </w:rPr>
        <w:t>”</w:t>
      </w:r>
      <w:r w:rsidR="00196C06" w:rsidRPr="00857CDA">
        <w:rPr>
          <w:iCs/>
          <w:lang w:val="ro-RO"/>
        </w:rPr>
        <w:t>.</w:t>
      </w:r>
    </w:p>
    <w:p w:rsidR="00196C06" w:rsidRPr="00857CDA" w:rsidRDefault="0043120D" w:rsidP="00196C06">
      <w:pPr>
        <w:spacing w:before="120" w:after="120" w:line="240" w:lineRule="auto"/>
        <w:ind w:left="1134" w:right="1134"/>
        <w:jc w:val="both"/>
        <w:rPr>
          <w:lang w:val="ro-RO" w:eastAsia="en-GB"/>
        </w:rPr>
      </w:pPr>
      <w:r w:rsidRPr="00857CDA">
        <w:rPr>
          <w:lang w:val="ro-RO"/>
        </w:rPr>
        <w:t>Dispoziția specială</w:t>
      </w:r>
      <w:r w:rsidR="00196C06" w:rsidRPr="00857CDA">
        <w:rPr>
          <w:lang w:val="ro-RO"/>
        </w:rPr>
        <w:t xml:space="preserve"> 280</w:t>
      </w:r>
      <w:r w:rsidR="00196C06" w:rsidRPr="00857CDA">
        <w:rPr>
          <w:lang w:val="ro-RO"/>
        </w:rPr>
        <w:tab/>
      </w:r>
      <w:r w:rsidR="00690855" w:rsidRPr="00857CDA">
        <w:rPr>
          <w:lang w:val="ro-RO"/>
        </w:rPr>
        <w:t>s</w:t>
      </w:r>
      <w:r w:rsidR="00902C44" w:rsidRPr="00857CDA">
        <w:rPr>
          <w:lang w:val="ro-RO"/>
        </w:rPr>
        <w:t>e modifică</w:t>
      </w:r>
      <w:r w:rsidR="00196C06" w:rsidRPr="00857CDA">
        <w:rPr>
          <w:lang w:val="ro-RO"/>
        </w:rPr>
        <w:t xml:space="preserve"> </w:t>
      </w:r>
      <w:r w:rsidR="00CD52C1" w:rsidRPr="00857CDA">
        <w:rPr>
          <w:lang w:val="ro-RO"/>
        </w:rPr>
        <w:t>„</w:t>
      </w:r>
      <w:r w:rsidR="002B679C" w:rsidRPr="00857CDA">
        <w:rPr>
          <w:lang w:val="ro-RO"/>
        </w:rPr>
        <w:t>risc</w:t>
      </w:r>
      <w:r w:rsidR="00196C06" w:rsidRPr="00857CDA">
        <w:rPr>
          <w:lang w:val="ro-RO"/>
        </w:rPr>
        <w:t xml:space="preserve"> de pro</w:t>
      </w:r>
      <w:r w:rsidR="00690855" w:rsidRPr="00857CDA">
        <w:rPr>
          <w:lang w:val="ro-RO"/>
        </w:rPr>
        <w:t>i</w:t>
      </w:r>
      <w:r w:rsidR="00196C06" w:rsidRPr="00857CDA">
        <w:rPr>
          <w:lang w:val="ro-RO"/>
        </w:rPr>
        <w:t>ect</w:t>
      </w:r>
      <w:r w:rsidR="00690855" w:rsidRPr="00857CDA">
        <w:rPr>
          <w:lang w:val="ro-RO"/>
        </w:rPr>
        <w:t>are</w:t>
      </w:r>
      <w:r w:rsidR="00660131" w:rsidRPr="00857CDA">
        <w:rPr>
          <w:lang w:val="ro-RO"/>
        </w:rPr>
        <w:t>”</w:t>
      </w:r>
      <w:r w:rsidR="00902C44" w:rsidRPr="00857CDA">
        <w:rPr>
          <w:lang w:val="ro-RO"/>
        </w:rPr>
        <w:t xml:space="preserve"> cu </w:t>
      </w:r>
      <w:r w:rsidR="00CD52C1" w:rsidRPr="00857CDA">
        <w:rPr>
          <w:lang w:val="ro-RO"/>
        </w:rPr>
        <w:t>„</w:t>
      </w:r>
      <w:r w:rsidR="002B679C" w:rsidRPr="00857CDA">
        <w:rPr>
          <w:lang w:val="ro-RO"/>
        </w:rPr>
        <w:t>pericol</w:t>
      </w:r>
      <w:r w:rsidR="00196C06" w:rsidRPr="00857CDA">
        <w:rPr>
          <w:lang w:val="ro-RO"/>
        </w:rPr>
        <w:t xml:space="preserve"> de pro</w:t>
      </w:r>
      <w:r w:rsidR="00690855" w:rsidRPr="00857CDA">
        <w:rPr>
          <w:lang w:val="ro-RO"/>
        </w:rPr>
        <w:t>i</w:t>
      </w:r>
      <w:r w:rsidR="00196C06" w:rsidRPr="00857CDA">
        <w:rPr>
          <w:lang w:val="ro-RO"/>
        </w:rPr>
        <w:t>ect</w:t>
      </w:r>
      <w:r w:rsidR="00690855" w:rsidRPr="00857CDA">
        <w:rPr>
          <w:lang w:val="ro-RO"/>
        </w:rPr>
        <w:t>are</w:t>
      </w:r>
      <w:r w:rsidR="00660131" w:rsidRPr="00857CDA">
        <w:rPr>
          <w:lang w:val="ro-RO"/>
        </w:rPr>
        <w:t>”</w:t>
      </w:r>
      <w:r w:rsidR="00196C06" w:rsidRPr="00857CDA">
        <w:rPr>
          <w:lang w:val="ro-RO"/>
        </w:rPr>
        <w:t>.</w:t>
      </w:r>
    </w:p>
    <w:p w:rsidR="00D6244B" w:rsidRPr="00857CDA" w:rsidRDefault="0043120D" w:rsidP="00D6244B">
      <w:pPr>
        <w:pStyle w:val="SingleTxtG"/>
        <w:rPr>
          <w:lang w:val="ro-RO"/>
        </w:rPr>
      </w:pPr>
      <w:r w:rsidRPr="00857CDA">
        <w:rPr>
          <w:lang w:val="ro-RO"/>
        </w:rPr>
        <w:t>Dispoziția specială</w:t>
      </w:r>
      <w:r w:rsidR="00D6244B" w:rsidRPr="00857CDA">
        <w:rPr>
          <w:lang w:val="ro-RO"/>
        </w:rPr>
        <w:t xml:space="preserve"> 307</w:t>
      </w:r>
      <w:r w:rsidR="00D6244B" w:rsidRPr="00857CDA">
        <w:rPr>
          <w:lang w:val="ro-RO"/>
        </w:rPr>
        <w:tab/>
      </w:r>
      <w:r w:rsidR="002B679C" w:rsidRPr="00857CDA">
        <w:rPr>
          <w:lang w:val="ro-RO"/>
        </w:rPr>
        <w:t>Se modifică, după cum urmează</w:t>
      </w:r>
      <w:r w:rsidR="00091658" w:rsidRPr="00857CDA">
        <w:rPr>
          <w:lang w:val="ro-RO"/>
        </w:rPr>
        <w:t>:</w:t>
      </w:r>
    </w:p>
    <w:p w:rsidR="00D6244B" w:rsidRPr="00857CDA" w:rsidRDefault="00CD52C1" w:rsidP="00934E35">
      <w:pPr>
        <w:pStyle w:val="SingleTxtG"/>
        <w:rPr>
          <w:lang w:val="ro-RO"/>
        </w:rPr>
      </w:pPr>
      <w:r w:rsidRPr="00857CDA">
        <w:rPr>
          <w:lang w:val="ro-RO"/>
        </w:rPr>
        <w:t>„</w:t>
      </w:r>
      <w:r w:rsidR="00145488" w:rsidRPr="00857CDA">
        <w:rPr>
          <w:lang w:val="ro-RO"/>
        </w:rPr>
        <w:t>307</w:t>
      </w:r>
      <w:r w:rsidR="00145488" w:rsidRPr="00857CDA">
        <w:rPr>
          <w:lang w:val="ro-RO"/>
        </w:rPr>
        <w:tab/>
      </w:r>
      <w:r w:rsidR="00610DD1" w:rsidRPr="00857CDA">
        <w:rPr>
          <w:lang w:val="ro-RO"/>
        </w:rPr>
        <w:t xml:space="preserve">Această </w:t>
      </w:r>
      <w:r w:rsidR="00C64B54" w:rsidRPr="00857CDA">
        <w:rPr>
          <w:lang w:val="ro-RO"/>
        </w:rPr>
        <w:t>rubrică</w:t>
      </w:r>
      <w:r w:rsidR="00610DD1" w:rsidRPr="00857CDA">
        <w:rPr>
          <w:lang w:val="ro-RO"/>
        </w:rPr>
        <w:t xml:space="preserve"> trebuie utilizată numai pentru îngrășămintele pe bază de azotat (nitrat) de amoniu. Acestea trebuie să fie clasificate în conformitate cu procedura definită în Manualul de Încercări și Criterii, </w:t>
      </w:r>
      <w:r w:rsidR="00934E35" w:rsidRPr="00857CDA">
        <w:rPr>
          <w:lang w:val="ro-RO"/>
        </w:rPr>
        <w:t xml:space="preserve">partea </w:t>
      </w:r>
      <w:r w:rsidR="00610DD1" w:rsidRPr="00857CDA">
        <w:rPr>
          <w:lang w:val="ro-RO"/>
        </w:rPr>
        <w:t xml:space="preserve">III, Secțiunea 39, </w:t>
      </w:r>
      <w:r w:rsidR="00934E35" w:rsidRPr="00857CDA">
        <w:rPr>
          <w:lang w:val="ro-RO"/>
        </w:rPr>
        <w:t xml:space="preserve">sub rezerva restricțiilor de la </w:t>
      </w:r>
      <w:r w:rsidR="000F36E5" w:rsidRPr="00857CDA">
        <w:rPr>
          <w:lang w:val="ro-RO"/>
        </w:rPr>
        <w:t xml:space="preserve">alineatul al treisprezecelea al </w:t>
      </w:r>
      <w:r w:rsidR="00934E35" w:rsidRPr="00857CDA">
        <w:rPr>
          <w:lang w:val="ro-RO"/>
        </w:rPr>
        <w:t>paragrafului 2.2.51.2.2</w:t>
      </w:r>
      <w:r w:rsidR="00610DD1" w:rsidRPr="00857CDA">
        <w:rPr>
          <w:lang w:val="ro-RO"/>
        </w:rPr>
        <w:t xml:space="preserve">. În Secțiunea 39, termenul "autoritate competentă" înseamnă autoritatea competentă a țării de origine. În cazul în care țara de origine nu este parte contractantă la ADR, clasificarea și condițiile de transport trebuie să fie recunoscute de autoritatea competentă a primei părți contractante la ADR </w:t>
      </w:r>
      <w:r w:rsidR="00934E35" w:rsidRPr="00857CDA">
        <w:rPr>
          <w:lang w:val="ro-RO"/>
        </w:rPr>
        <w:t>pe care îl străbate expediția</w:t>
      </w:r>
      <w:r w:rsidR="001B16A3" w:rsidRPr="00857CDA">
        <w:rPr>
          <w:lang w:val="ro-RO"/>
        </w:rPr>
        <w:t>.</w:t>
      </w:r>
      <w:r w:rsidR="00660131" w:rsidRPr="00857CDA">
        <w:rPr>
          <w:lang w:val="ro-RO"/>
        </w:rPr>
        <w:t>”</w:t>
      </w:r>
      <w:r w:rsidR="00D6244B" w:rsidRPr="00857CDA">
        <w:rPr>
          <w:lang w:val="ro-RO"/>
        </w:rPr>
        <w:t>.</w:t>
      </w:r>
    </w:p>
    <w:p w:rsidR="004215B9" w:rsidRPr="00857CDA" w:rsidRDefault="0043120D" w:rsidP="004215B9">
      <w:pPr>
        <w:pStyle w:val="SingleTxtG"/>
        <w:rPr>
          <w:lang w:val="ro-RO"/>
        </w:rPr>
      </w:pPr>
      <w:r w:rsidRPr="00857CDA">
        <w:rPr>
          <w:lang w:val="ro-RO"/>
        </w:rPr>
        <w:t>Dispoziția specială</w:t>
      </w:r>
      <w:r w:rsidR="006201FD" w:rsidRPr="00857CDA">
        <w:rPr>
          <w:lang w:val="ro-RO"/>
        </w:rPr>
        <w:t xml:space="preserve"> 310</w:t>
      </w:r>
      <w:r w:rsidR="004215B9" w:rsidRPr="00857CDA">
        <w:rPr>
          <w:lang w:val="ro-RO"/>
        </w:rPr>
        <w:tab/>
      </w:r>
      <w:r w:rsidR="00934E35" w:rsidRPr="00857CDA">
        <w:rPr>
          <w:lang w:val="ro-RO"/>
        </w:rPr>
        <w:t>î</w:t>
      </w:r>
      <w:r w:rsidR="00902C44" w:rsidRPr="00857CDA">
        <w:rPr>
          <w:lang w:val="ro-RO"/>
        </w:rPr>
        <w:t xml:space="preserve">n </w:t>
      </w:r>
      <w:r w:rsidR="006A1BE3" w:rsidRPr="00857CDA">
        <w:rPr>
          <w:lang w:val="ro-RO"/>
        </w:rPr>
        <w:t>p</w:t>
      </w:r>
      <w:r w:rsidR="00934E35" w:rsidRPr="00857CDA">
        <w:rPr>
          <w:lang w:val="ro-RO"/>
        </w:rPr>
        <w:t>rimul</w:t>
      </w:r>
      <w:r w:rsidR="006A1BE3" w:rsidRPr="00857CDA">
        <w:rPr>
          <w:lang w:val="ro-RO"/>
        </w:rPr>
        <w:t xml:space="preserve"> </w:t>
      </w:r>
      <w:r w:rsidR="00970E20" w:rsidRPr="00857CDA">
        <w:rPr>
          <w:lang w:val="ro-RO"/>
        </w:rPr>
        <w:t>paragraf</w:t>
      </w:r>
      <w:r w:rsidR="006A1BE3" w:rsidRPr="00857CDA">
        <w:rPr>
          <w:lang w:val="ro-RO"/>
        </w:rPr>
        <w:t xml:space="preserve">, </w:t>
      </w:r>
      <w:r w:rsidR="00934E35" w:rsidRPr="00857CDA">
        <w:rPr>
          <w:lang w:val="ro-RO"/>
        </w:rPr>
        <w:t>s</w:t>
      </w:r>
      <w:r w:rsidR="00902C44" w:rsidRPr="00857CDA">
        <w:rPr>
          <w:lang w:val="ro-RO"/>
        </w:rPr>
        <w:t>e modifică</w:t>
      </w:r>
      <w:r w:rsidR="006A1BE3" w:rsidRPr="00857CDA">
        <w:rPr>
          <w:lang w:val="ro-RO"/>
        </w:rPr>
        <w:t xml:space="preserve"> </w:t>
      </w:r>
      <w:r w:rsidR="00CD52C1" w:rsidRPr="00857CDA">
        <w:rPr>
          <w:lang w:val="ro-RO"/>
        </w:rPr>
        <w:t>„</w:t>
      </w:r>
      <w:r w:rsidR="006A1BE3" w:rsidRPr="00857CDA">
        <w:rPr>
          <w:lang w:val="ro-RO"/>
        </w:rPr>
        <w:t>pile</w:t>
      </w:r>
      <w:r w:rsidR="004C27AD" w:rsidRPr="00857CDA">
        <w:rPr>
          <w:lang w:val="ro-RO"/>
        </w:rPr>
        <w:t xml:space="preserve"> și </w:t>
      </w:r>
      <w:r w:rsidR="006A1BE3" w:rsidRPr="00857CDA">
        <w:rPr>
          <w:lang w:val="ro-RO"/>
        </w:rPr>
        <w:t>bateri</w:t>
      </w:r>
      <w:r w:rsidR="00934E35" w:rsidRPr="00857CDA">
        <w:rPr>
          <w:lang w:val="ro-RO"/>
        </w:rPr>
        <w:t>i</w:t>
      </w:r>
      <w:r w:rsidR="00660131" w:rsidRPr="00857CDA">
        <w:rPr>
          <w:lang w:val="ro-RO"/>
        </w:rPr>
        <w:t>”</w:t>
      </w:r>
      <w:r w:rsidR="00902C44" w:rsidRPr="00857CDA">
        <w:rPr>
          <w:lang w:val="ro-RO"/>
        </w:rPr>
        <w:t xml:space="preserve"> cu </w:t>
      </w:r>
      <w:r w:rsidR="00CD52C1" w:rsidRPr="00857CDA">
        <w:rPr>
          <w:lang w:val="ro-RO"/>
        </w:rPr>
        <w:t>„</w:t>
      </w:r>
      <w:r w:rsidR="006A1BE3" w:rsidRPr="00857CDA">
        <w:rPr>
          <w:lang w:val="ro-RO"/>
        </w:rPr>
        <w:t xml:space="preserve">pile </w:t>
      </w:r>
      <w:r w:rsidR="00934E35" w:rsidRPr="00857CDA">
        <w:rPr>
          <w:lang w:val="ro-RO"/>
        </w:rPr>
        <w:t>sa</w:t>
      </w:r>
      <w:r w:rsidR="006A1BE3" w:rsidRPr="00857CDA">
        <w:rPr>
          <w:lang w:val="ro-RO"/>
        </w:rPr>
        <w:t>u bateri</w:t>
      </w:r>
      <w:r w:rsidR="00934E35" w:rsidRPr="00857CDA">
        <w:rPr>
          <w:lang w:val="ro-RO"/>
        </w:rPr>
        <w:t>i</w:t>
      </w:r>
      <w:r w:rsidR="00660131" w:rsidRPr="00857CDA">
        <w:rPr>
          <w:lang w:val="ro-RO"/>
        </w:rPr>
        <w:t>”</w:t>
      </w:r>
      <w:r w:rsidR="006A1BE3" w:rsidRPr="00857CDA">
        <w:rPr>
          <w:lang w:val="ro-RO"/>
        </w:rPr>
        <w:t xml:space="preserve"> (de</w:t>
      </w:r>
      <w:r w:rsidR="00934E35" w:rsidRPr="00857CDA">
        <w:rPr>
          <w:lang w:val="ro-RO"/>
        </w:rPr>
        <w:t xml:space="preserve"> două ori</w:t>
      </w:r>
      <w:r w:rsidR="006A1BE3" w:rsidRPr="00857CDA">
        <w:rPr>
          <w:lang w:val="ro-RO"/>
        </w:rPr>
        <w:t xml:space="preserve">) </w:t>
      </w:r>
      <w:r w:rsidR="00934E35" w:rsidRPr="00857CDA">
        <w:rPr>
          <w:lang w:val="ro-RO"/>
        </w:rPr>
        <w:t>și</w:t>
      </w:r>
      <w:r w:rsidR="004215B9" w:rsidRPr="00857CDA">
        <w:rPr>
          <w:lang w:val="ro-RO"/>
        </w:rPr>
        <w:t xml:space="preserve">, la </w:t>
      </w:r>
      <w:r w:rsidR="00934E35" w:rsidRPr="00857CDA">
        <w:rPr>
          <w:lang w:val="ro-RO"/>
        </w:rPr>
        <w:t>sfârșit</w:t>
      </w:r>
      <w:r w:rsidR="004215B9" w:rsidRPr="00857CDA">
        <w:rPr>
          <w:lang w:val="ro-RO"/>
        </w:rPr>
        <w:t xml:space="preserve">, </w:t>
      </w:r>
      <w:r w:rsidR="00902C44" w:rsidRPr="00857CDA">
        <w:rPr>
          <w:lang w:val="ro-RO"/>
        </w:rPr>
        <w:t>se adaugă</w:t>
      </w:r>
      <w:r w:rsidR="004215B9" w:rsidRPr="00857CDA">
        <w:rPr>
          <w:lang w:val="ro-RO"/>
        </w:rPr>
        <w:t xml:space="preserve"> </w:t>
      </w:r>
      <w:r w:rsidR="00CD52C1" w:rsidRPr="00857CDA">
        <w:rPr>
          <w:lang w:val="ro-RO"/>
        </w:rPr>
        <w:t>„</w:t>
      </w:r>
      <w:r w:rsidR="00934E35" w:rsidRPr="00857CDA">
        <w:rPr>
          <w:lang w:val="ro-RO"/>
        </w:rPr>
        <w:t>sa</w:t>
      </w:r>
      <w:r w:rsidR="004215B9" w:rsidRPr="00857CDA">
        <w:rPr>
          <w:lang w:val="ro-RO"/>
        </w:rPr>
        <w:t>u LP905 d</w:t>
      </w:r>
      <w:r w:rsidR="00934E35" w:rsidRPr="00857CDA">
        <w:rPr>
          <w:lang w:val="ro-RO"/>
        </w:rPr>
        <w:t>e la</w:t>
      </w:r>
      <w:r w:rsidR="004215B9" w:rsidRPr="00857CDA">
        <w:rPr>
          <w:lang w:val="ro-RO"/>
        </w:rPr>
        <w:t xml:space="preserve"> 4.1.4.3, </w:t>
      </w:r>
      <w:r w:rsidR="00934E35" w:rsidRPr="00857CDA">
        <w:rPr>
          <w:lang w:val="ro-RO"/>
        </w:rPr>
        <w:t>după caz</w:t>
      </w:r>
      <w:r w:rsidR="00660131" w:rsidRPr="00857CDA">
        <w:rPr>
          <w:lang w:val="ro-RO"/>
        </w:rPr>
        <w:t>”</w:t>
      </w:r>
      <w:r w:rsidR="004215B9" w:rsidRPr="00857CDA">
        <w:rPr>
          <w:lang w:val="ro-RO"/>
        </w:rPr>
        <w:t>.</w:t>
      </w:r>
    </w:p>
    <w:p w:rsidR="00AF7202" w:rsidRPr="00857CDA" w:rsidRDefault="00902C44" w:rsidP="00AF7202">
      <w:pPr>
        <w:pStyle w:val="SingleTxtG"/>
        <w:rPr>
          <w:lang w:val="ro-RO"/>
        </w:rPr>
      </w:pPr>
      <w:r w:rsidRPr="00857CDA">
        <w:rPr>
          <w:lang w:val="ro-RO"/>
        </w:rPr>
        <w:t>Se șterge</w:t>
      </w:r>
      <w:r w:rsidR="00AF7202" w:rsidRPr="00857CDA">
        <w:rPr>
          <w:lang w:val="ro-RO"/>
        </w:rPr>
        <w:t xml:space="preserve"> la </w:t>
      </w:r>
      <w:r w:rsidR="00934E35" w:rsidRPr="00857CDA">
        <w:rPr>
          <w:lang w:val="ro-RO"/>
        </w:rPr>
        <w:t>d</w:t>
      </w:r>
      <w:r w:rsidR="0043120D" w:rsidRPr="00857CDA">
        <w:rPr>
          <w:lang w:val="ro-RO"/>
        </w:rPr>
        <w:t>ispoziția specială</w:t>
      </w:r>
      <w:r w:rsidR="00AF7202" w:rsidRPr="00857CDA">
        <w:rPr>
          <w:lang w:val="ro-RO"/>
        </w:rPr>
        <w:t xml:space="preserve"> 312</w:t>
      </w:r>
      <w:r w:rsidR="004C27AD" w:rsidRPr="00857CDA">
        <w:rPr>
          <w:lang w:val="ro-RO"/>
        </w:rPr>
        <w:t xml:space="preserve"> și </w:t>
      </w:r>
      <w:r w:rsidRPr="00857CDA">
        <w:rPr>
          <w:lang w:val="ro-RO"/>
        </w:rPr>
        <w:t>se adaugă</w:t>
      </w:r>
      <w:r w:rsidR="00091658" w:rsidRPr="00857CDA">
        <w:rPr>
          <w:lang w:val="ro-RO"/>
        </w:rPr>
        <w:t>:</w:t>
      </w:r>
      <w:r w:rsidR="00AF7202" w:rsidRPr="00857CDA">
        <w:rPr>
          <w:lang w:val="ro-RO"/>
        </w:rPr>
        <w:t xml:space="preserve"> </w:t>
      </w:r>
      <w:r w:rsidR="00CD52C1" w:rsidRPr="00857CDA">
        <w:rPr>
          <w:lang w:val="ro-RO"/>
        </w:rPr>
        <w:t>„</w:t>
      </w:r>
      <w:r w:rsidR="00AF7202" w:rsidRPr="00857CDA">
        <w:rPr>
          <w:lang w:val="ro-RO"/>
        </w:rPr>
        <w:t>312</w:t>
      </w:r>
      <w:r w:rsidR="00AF7202" w:rsidRPr="00857CDA">
        <w:rPr>
          <w:lang w:val="ro-RO"/>
        </w:rPr>
        <w:tab/>
      </w:r>
      <w:r w:rsidR="00AF7202" w:rsidRPr="00857CDA">
        <w:rPr>
          <w:i/>
          <w:lang w:val="ro-RO"/>
        </w:rPr>
        <w:t>(</w:t>
      </w:r>
      <w:r w:rsidR="004C27AD" w:rsidRPr="00857CDA">
        <w:rPr>
          <w:i/>
          <w:lang w:val="ro-RO"/>
        </w:rPr>
        <w:t>Șters</w:t>
      </w:r>
      <w:r w:rsidR="00AF7202" w:rsidRPr="00857CDA">
        <w:rPr>
          <w:i/>
          <w:lang w:val="ro-RO"/>
        </w:rPr>
        <w:t>)</w:t>
      </w:r>
      <w:r w:rsidR="00660131" w:rsidRPr="00857CDA">
        <w:rPr>
          <w:lang w:val="ro-RO"/>
        </w:rPr>
        <w:t>”</w:t>
      </w:r>
      <w:r w:rsidR="00AF7202" w:rsidRPr="00857CDA">
        <w:rPr>
          <w:lang w:val="ro-RO"/>
        </w:rPr>
        <w:t>.</w:t>
      </w:r>
    </w:p>
    <w:p w:rsidR="00196C06" w:rsidRPr="00857CDA" w:rsidRDefault="0043120D" w:rsidP="00196C06">
      <w:pPr>
        <w:spacing w:before="120" w:after="120" w:line="240" w:lineRule="auto"/>
        <w:ind w:left="1134" w:right="1134"/>
        <w:jc w:val="both"/>
        <w:rPr>
          <w:lang w:val="ro-RO"/>
        </w:rPr>
      </w:pPr>
      <w:r w:rsidRPr="00857CDA">
        <w:rPr>
          <w:lang w:val="ro-RO"/>
        </w:rPr>
        <w:t>Dispoziția specială</w:t>
      </w:r>
      <w:r w:rsidR="00934E35" w:rsidRPr="00857CDA">
        <w:rPr>
          <w:lang w:val="ro-RO"/>
        </w:rPr>
        <w:t xml:space="preserve"> 361 b)</w:t>
      </w:r>
      <w:r w:rsidR="00934E35" w:rsidRPr="00857CDA">
        <w:rPr>
          <w:lang w:val="ro-RO"/>
        </w:rPr>
        <w:tab/>
        <w:t>s</w:t>
      </w:r>
      <w:r w:rsidR="00902C44" w:rsidRPr="00857CDA">
        <w:rPr>
          <w:lang w:val="ro-RO"/>
        </w:rPr>
        <w:t>e modifică</w:t>
      </w:r>
      <w:r w:rsidR="00196C06" w:rsidRPr="00857CDA">
        <w:rPr>
          <w:lang w:val="ro-RO"/>
        </w:rPr>
        <w:t xml:space="preserve"> </w:t>
      </w:r>
      <w:r w:rsidR="00CD52C1" w:rsidRPr="00857CDA">
        <w:rPr>
          <w:lang w:val="ro-RO"/>
        </w:rPr>
        <w:t>„</w:t>
      </w:r>
      <w:r w:rsidR="002B679C" w:rsidRPr="00857CDA">
        <w:rPr>
          <w:lang w:val="ro-RO"/>
        </w:rPr>
        <w:t>risc</w:t>
      </w:r>
      <w:r w:rsidR="00196C06" w:rsidRPr="00857CDA">
        <w:rPr>
          <w:lang w:val="ro-RO"/>
        </w:rPr>
        <w:t xml:space="preserve"> poten</w:t>
      </w:r>
      <w:r w:rsidR="00934E35" w:rsidRPr="00857CDA">
        <w:rPr>
          <w:lang w:val="ro-RO"/>
        </w:rPr>
        <w:t>țial</w:t>
      </w:r>
      <w:r w:rsidR="00660131" w:rsidRPr="00857CDA">
        <w:rPr>
          <w:lang w:val="ro-RO"/>
        </w:rPr>
        <w:t>”</w:t>
      </w:r>
      <w:r w:rsidR="00902C44" w:rsidRPr="00857CDA">
        <w:rPr>
          <w:lang w:val="ro-RO"/>
        </w:rPr>
        <w:t xml:space="preserve"> cu </w:t>
      </w:r>
      <w:r w:rsidR="00CD52C1" w:rsidRPr="00857CDA">
        <w:rPr>
          <w:lang w:val="ro-RO"/>
        </w:rPr>
        <w:t>„</w:t>
      </w:r>
      <w:r w:rsidR="002B679C" w:rsidRPr="00857CDA">
        <w:rPr>
          <w:lang w:val="ro-RO"/>
        </w:rPr>
        <w:t>pericol</w:t>
      </w:r>
      <w:r w:rsidR="00196C06" w:rsidRPr="00857CDA">
        <w:rPr>
          <w:lang w:val="ro-RO"/>
        </w:rPr>
        <w:t xml:space="preserve"> poten</w:t>
      </w:r>
      <w:r w:rsidR="00934E35" w:rsidRPr="00857CDA">
        <w:rPr>
          <w:lang w:val="ro-RO"/>
        </w:rPr>
        <w:t>țial</w:t>
      </w:r>
      <w:r w:rsidR="00660131" w:rsidRPr="00857CDA">
        <w:rPr>
          <w:lang w:val="ro-RO"/>
        </w:rPr>
        <w:t>”</w:t>
      </w:r>
      <w:r w:rsidR="00196C06" w:rsidRPr="00857CDA">
        <w:rPr>
          <w:lang w:val="ro-RO"/>
        </w:rPr>
        <w:t>.</w:t>
      </w:r>
    </w:p>
    <w:p w:rsidR="00196C06" w:rsidRPr="00857CDA" w:rsidRDefault="0043120D" w:rsidP="00934E35">
      <w:pPr>
        <w:pStyle w:val="SingleTxtG"/>
        <w:rPr>
          <w:lang w:val="ro-RO"/>
        </w:rPr>
      </w:pPr>
      <w:r w:rsidRPr="00857CDA">
        <w:rPr>
          <w:lang w:val="ro-RO"/>
        </w:rPr>
        <w:t>Dispoziția specială</w:t>
      </w:r>
      <w:r w:rsidR="00196C06" w:rsidRPr="00857CDA">
        <w:rPr>
          <w:lang w:val="ro-RO"/>
        </w:rPr>
        <w:t xml:space="preserve"> 363</w:t>
      </w:r>
      <w:r w:rsidR="00196C06" w:rsidRPr="00857CDA">
        <w:rPr>
          <w:lang w:val="ro-RO"/>
        </w:rPr>
        <w:tab/>
      </w:r>
      <w:r w:rsidR="00934E35" w:rsidRPr="00857CDA">
        <w:rPr>
          <w:lang w:val="ro-RO"/>
        </w:rPr>
        <w:t>s</w:t>
      </w:r>
      <w:r w:rsidR="00902C44" w:rsidRPr="00857CDA">
        <w:rPr>
          <w:lang w:val="ro-RO"/>
        </w:rPr>
        <w:t>e adaugă</w:t>
      </w:r>
      <w:r w:rsidR="00196C06" w:rsidRPr="00857CDA">
        <w:rPr>
          <w:lang w:val="ro-RO"/>
        </w:rPr>
        <w:t xml:space="preserve"> </w:t>
      </w:r>
      <w:r w:rsidR="00934E35" w:rsidRPr="00857CDA">
        <w:rPr>
          <w:lang w:val="ro-RO"/>
        </w:rPr>
        <w:t>un nou paragraf</w:t>
      </w:r>
      <w:r w:rsidR="00196C06" w:rsidRPr="00857CDA">
        <w:rPr>
          <w:lang w:val="ro-RO"/>
        </w:rPr>
        <w:t xml:space="preserve"> introductiv</w:t>
      </w:r>
      <w:r w:rsidR="00934E35" w:rsidRPr="00857CDA">
        <w:rPr>
          <w:lang w:val="ro-RO"/>
        </w:rPr>
        <w:t xml:space="preserve"> la început, după cum urmează</w:t>
      </w:r>
      <w:r w:rsidR="00091658" w:rsidRPr="00857CDA">
        <w:rPr>
          <w:lang w:val="ro-RO"/>
        </w:rPr>
        <w:t>:</w:t>
      </w:r>
      <w:r w:rsidR="00196C06" w:rsidRPr="00857CDA">
        <w:rPr>
          <w:lang w:val="ro-RO"/>
        </w:rPr>
        <w:t xml:space="preserve"> </w:t>
      </w:r>
      <w:r w:rsidR="00CD52C1" w:rsidRPr="00857CDA">
        <w:rPr>
          <w:lang w:val="ro-RO"/>
        </w:rPr>
        <w:t>„</w:t>
      </w:r>
      <w:r w:rsidR="00934E35" w:rsidRPr="00857CDA">
        <w:rPr>
          <w:lang w:val="ro-RO"/>
        </w:rPr>
        <w:t>Această rubrică poate fi utilizată numai atunci când sunt îndeplinite condițiile din această dispoziția specială. Nicio altă prescripție din ADR nu se aplică</w:t>
      </w:r>
      <w:r w:rsidR="00196C06" w:rsidRPr="00857CDA">
        <w:rPr>
          <w:lang w:val="ro-RO"/>
        </w:rPr>
        <w:t>.</w:t>
      </w:r>
      <w:r w:rsidR="00660131" w:rsidRPr="00857CDA">
        <w:rPr>
          <w:lang w:val="ro-RO"/>
        </w:rPr>
        <w:t>”</w:t>
      </w:r>
      <w:r w:rsidR="00900319" w:rsidRPr="00857CDA">
        <w:rPr>
          <w:lang w:val="ro-RO"/>
        </w:rPr>
        <w:t>.</w:t>
      </w:r>
    </w:p>
    <w:p w:rsidR="00196C06" w:rsidRPr="00857CDA" w:rsidRDefault="0043120D" w:rsidP="00516F19">
      <w:pPr>
        <w:pStyle w:val="SingleTxtG"/>
        <w:rPr>
          <w:iCs/>
          <w:lang w:val="ro-RO"/>
        </w:rPr>
      </w:pPr>
      <w:r w:rsidRPr="00857CDA">
        <w:rPr>
          <w:lang w:val="ro-RO"/>
        </w:rPr>
        <w:t>Dispoziția specială</w:t>
      </w:r>
      <w:r w:rsidR="004D5732" w:rsidRPr="00857CDA">
        <w:rPr>
          <w:lang w:val="ro-RO"/>
        </w:rPr>
        <w:t xml:space="preserve"> 363 f)</w:t>
      </w:r>
      <w:r w:rsidR="00196C06" w:rsidRPr="00857CDA">
        <w:rPr>
          <w:lang w:val="ro-RO"/>
        </w:rPr>
        <w:tab/>
      </w:r>
      <w:r w:rsidR="00934E35" w:rsidRPr="00857CDA">
        <w:rPr>
          <w:lang w:val="ro-RO"/>
        </w:rPr>
        <w:t>s</w:t>
      </w:r>
      <w:r w:rsidR="00902C44" w:rsidRPr="00857CDA">
        <w:rPr>
          <w:lang w:val="ro-RO"/>
        </w:rPr>
        <w:t>e modifică</w:t>
      </w:r>
      <w:r w:rsidR="00196C06" w:rsidRPr="00857CDA">
        <w:rPr>
          <w:lang w:val="ro-RO"/>
        </w:rPr>
        <w:t xml:space="preserve"> </w:t>
      </w:r>
      <w:r w:rsidR="00CD52C1" w:rsidRPr="00857CDA">
        <w:rPr>
          <w:lang w:val="ro-RO"/>
        </w:rPr>
        <w:t>„</w:t>
      </w:r>
      <w:r w:rsidR="00934E35" w:rsidRPr="00857CDA">
        <w:rPr>
          <w:iCs/>
          <w:lang w:val="ro-RO"/>
        </w:rPr>
        <w:t>prescripțiile de la 2.2.9.1.7</w:t>
      </w:r>
      <w:r w:rsidR="00660131" w:rsidRPr="00857CDA">
        <w:rPr>
          <w:iCs/>
          <w:lang w:val="ro-RO"/>
        </w:rPr>
        <w:t>”</w:t>
      </w:r>
      <w:r w:rsidR="00902C44" w:rsidRPr="00857CDA">
        <w:rPr>
          <w:iCs/>
          <w:lang w:val="ro-RO"/>
        </w:rPr>
        <w:t xml:space="preserve"> cu </w:t>
      </w:r>
      <w:r w:rsidR="00CD52C1" w:rsidRPr="00857CDA">
        <w:rPr>
          <w:lang w:val="ro-RO"/>
        </w:rPr>
        <w:t>„</w:t>
      </w:r>
      <w:r w:rsidR="00516F19" w:rsidRPr="00857CDA">
        <w:rPr>
          <w:iCs/>
          <w:lang w:val="ro-RO"/>
        </w:rPr>
        <w:t>dispo</w:t>
      </w:r>
      <w:r w:rsidR="00934E35" w:rsidRPr="00857CDA">
        <w:rPr>
          <w:iCs/>
          <w:lang w:val="ro-RO"/>
        </w:rPr>
        <w:t>zițiile</w:t>
      </w:r>
      <w:r w:rsidR="00516F19" w:rsidRPr="00857CDA">
        <w:rPr>
          <w:iCs/>
          <w:lang w:val="ro-RO"/>
        </w:rPr>
        <w:t xml:space="preserve"> d</w:t>
      </w:r>
      <w:r w:rsidR="00934E35" w:rsidRPr="00857CDA">
        <w:rPr>
          <w:iCs/>
          <w:lang w:val="ro-RO"/>
        </w:rPr>
        <w:t>e la</w:t>
      </w:r>
      <w:r w:rsidR="00516F19" w:rsidRPr="00857CDA">
        <w:rPr>
          <w:iCs/>
          <w:lang w:val="ro-RO"/>
        </w:rPr>
        <w:t xml:space="preserve"> 2.2.9.1.7</w:t>
      </w:r>
      <w:r w:rsidR="00660131" w:rsidRPr="00857CDA">
        <w:rPr>
          <w:iCs/>
          <w:lang w:val="ro-RO"/>
        </w:rPr>
        <w:t>”</w:t>
      </w:r>
      <w:r w:rsidR="00516F19" w:rsidRPr="00857CDA">
        <w:rPr>
          <w:iCs/>
          <w:lang w:val="ro-RO"/>
        </w:rPr>
        <w:t xml:space="preserve">. </w:t>
      </w:r>
    </w:p>
    <w:p w:rsidR="00C00456" w:rsidRPr="00857CDA" w:rsidRDefault="0043120D" w:rsidP="00C00456">
      <w:pPr>
        <w:pStyle w:val="SingleTxtG"/>
        <w:rPr>
          <w:lang w:val="ro-RO"/>
        </w:rPr>
      </w:pPr>
      <w:r w:rsidRPr="00857CDA">
        <w:rPr>
          <w:lang w:val="ro-RO"/>
        </w:rPr>
        <w:t>Dispoziția specială</w:t>
      </w:r>
      <w:r w:rsidR="00196C06" w:rsidRPr="00857CDA">
        <w:rPr>
          <w:lang w:val="ro-RO"/>
        </w:rPr>
        <w:t xml:space="preserve"> 363</w:t>
      </w:r>
      <w:r w:rsidR="00196C06" w:rsidRPr="00857CDA">
        <w:rPr>
          <w:lang w:val="ro-RO"/>
        </w:rPr>
        <w:tab/>
      </w:r>
      <w:r w:rsidR="002B28B5" w:rsidRPr="00857CDA">
        <w:rPr>
          <w:lang w:val="ro-RO"/>
        </w:rPr>
        <w:t>s</w:t>
      </w:r>
      <w:r w:rsidR="00902C44" w:rsidRPr="00857CDA">
        <w:rPr>
          <w:lang w:val="ro-RO"/>
        </w:rPr>
        <w:t>e șterge</w:t>
      </w:r>
      <w:r w:rsidR="00196C06" w:rsidRPr="00857CDA">
        <w:rPr>
          <w:lang w:val="ro-RO"/>
        </w:rPr>
        <w:t xml:space="preserve"> text</w:t>
      </w:r>
      <w:r w:rsidR="002B28B5" w:rsidRPr="00857CDA">
        <w:rPr>
          <w:lang w:val="ro-RO"/>
        </w:rPr>
        <w:t>ul</w:t>
      </w:r>
      <w:r w:rsidR="00196C06" w:rsidRPr="00857CDA">
        <w:rPr>
          <w:lang w:val="ro-RO"/>
        </w:rPr>
        <w:t xml:space="preserve"> introducti</w:t>
      </w:r>
      <w:r w:rsidR="002B28B5" w:rsidRPr="00857CDA">
        <w:rPr>
          <w:lang w:val="ro-RO"/>
        </w:rPr>
        <w:t>v</w:t>
      </w:r>
      <w:r w:rsidR="00196C06" w:rsidRPr="00857CDA">
        <w:rPr>
          <w:lang w:val="ro-RO"/>
        </w:rPr>
        <w:t xml:space="preserve"> de l</w:t>
      </w:r>
      <w:r w:rsidR="002B28B5" w:rsidRPr="00857CDA">
        <w:rPr>
          <w:lang w:val="ro-RO"/>
        </w:rPr>
        <w:t>a litera</w:t>
      </w:r>
      <w:r w:rsidR="00196C06" w:rsidRPr="00857CDA">
        <w:rPr>
          <w:lang w:val="ro-RO"/>
        </w:rPr>
        <w:t xml:space="preserve"> g). </w:t>
      </w:r>
      <w:r w:rsidR="002B28B5" w:rsidRPr="00857CDA">
        <w:rPr>
          <w:lang w:val="ro-RO"/>
        </w:rPr>
        <w:t xml:space="preserve">Alineatele de la </w:t>
      </w:r>
      <w:r w:rsidR="00196C06" w:rsidRPr="00857CDA">
        <w:rPr>
          <w:lang w:val="ro-RO"/>
        </w:rPr>
        <w:t xml:space="preserve">i) </w:t>
      </w:r>
      <w:r w:rsidR="002B28B5" w:rsidRPr="00857CDA">
        <w:rPr>
          <w:lang w:val="ro-RO"/>
        </w:rPr>
        <w:t>la</w:t>
      </w:r>
      <w:r w:rsidR="00196C06" w:rsidRPr="00857CDA">
        <w:rPr>
          <w:lang w:val="ro-RO"/>
        </w:rPr>
        <w:t xml:space="preserve"> vi) </w:t>
      </w:r>
      <w:r w:rsidR="002B28B5" w:rsidRPr="00857CDA">
        <w:rPr>
          <w:lang w:val="ro-RO"/>
        </w:rPr>
        <w:t>se renumerotează ca literele de la</w:t>
      </w:r>
      <w:r w:rsidR="00196C06" w:rsidRPr="00857CDA">
        <w:rPr>
          <w:lang w:val="ro-RO"/>
        </w:rPr>
        <w:t xml:space="preserve"> g) </w:t>
      </w:r>
      <w:r w:rsidR="002B28B5" w:rsidRPr="00857CDA">
        <w:rPr>
          <w:lang w:val="ro-RO"/>
        </w:rPr>
        <w:t>la</w:t>
      </w:r>
      <w:r w:rsidR="00196C06" w:rsidRPr="00857CDA">
        <w:rPr>
          <w:lang w:val="ro-RO"/>
        </w:rPr>
        <w:t xml:space="preserve"> </w:t>
      </w:r>
      <w:r w:rsidR="00196C06" w:rsidRPr="00857CDA">
        <w:rPr>
          <w:i/>
          <w:lang w:val="ro-RO"/>
        </w:rPr>
        <w:t>l</w:t>
      </w:r>
      <w:r w:rsidR="00196C06" w:rsidRPr="00857CDA">
        <w:rPr>
          <w:lang w:val="ro-RO"/>
        </w:rPr>
        <w:t xml:space="preserve">). </w:t>
      </w:r>
      <w:r w:rsidR="002B679C" w:rsidRPr="00857CDA">
        <w:rPr>
          <w:lang w:val="ro-RO"/>
        </w:rPr>
        <w:t>Se modifică</w:t>
      </w:r>
      <w:r w:rsidR="00C00456" w:rsidRPr="00857CDA">
        <w:rPr>
          <w:lang w:val="ro-RO"/>
        </w:rPr>
        <w:t xml:space="preserve"> </w:t>
      </w:r>
      <w:r w:rsidR="002B28B5" w:rsidRPr="00857CDA">
        <w:rPr>
          <w:lang w:val="ro-RO"/>
        </w:rPr>
        <w:t>litera</w:t>
      </w:r>
      <w:r w:rsidR="00C00456" w:rsidRPr="00857CDA">
        <w:rPr>
          <w:lang w:val="ro-RO"/>
        </w:rPr>
        <w:t xml:space="preserve"> </w:t>
      </w:r>
      <w:r w:rsidR="00C00456" w:rsidRPr="00857CDA">
        <w:rPr>
          <w:i/>
          <w:lang w:val="ro-RO"/>
        </w:rPr>
        <w:t>l</w:t>
      </w:r>
      <w:r w:rsidR="00C00456" w:rsidRPr="00857CDA">
        <w:rPr>
          <w:lang w:val="ro-RO"/>
        </w:rPr>
        <w:t xml:space="preserve">) </w:t>
      </w:r>
      <w:r w:rsidR="002B679C" w:rsidRPr="00857CDA">
        <w:rPr>
          <w:lang w:val="ro-RO"/>
        </w:rPr>
        <w:t>, după cum urmează</w:t>
      </w:r>
      <w:r w:rsidR="00091658" w:rsidRPr="00857CDA">
        <w:rPr>
          <w:lang w:val="ro-RO"/>
        </w:rPr>
        <w:t>:</w:t>
      </w:r>
    </w:p>
    <w:p w:rsidR="00C00456" w:rsidRPr="00857CDA" w:rsidRDefault="00CD52C1" w:rsidP="00C00456">
      <w:pPr>
        <w:pStyle w:val="SingleTxtG"/>
        <w:rPr>
          <w:lang w:val="ro-RO"/>
        </w:rPr>
      </w:pPr>
      <w:r w:rsidRPr="00857CDA">
        <w:rPr>
          <w:lang w:val="ro-RO"/>
        </w:rPr>
        <w:t>„</w:t>
      </w:r>
      <w:r w:rsidR="00C00456" w:rsidRPr="00857CDA">
        <w:rPr>
          <w:i/>
          <w:lang w:val="ro-RO"/>
        </w:rPr>
        <w:t>l</w:t>
      </w:r>
      <w:r w:rsidR="00C00456" w:rsidRPr="00857CDA">
        <w:rPr>
          <w:lang w:val="ro-RO"/>
        </w:rPr>
        <w:t>)</w:t>
      </w:r>
      <w:r w:rsidR="00C00456" w:rsidRPr="00857CDA">
        <w:rPr>
          <w:lang w:val="ro-RO"/>
        </w:rPr>
        <w:tab/>
      </w:r>
      <w:r w:rsidR="002B28B5" w:rsidRPr="00857CDA">
        <w:rPr>
          <w:lang w:val="ro-RO"/>
        </w:rPr>
        <w:t>Atunci când motorul sau utilajul conține o cantitate de combustibil lichid mai mare de 1000 l</w:t>
      </w:r>
      <w:r w:rsidR="00D973A6" w:rsidRPr="00857CDA">
        <w:rPr>
          <w:lang w:val="ro-RO"/>
        </w:rPr>
        <w:t>itri</w:t>
      </w:r>
      <w:r w:rsidR="002B28B5" w:rsidRPr="00857CDA">
        <w:rPr>
          <w:lang w:val="ro-RO"/>
        </w:rPr>
        <w:t xml:space="preserve"> pentru Nr. ONU 3528 și 3530 sau are o capacitate în apă mai mare de 1000 l</w:t>
      </w:r>
      <w:r w:rsidR="00D973A6" w:rsidRPr="00857CDA">
        <w:rPr>
          <w:lang w:val="ro-RO"/>
        </w:rPr>
        <w:t>itri</w:t>
      </w:r>
      <w:r w:rsidR="002B28B5" w:rsidRPr="00857CDA">
        <w:rPr>
          <w:lang w:val="ro-RO"/>
        </w:rPr>
        <w:t xml:space="preserve"> pentru Nr. ONU 3529</w:t>
      </w:r>
      <w:r w:rsidR="00C00456" w:rsidRPr="00857CDA">
        <w:rPr>
          <w:lang w:val="ro-RO"/>
        </w:rPr>
        <w:t>:</w:t>
      </w:r>
    </w:p>
    <w:p w:rsidR="00C00456" w:rsidRPr="00857CDA" w:rsidRDefault="00D973A6" w:rsidP="00C00456">
      <w:pPr>
        <w:pStyle w:val="SingleTxtG"/>
        <w:numPr>
          <w:ilvl w:val="0"/>
          <w:numId w:val="9"/>
        </w:numPr>
        <w:rPr>
          <w:lang w:val="ro-RO"/>
        </w:rPr>
      </w:pPr>
      <w:r w:rsidRPr="00857CDA">
        <w:rPr>
          <w:lang w:val="ro-RO"/>
        </w:rPr>
        <w:t>Este necesar u</w:t>
      </w:r>
      <w:r w:rsidR="00C00456" w:rsidRPr="00857CDA">
        <w:rPr>
          <w:lang w:val="ro-RO"/>
        </w:rPr>
        <w:t>n document de transport conform</w:t>
      </w:r>
      <w:r w:rsidRPr="00857CDA">
        <w:rPr>
          <w:lang w:val="ro-RO"/>
        </w:rPr>
        <w:t xml:space="preserve"> cu</w:t>
      </w:r>
      <w:r w:rsidR="00C00456" w:rsidRPr="00857CDA">
        <w:rPr>
          <w:lang w:val="ro-RO"/>
        </w:rPr>
        <w:t xml:space="preserve"> 5.4.1. </w:t>
      </w:r>
      <w:r w:rsidRPr="00857CDA">
        <w:rPr>
          <w:lang w:val="ro-RO"/>
        </w:rPr>
        <w:t>Acest document de transport trebuie să conțină următoarea mențiune: „Transport conform dispoziţiei speciale 363”</w:t>
      </w:r>
      <w:r w:rsidR="00C00456" w:rsidRPr="00857CDA">
        <w:rPr>
          <w:lang w:val="ro-RO"/>
        </w:rPr>
        <w:t>;</w:t>
      </w:r>
    </w:p>
    <w:p w:rsidR="00C00456" w:rsidRPr="00857CDA" w:rsidRDefault="00AE7D67" w:rsidP="00C00456">
      <w:pPr>
        <w:pStyle w:val="SingleTxtG"/>
        <w:numPr>
          <w:ilvl w:val="0"/>
          <w:numId w:val="9"/>
        </w:numPr>
        <w:rPr>
          <w:lang w:val="ro-RO"/>
        </w:rPr>
      </w:pPr>
      <w:r w:rsidRPr="00857CDA">
        <w:rPr>
          <w:lang w:val="ro-RO"/>
        </w:rPr>
        <w:t xml:space="preserve">Atunci când se cunoaște dinainte că transportul va trece printr-un tunel la care se aplică restricții pentru trecerea vehiculelor care transportă mărfuri periculoase, unitatea de transport trebuie să </w:t>
      </w:r>
      <w:r w:rsidR="002B0163" w:rsidRPr="00857CDA">
        <w:rPr>
          <w:lang w:val="ro-RO"/>
        </w:rPr>
        <w:t>poarte plăci</w:t>
      </w:r>
      <w:r w:rsidRPr="00857CDA">
        <w:rPr>
          <w:lang w:val="ro-RO"/>
        </w:rPr>
        <w:t xml:space="preserve"> portocalii în conformitate cu 5.3.2</w:t>
      </w:r>
      <w:r w:rsidR="002B0163" w:rsidRPr="00857CDA">
        <w:rPr>
          <w:lang w:val="ro-RO"/>
        </w:rPr>
        <w:t>, iar</w:t>
      </w:r>
      <w:r w:rsidRPr="00857CDA">
        <w:rPr>
          <w:lang w:val="ro-RO"/>
        </w:rPr>
        <w:t xml:space="preserve"> restricțiile de tr</w:t>
      </w:r>
      <w:r w:rsidR="002B0163" w:rsidRPr="00857CDA">
        <w:rPr>
          <w:lang w:val="ro-RO"/>
        </w:rPr>
        <w:t>ecere prin tuneluri</w:t>
      </w:r>
      <w:r w:rsidRPr="00857CDA">
        <w:rPr>
          <w:lang w:val="ro-RO"/>
        </w:rPr>
        <w:t xml:space="preserve"> de la 8.6.4 se aplică</w:t>
      </w:r>
      <w:r w:rsidR="004952EB" w:rsidRPr="00857CDA">
        <w:rPr>
          <w:lang w:val="ro-RO"/>
        </w:rPr>
        <w:t>;</w:t>
      </w:r>
      <w:r w:rsidR="00660131" w:rsidRPr="00857CDA">
        <w:rPr>
          <w:lang w:val="ro-RO"/>
        </w:rPr>
        <w:t>”</w:t>
      </w:r>
      <w:r w:rsidR="00C00456" w:rsidRPr="00857CDA">
        <w:rPr>
          <w:lang w:val="ro-RO"/>
        </w:rPr>
        <w:t xml:space="preserve">. </w:t>
      </w:r>
    </w:p>
    <w:p w:rsidR="00196C06" w:rsidRPr="00857CDA" w:rsidRDefault="0043120D" w:rsidP="00196C06">
      <w:pPr>
        <w:pStyle w:val="SingleTxtG"/>
        <w:rPr>
          <w:lang w:val="ro-RO"/>
        </w:rPr>
      </w:pPr>
      <w:r w:rsidRPr="00857CDA">
        <w:rPr>
          <w:lang w:val="ro-RO"/>
        </w:rPr>
        <w:t>Dispoziția specială</w:t>
      </w:r>
      <w:r w:rsidR="00E62A78" w:rsidRPr="00857CDA">
        <w:rPr>
          <w:lang w:val="ro-RO"/>
        </w:rPr>
        <w:t xml:space="preserve"> 363</w:t>
      </w:r>
      <w:r w:rsidR="00E62A78" w:rsidRPr="00857CDA">
        <w:rPr>
          <w:lang w:val="ro-RO"/>
        </w:rPr>
        <w:tab/>
      </w:r>
      <w:r w:rsidR="00902C44" w:rsidRPr="00857CDA">
        <w:rPr>
          <w:lang w:val="ro-RO"/>
        </w:rPr>
        <w:t>Se adaugă</w:t>
      </w:r>
      <w:r w:rsidR="00196C06" w:rsidRPr="00857CDA">
        <w:rPr>
          <w:lang w:val="ro-RO"/>
        </w:rPr>
        <w:t xml:space="preserve"> un </w:t>
      </w:r>
      <w:r w:rsidR="002B0163" w:rsidRPr="00857CDA">
        <w:rPr>
          <w:lang w:val="ro-RO"/>
        </w:rPr>
        <w:t xml:space="preserve">nou </w:t>
      </w:r>
      <w:r w:rsidR="00900319" w:rsidRPr="00857CDA">
        <w:rPr>
          <w:lang w:val="ro-RO"/>
        </w:rPr>
        <w:t>alin</w:t>
      </w:r>
      <w:r w:rsidR="002B0163" w:rsidRPr="00857CDA">
        <w:rPr>
          <w:lang w:val="ro-RO"/>
        </w:rPr>
        <w:t>e</w:t>
      </w:r>
      <w:r w:rsidR="00900319" w:rsidRPr="00857CDA">
        <w:rPr>
          <w:lang w:val="ro-RO"/>
        </w:rPr>
        <w:t>a</w:t>
      </w:r>
      <w:r w:rsidR="002B0163" w:rsidRPr="00857CDA">
        <w:rPr>
          <w:lang w:val="ro-RO"/>
        </w:rPr>
        <w:t>t</w:t>
      </w:r>
      <w:r w:rsidR="00900319" w:rsidRPr="00857CDA">
        <w:rPr>
          <w:lang w:val="ro-RO"/>
        </w:rPr>
        <w:t xml:space="preserve"> m) </w:t>
      </w:r>
      <w:r w:rsidR="002B679C" w:rsidRPr="00857CDA">
        <w:rPr>
          <w:lang w:val="ro-RO"/>
        </w:rPr>
        <w:t>, după cum urmează</w:t>
      </w:r>
      <w:r w:rsidR="00091658" w:rsidRPr="00857CDA">
        <w:rPr>
          <w:lang w:val="ro-RO"/>
        </w:rPr>
        <w:t>:</w:t>
      </w:r>
    </w:p>
    <w:p w:rsidR="00196C06" w:rsidRPr="00857CDA" w:rsidRDefault="00CD52C1" w:rsidP="00196C06">
      <w:pPr>
        <w:pStyle w:val="SingleTxtG"/>
        <w:rPr>
          <w:lang w:val="ro-RO"/>
        </w:rPr>
      </w:pPr>
      <w:r w:rsidRPr="00857CDA">
        <w:rPr>
          <w:lang w:val="ro-RO"/>
        </w:rPr>
        <w:t>„</w:t>
      </w:r>
      <w:r w:rsidR="00196C06" w:rsidRPr="00857CDA">
        <w:rPr>
          <w:lang w:val="ro-RO"/>
        </w:rPr>
        <w:t>m)</w:t>
      </w:r>
      <w:r w:rsidR="00196C06" w:rsidRPr="00857CDA">
        <w:rPr>
          <w:lang w:val="ro-RO"/>
        </w:rPr>
        <w:tab/>
      </w:r>
      <w:r w:rsidR="002B0163" w:rsidRPr="00857CDA">
        <w:rPr>
          <w:lang w:val="ro-RO"/>
        </w:rPr>
        <w:t xml:space="preserve">Prescripțiile </w:t>
      </w:r>
      <w:r w:rsidR="006A1ED1" w:rsidRPr="00857CDA">
        <w:rPr>
          <w:lang w:val="ro-RO"/>
        </w:rPr>
        <w:t>instrucțiun</w:t>
      </w:r>
      <w:r w:rsidR="002B0163" w:rsidRPr="00857CDA">
        <w:rPr>
          <w:lang w:val="ro-RO"/>
        </w:rPr>
        <w:t>ii</w:t>
      </w:r>
      <w:r w:rsidR="006A1ED1" w:rsidRPr="00857CDA">
        <w:rPr>
          <w:lang w:val="ro-RO"/>
        </w:rPr>
        <w:t xml:space="preserve"> de ambalare</w:t>
      </w:r>
      <w:r w:rsidR="00196C06" w:rsidRPr="00857CDA">
        <w:rPr>
          <w:lang w:val="ro-RO"/>
        </w:rPr>
        <w:t xml:space="preserve"> P005 d</w:t>
      </w:r>
      <w:r w:rsidR="002B0163" w:rsidRPr="00857CDA">
        <w:rPr>
          <w:lang w:val="ro-RO"/>
        </w:rPr>
        <w:t>e la</w:t>
      </w:r>
      <w:r w:rsidR="00196C06" w:rsidRPr="00857CDA">
        <w:rPr>
          <w:lang w:val="ro-RO"/>
        </w:rPr>
        <w:t xml:space="preserve"> 4</w:t>
      </w:r>
      <w:r w:rsidR="00116131" w:rsidRPr="00857CDA">
        <w:rPr>
          <w:lang w:val="ro-RO"/>
        </w:rPr>
        <w:t xml:space="preserve">.1.4.1 </w:t>
      </w:r>
      <w:r w:rsidR="002B0163" w:rsidRPr="00857CDA">
        <w:rPr>
          <w:lang w:val="ro-RO"/>
        </w:rPr>
        <w:t>trebuie aplicate</w:t>
      </w:r>
      <w:r w:rsidR="00116131" w:rsidRPr="00857CDA">
        <w:rPr>
          <w:lang w:val="ro-RO"/>
        </w:rPr>
        <w:t>.</w:t>
      </w:r>
      <w:r w:rsidR="00660131" w:rsidRPr="00857CDA">
        <w:rPr>
          <w:lang w:val="ro-RO"/>
        </w:rPr>
        <w:t>”</w:t>
      </w:r>
      <w:r w:rsidR="00196C06" w:rsidRPr="00857CDA">
        <w:rPr>
          <w:lang w:val="ro-RO"/>
        </w:rPr>
        <w:t>.</w:t>
      </w:r>
    </w:p>
    <w:p w:rsidR="00196C06" w:rsidRPr="00857CDA" w:rsidRDefault="0043120D" w:rsidP="00196C06">
      <w:pPr>
        <w:spacing w:before="120" w:after="120" w:line="240" w:lineRule="auto"/>
        <w:ind w:left="1134" w:right="1134"/>
        <w:jc w:val="both"/>
        <w:rPr>
          <w:lang w:val="ro-RO" w:eastAsia="en-GB"/>
        </w:rPr>
      </w:pPr>
      <w:r w:rsidRPr="00857CDA">
        <w:rPr>
          <w:lang w:val="ro-RO" w:eastAsia="en-GB"/>
        </w:rPr>
        <w:lastRenderedPageBreak/>
        <w:t>Dispoziția specială</w:t>
      </w:r>
      <w:r w:rsidR="00196C06" w:rsidRPr="00857CDA">
        <w:rPr>
          <w:lang w:val="ro-RO" w:eastAsia="en-GB"/>
        </w:rPr>
        <w:t xml:space="preserve"> 369</w:t>
      </w:r>
      <w:r w:rsidR="00196C06" w:rsidRPr="00857CDA">
        <w:rPr>
          <w:lang w:val="ro-RO" w:eastAsia="en-GB"/>
        </w:rPr>
        <w:tab/>
      </w:r>
      <w:r w:rsidR="002B0163" w:rsidRPr="00857CDA">
        <w:rPr>
          <w:lang w:val="ro-RO" w:eastAsia="en-GB"/>
        </w:rPr>
        <w:t>În primul paragraf s</w:t>
      </w:r>
      <w:r w:rsidR="00902C44" w:rsidRPr="00857CDA">
        <w:rPr>
          <w:lang w:val="ro-RO" w:eastAsia="en-GB"/>
        </w:rPr>
        <w:t>e modifică</w:t>
      </w:r>
      <w:r w:rsidR="00196C06" w:rsidRPr="00857CDA">
        <w:rPr>
          <w:lang w:val="ro-RO" w:eastAsia="en-GB"/>
        </w:rPr>
        <w:t xml:space="preserve"> </w:t>
      </w:r>
      <w:r w:rsidR="00CD52C1" w:rsidRPr="00857CDA">
        <w:rPr>
          <w:lang w:val="ro-RO"/>
        </w:rPr>
        <w:t>„</w:t>
      </w:r>
      <w:r w:rsidR="002B679C" w:rsidRPr="00857CDA">
        <w:rPr>
          <w:lang w:val="ro-RO" w:eastAsia="en-GB"/>
        </w:rPr>
        <w:t>riscuri</w:t>
      </w:r>
      <w:r w:rsidR="00660131" w:rsidRPr="00857CDA">
        <w:rPr>
          <w:lang w:val="ro-RO"/>
        </w:rPr>
        <w:t>”</w:t>
      </w:r>
      <w:r w:rsidR="00902C44" w:rsidRPr="00857CDA">
        <w:rPr>
          <w:lang w:val="ro-RO" w:eastAsia="en-GB"/>
        </w:rPr>
        <w:t xml:space="preserve"> cu </w:t>
      </w:r>
      <w:r w:rsidR="00660131" w:rsidRPr="00857CDA">
        <w:rPr>
          <w:lang w:val="ro-RO" w:eastAsia="en-GB"/>
        </w:rPr>
        <w:t>“</w:t>
      </w:r>
      <w:r w:rsidR="002B679C" w:rsidRPr="00857CDA">
        <w:rPr>
          <w:lang w:val="ro-RO" w:eastAsia="en-GB"/>
        </w:rPr>
        <w:t>pericole</w:t>
      </w:r>
      <w:r w:rsidR="00660131" w:rsidRPr="00857CDA">
        <w:rPr>
          <w:lang w:val="ro-RO"/>
        </w:rPr>
        <w:t>”</w:t>
      </w:r>
      <w:r w:rsidR="002B0163" w:rsidRPr="00857CDA">
        <w:rPr>
          <w:lang w:val="ro-RO"/>
        </w:rPr>
        <w:t>, iar</w:t>
      </w:r>
      <w:r w:rsidR="004C27AD" w:rsidRPr="00857CDA">
        <w:rPr>
          <w:lang w:val="ro-RO" w:eastAsia="en-GB"/>
        </w:rPr>
        <w:t xml:space="preserve"> </w:t>
      </w:r>
      <w:r w:rsidR="00D612C3" w:rsidRPr="00857CDA">
        <w:rPr>
          <w:lang w:val="ro-RO" w:eastAsia="en-GB"/>
        </w:rPr>
        <w:t xml:space="preserve">în al treilea paragraf </w:t>
      </w:r>
      <w:r w:rsidR="002B0163" w:rsidRPr="00857CDA">
        <w:rPr>
          <w:lang w:val="ro-RO" w:eastAsia="en-GB"/>
        </w:rPr>
        <w:t>s</w:t>
      </w:r>
      <w:r w:rsidR="00902C44" w:rsidRPr="00857CDA">
        <w:rPr>
          <w:lang w:val="ro-RO" w:eastAsia="en-GB"/>
        </w:rPr>
        <w:t>e modifică</w:t>
      </w:r>
      <w:r w:rsidR="00196C06" w:rsidRPr="00857CDA">
        <w:rPr>
          <w:lang w:val="ro-RO" w:eastAsia="en-GB"/>
        </w:rPr>
        <w:t xml:space="preserve"> </w:t>
      </w:r>
      <w:r w:rsidR="00CD52C1" w:rsidRPr="00857CDA">
        <w:rPr>
          <w:lang w:val="ro-RO"/>
        </w:rPr>
        <w:t>„</w:t>
      </w:r>
      <w:r w:rsidR="002B679C" w:rsidRPr="00857CDA">
        <w:rPr>
          <w:lang w:val="ro-RO" w:eastAsia="en-GB"/>
        </w:rPr>
        <w:t>risc</w:t>
      </w:r>
      <w:r w:rsidR="00660131" w:rsidRPr="00857CDA">
        <w:rPr>
          <w:lang w:val="ro-RO"/>
        </w:rPr>
        <w:t>”</w:t>
      </w:r>
      <w:r w:rsidR="00902C44" w:rsidRPr="00857CDA">
        <w:rPr>
          <w:lang w:val="ro-RO" w:eastAsia="en-GB"/>
        </w:rPr>
        <w:t xml:space="preserve"> cu </w:t>
      </w:r>
      <w:r w:rsidR="00CD52C1" w:rsidRPr="00857CDA">
        <w:rPr>
          <w:lang w:val="ro-RO"/>
        </w:rPr>
        <w:t>„</w:t>
      </w:r>
      <w:r w:rsidR="002B679C" w:rsidRPr="00857CDA">
        <w:rPr>
          <w:lang w:val="ro-RO" w:eastAsia="en-GB"/>
        </w:rPr>
        <w:t>pericol</w:t>
      </w:r>
      <w:r w:rsidR="00660131" w:rsidRPr="00857CDA">
        <w:rPr>
          <w:lang w:val="ro-RO"/>
        </w:rPr>
        <w:t>”</w:t>
      </w:r>
      <w:r w:rsidR="00196C06" w:rsidRPr="00857CDA">
        <w:rPr>
          <w:lang w:val="ro-RO" w:eastAsia="en-GB"/>
        </w:rPr>
        <w:t>.</w:t>
      </w:r>
    </w:p>
    <w:p w:rsidR="00E93B06" w:rsidRPr="00857CDA" w:rsidRDefault="0043120D" w:rsidP="00E93B06">
      <w:pPr>
        <w:pStyle w:val="SingleTxtG"/>
        <w:rPr>
          <w:lang w:val="ro-RO"/>
        </w:rPr>
      </w:pPr>
      <w:r w:rsidRPr="00857CDA">
        <w:rPr>
          <w:lang w:val="ro-RO"/>
        </w:rPr>
        <w:t>Dispoziția specială</w:t>
      </w:r>
      <w:r w:rsidR="00E93B06" w:rsidRPr="00857CDA">
        <w:rPr>
          <w:lang w:val="ro-RO"/>
        </w:rPr>
        <w:t xml:space="preserve"> 376 </w:t>
      </w:r>
      <w:r w:rsidR="00E93B06" w:rsidRPr="00857CDA">
        <w:rPr>
          <w:lang w:val="ro-RO"/>
        </w:rPr>
        <w:tab/>
      </w:r>
      <w:r w:rsidR="002B0163" w:rsidRPr="00857CDA">
        <w:rPr>
          <w:lang w:val="ro-RO"/>
        </w:rPr>
        <w:t>s</w:t>
      </w:r>
      <w:r w:rsidR="002B679C" w:rsidRPr="00857CDA">
        <w:rPr>
          <w:lang w:val="ro-RO"/>
        </w:rPr>
        <w:t>e modifică</w:t>
      </w:r>
      <w:r w:rsidR="00E93B06" w:rsidRPr="00857CDA">
        <w:rPr>
          <w:lang w:val="ro-RO"/>
        </w:rPr>
        <w:t xml:space="preserve"> text</w:t>
      </w:r>
      <w:r w:rsidR="002B0163" w:rsidRPr="00857CDA">
        <w:rPr>
          <w:lang w:val="ro-RO"/>
        </w:rPr>
        <w:t>ul de</w:t>
      </w:r>
      <w:r w:rsidR="00E93B06" w:rsidRPr="00857CDA">
        <w:rPr>
          <w:lang w:val="ro-RO"/>
        </w:rPr>
        <w:t xml:space="preserve"> </w:t>
      </w:r>
      <w:r w:rsidR="00991390" w:rsidRPr="00857CDA">
        <w:rPr>
          <w:lang w:val="ro-RO"/>
        </w:rPr>
        <w:t>după</w:t>
      </w:r>
      <w:r w:rsidR="00E93B06" w:rsidRPr="00857CDA">
        <w:rPr>
          <w:lang w:val="ro-RO"/>
        </w:rPr>
        <w:t xml:space="preserve"> </w:t>
      </w:r>
      <w:r w:rsidR="002B0163" w:rsidRPr="00857CDA">
        <w:rPr>
          <w:lang w:val="ro-RO"/>
        </w:rPr>
        <w:t>primele</w:t>
      </w:r>
      <w:r w:rsidR="00E93B06" w:rsidRPr="00857CDA">
        <w:rPr>
          <w:lang w:val="ro-RO"/>
        </w:rPr>
        <w:t xml:space="preserve"> </w:t>
      </w:r>
      <w:r w:rsidR="002B0163" w:rsidRPr="00857CDA">
        <w:rPr>
          <w:lang w:val="ro-RO"/>
        </w:rPr>
        <w:t>trei</w:t>
      </w:r>
      <w:r w:rsidR="00E93B06" w:rsidRPr="00857CDA">
        <w:rPr>
          <w:lang w:val="ro-RO"/>
        </w:rPr>
        <w:t xml:space="preserve"> </w:t>
      </w:r>
      <w:r w:rsidR="00970E20" w:rsidRPr="00857CDA">
        <w:rPr>
          <w:lang w:val="ro-RO"/>
        </w:rPr>
        <w:t>paragraf</w:t>
      </w:r>
      <w:r w:rsidR="002B0163" w:rsidRPr="00857CDA">
        <w:rPr>
          <w:lang w:val="ro-RO"/>
        </w:rPr>
        <w:t>e</w:t>
      </w:r>
      <w:r w:rsidR="002B679C" w:rsidRPr="00857CDA">
        <w:rPr>
          <w:lang w:val="ro-RO"/>
        </w:rPr>
        <w:t>, după cum urmează</w:t>
      </w:r>
      <w:r w:rsidR="00091658" w:rsidRPr="00857CDA">
        <w:rPr>
          <w:lang w:val="ro-RO"/>
        </w:rPr>
        <w:t>:</w:t>
      </w:r>
      <w:r w:rsidR="00E93B06" w:rsidRPr="00857CDA">
        <w:rPr>
          <w:lang w:val="ro-RO"/>
        </w:rPr>
        <w:t xml:space="preserve"> </w:t>
      </w:r>
    </w:p>
    <w:p w:rsidR="00E93B06" w:rsidRPr="00857CDA" w:rsidRDefault="00CD52C1" w:rsidP="00E93B06">
      <w:pPr>
        <w:pStyle w:val="SingleTxtG"/>
        <w:rPr>
          <w:lang w:val="ro-RO"/>
        </w:rPr>
      </w:pPr>
      <w:r w:rsidRPr="00857CDA">
        <w:rPr>
          <w:lang w:val="ro-RO"/>
        </w:rPr>
        <w:t>„</w:t>
      </w:r>
      <w:r w:rsidR="00D612C3" w:rsidRPr="00857CDA">
        <w:rPr>
          <w:lang w:val="ro-RO"/>
        </w:rPr>
        <w:t xml:space="preserve">Pilele </w:t>
      </w:r>
      <w:r w:rsidR="004C27AD" w:rsidRPr="00857CDA">
        <w:rPr>
          <w:lang w:val="ro-RO"/>
        </w:rPr>
        <w:t xml:space="preserve">și </w:t>
      </w:r>
      <w:r w:rsidR="00E93B06" w:rsidRPr="00857CDA">
        <w:rPr>
          <w:lang w:val="ro-RO"/>
        </w:rPr>
        <w:t>bateri</w:t>
      </w:r>
      <w:r w:rsidR="00D612C3" w:rsidRPr="00857CDA">
        <w:rPr>
          <w:lang w:val="ro-RO"/>
        </w:rPr>
        <w:t>ile trebuie să fie ambalate în</w:t>
      </w:r>
      <w:r w:rsidR="00E93B06" w:rsidRPr="00857CDA">
        <w:rPr>
          <w:lang w:val="ro-RO"/>
        </w:rPr>
        <w:t xml:space="preserve"> conform</w:t>
      </w:r>
      <w:r w:rsidR="00D612C3" w:rsidRPr="00857CDA">
        <w:rPr>
          <w:lang w:val="ro-RO"/>
        </w:rPr>
        <w:t>itate cu</w:t>
      </w:r>
      <w:r w:rsidR="00E93B06" w:rsidRPr="00857CDA">
        <w:rPr>
          <w:lang w:val="ro-RO"/>
        </w:rPr>
        <w:t xml:space="preserve"> instruc</w:t>
      </w:r>
      <w:r w:rsidR="00D612C3" w:rsidRPr="00857CDA">
        <w:rPr>
          <w:lang w:val="ro-RO"/>
        </w:rPr>
        <w:t>țiunile</w:t>
      </w:r>
      <w:r w:rsidR="00E93B06" w:rsidRPr="00857CDA">
        <w:rPr>
          <w:lang w:val="ro-RO"/>
        </w:rPr>
        <w:t xml:space="preserve"> </w:t>
      </w:r>
      <w:r w:rsidR="006A1ED1" w:rsidRPr="00857CDA">
        <w:rPr>
          <w:lang w:val="ro-RO"/>
        </w:rPr>
        <w:t>de ambalare</w:t>
      </w:r>
      <w:r w:rsidR="00E93B06" w:rsidRPr="00857CDA">
        <w:rPr>
          <w:lang w:val="ro-RO"/>
        </w:rPr>
        <w:t xml:space="preserve"> P908 d</w:t>
      </w:r>
      <w:r w:rsidR="00D612C3" w:rsidRPr="00857CDA">
        <w:rPr>
          <w:lang w:val="ro-RO"/>
        </w:rPr>
        <w:t>e la</w:t>
      </w:r>
      <w:r w:rsidR="00E93B06" w:rsidRPr="00857CDA">
        <w:rPr>
          <w:lang w:val="ro-RO"/>
        </w:rPr>
        <w:t xml:space="preserve"> 4.1.4.1 </w:t>
      </w:r>
      <w:r w:rsidR="00D612C3" w:rsidRPr="00857CDA">
        <w:rPr>
          <w:lang w:val="ro-RO"/>
        </w:rPr>
        <w:t>sa</w:t>
      </w:r>
      <w:r w:rsidR="00E93B06" w:rsidRPr="00857CDA">
        <w:rPr>
          <w:lang w:val="ro-RO"/>
        </w:rPr>
        <w:t>u LP904 d</w:t>
      </w:r>
      <w:r w:rsidR="00D612C3" w:rsidRPr="00857CDA">
        <w:rPr>
          <w:lang w:val="ro-RO"/>
        </w:rPr>
        <w:t>e la</w:t>
      </w:r>
      <w:r w:rsidR="00E93B06" w:rsidRPr="00857CDA">
        <w:rPr>
          <w:lang w:val="ro-RO"/>
        </w:rPr>
        <w:t xml:space="preserve"> 4.1.4.3, </w:t>
      </w:r>
      <w:r w:rsidR="00D612C3" w:rsidRPr="00857CDA">
        <w:rPr>
          <w:lang w:val="ro-RO"/>
        </w:rPr>
        <w:t>după caz</w:t>
      </w:r>
      <w:r w:rsidR="00E93B06" w:rsidRPr="00857CDA">
        <w:rPr>
          <w:lang w:val="ro-RO"/>
        </w:rPr>
        <w:t>.</w:t>
      </w:r>
    </w:p>
    <w:p w:rsidR="00E93B06" w:rsidRPr="00857CDA" w:rsidRDefault="00D612C3" w:rsidP="00515B7D">
      <w:pPr>
        <w:pStyle w:val="SingleTxtG"/>
        <w:rPr>
          <w:lang w:val="ro-RO"/>
        </w:rPr>
      </w:pPr>
      <w:r w:rsidRPr="00857CDA">
        <w:rPr>
          <w:lang w:val="ro-RO"/>
        </w:rPr>
        <w:t xml:space="preserve">Pilele </w:t>
      </w:r>
      <w:r w:rsidR="004C27AD" w:rsidRPr="00857CDA">
        <w:rPr>
          <w:lang w:val="ro-RO"/>
        </w:rPr>
        <w:t xml:space="preserve">și </w:t>
      </w:r>
      <w:r w:rsidR="005B68A6" w:rsidRPr="00857CDA">
        <w:rPr>
          <w:lang w:val="ro-RO"/>
        </w:rPr>
        <w:t>bateri</w:t>
      </w:r>
      <w:r w:rsidRPr="00857CDA">
        <w:rPr>
          <w:lang w:val="ro-RO"/>
        </w:rPr>
        <w:t>ile</w:t>
      </w:r>
      <w:r w:rsidR="005B68A6" w:rsidRPr="00857CDA">
        <w:rPr>
          <w:lang w:val="ro-RO"/>
        </w:rPr>
        <w:t xml:space="preserve"> </w:t>
      </w:r>
      <w:r w:rsidR="005B68A6" w:rsidRPr="00857CDA">
        <w:rPr>
          <w:szCs w:val="22"/>
          <w:lang w:val="ro-RO"/>
        </w:rPr>
        <w:t>identifi</w:t>
      </w:r>
      <w:r w:rsidRPr="00857CDA">
        <w:rPr>
          <w:szCs w:val="22"/>
          <w:lang w:val="ro-RO"/>
        </w:rPr>
        <w:t>cate</w:t>
      </w:r>
      <w:r w:rsidR="005B68A6" w:rsidRPr="00857CDA">
        <w:rPr>
          <w:szCs w:val="22"/>
          <w:lang w:val="ro-RO"/>
        </w:rPr>
        <w:t xml:space="preserve"> c</w:t>
      </w:r>
      <w:r w:rsidRPr="00857CDA">
        <w:rPr>
          <w:szCs w:val="22"/>
          <w:lang w:val="ro-RO"/>
        </w:rPr>
        <w:t>a</w:t>
      </w:r>
      <w:r w:rsidR="005B68A6" w:rsidRPr="00857CDA">
        <w:rPr>
          <w:szCs w:val="22"/>
          <w:lang w:val="ro-RO"/>
        </w:rPr>
        <w:t xml:space="preserve"> </w:t>
      </w:r>
      <w:r w:rsidRPr="00857CDA">
        <w:rPr>
          <w:szCs w:val="22"/>
          <w:lang w:val="ro-RO"/>
        </w:rPr>
        <w:t>deteriorate sa</w:t>
      </w:r>
      <w:r w:rsidR="005B68A6" w:rsidRPr="00857CDA">
        <w:rPr>
          <w:szCs w:val="22"/>
          <w:lang w:val="ro-RO"/>
        </w:rPr>
        <w:t>u d</w:t>
      </w:r>
      <w:r w:rsidRPr="00857CDA">
        <w:rPr>
          <w:szCs w:val="22"/>
          <w:lang w:val="ro-RO"/>
        </w:rPr>
        <w:t>e</w:t>
      </w:r>
      <w:r w:rsidR="005B68A6" w:rsidRPr="00857CDA">
        <w:rPr>
          <w:szCs w:val="22"/>
          <w:lang w:val="ro-RO"/>
        </w:rPr>
        <w:t>fecte</w:t>
      </w:r>
      <w:r w:rsidR="004C27AD" w:rsidRPr="00857CDA">
        <w:rPr>
          <w:lang w:val="ro-RO"/>
        </w:rPr>
        <w:t xml:space="preserve"> și </w:t>
      </w:r>
      <w:r w:rsidR="005B68A6" w:rsidRPr="00857CDA">
        <w:rPr>
          <w:lang w:val="ro-RO"/>
        </w:rPr>
        <w:t>susceptib</w:t>
      </w:r>
      <w:r w:rsidRPr="00857CDA">
        <w:rPr>
          <w:lang w:val="ro-RO"/>
        </w:rPr>
        <w:t>i</w:t>
      </w:r>
      <w:r w:rsidR="005B68A6" w:rsidRPr="00857CDA">
        <w:rPr>
          <w:lang w:val="ro-RO"/>
        </w:rPr>
        <w:t xml:space="preserve">le </w:t>
      </w:r>
      <w:r w:rsidRPr="00857CDA">
        <w:rPr>
          <w:lang w:val="ro-RO"/>
        </w:rPr>
        <w:t>să</w:t>
      </w:r>
      <w:r w:rsidR="005B68A6" w:rsidRPr="00857CDA">
        <w:rPr>
          <w:lang w:val="ro-RO"/>
        </w:rPr>
        <w:t xml:space="preserve"> se d</w:t>
      </w:r>
      <w:r w:rsidRPr="00857CDA">
        <w:rPr>
          <w:lang w:val="ro-RO"/>
        </w:rPr>
        <w:t>e</w:t>
      </w:r>
      <w:r w:rsidR="00515B7D" w:rsidRPr="00857CDA">
        <w:rPr>
          <w:lang w:val="ro-RO"/>
        </w:rPr>
        <w:t>zasambleze</w:t>
      </w:r>
      <w:r w:rsidR="005B68A6" w:rsidRPr="00857CDA">
        <w:rPr>
          <w:lang w:val="ro-RO"/>
        </w:rPr>
        <w:t xml:space="preserve"> rapid, </w:t>
      </w:r>
      <w:r w:rsidRPr="00857CDA">
        <w:rPr>
          <w:lang w:val="ro-RO"/>
        </w:rPr>
        <w:t>să</w:t>
      </w:r>
      <w:r w:rsidR="005B68A6" w:rsidRPr="00857CDA">
        <w:rPr>
          <w:lang w:val="ro-RO"/>
        </w:rPr>
        <w:t xml:space="preserve"> r</w:t>
      </w:r>
      <w:r w:rsidRPr="00857CDA">
        <w:rPr>
          <w:lang w:val="ro-RO"/>
        </w:rPr>
        <w:t>e</w:t>
      </w:r>
      <w:r w:rsidR="005B68A6" w:rsidRPr="00857CDA">
        <w:rPr>
          <w:lang w:val="ro-RO"/>
        </w:rPr>
        <w:t>a</w:t>
      </w:r>
      <w:r w:rsidRPr="00857CDA">
        <w:rPr>
          <w:lang w:val="ro-RO"/>
        </w:rPr>
        <w:t>cționeze</w:t>
      </w:r>
      <w:r w:rsidR="005B68A6" w:rsidRPr="00857CDA">
        <w:rPr>
          <w:lang w:val="ro-RO"/>
        </w:rPr>
        <w:t xml:space="preserve"> </w:t>
      </w:r>
      <w:r w:rsidR="002B679C" w:rsidRPr="00857CDA">
        <w:rPr>
          <w:lang w:val="ro-RO"/>
        </w:rPr>
        <w:t>peric</w:t>
      </w:r>
      <w:r w:rsidRPr="00857CDA">
        <w:rPr>
          <w:lang w:val="ro-RO"/>
        </w:rPr>
        <w:t>u</w:t>
      </w:r>
      <w:r w:rsidR="002B679C" w:rsidRPr="00857CDA">
        <w:rPr>
          <w:lang w:val="ro-RO"/>
        </w:rPr>
        <w:t>l</w:t>
      </w:r>
      <w:r w:rsidRPr="00857CDA">
        <w:rPr>
          <w:lang w:val="ro-RO"/>
        </w:rPr>
        <w:t>os</w:t>
      </w:r>
      <w:r w:rsidR="005B68A6" w:rsidRPr="00857CDA">
        <w:rPr>
          <w:lang w:val="ro-RO"/>
        </w:rPr>
        <w:t xml:space="preserve">, </w:t>
      </w:r>
      <w:r w:rsidRPr="00857CDA">
        <w:rPr>
          <w:lang w:val="ro-RO"/>
        </w:rPr>
        <w:t>să</w:t>
      </w:r>
      <w:r w:rsidR="005B68A6" w:rsidRPr="00857CDA">
        <w:rPr>
          <w:lang w:val="ro-RO"/>
        </w:rPr>
        <w:t xml:space="preserve"> produ</w:t>
      </w:r>
      <w:r w:rsidRPr="00857CDA">
        <w:rPr>
          <w:lang w:val="ro-RO"/>
        </w:rPr>
        <w:t>că flamă</w:t>
      </w:r>
      <w:r w:rsidR="005B68A6" w:rsidRPr="00857CDA">
        <w:rPr>
          <w:lang w:val="ro-RO"/>
        </w:rPr>
        <w:t xml:space="preserve"> </w:t>
      </w:r>
      <w:r w:rsidR="00515B7D" w:rsidRPr="00857CDA">
        <w:rPr>
          <w:lang w:val="ro-RO"/>
        </w:rPr>
        <w:t>sau o degajare periculoasă de căldură</w:t>
      </w:r>
      <w:r w:rsidRPr="00857CDA">
        <w:rPr>
          <w:lang w:val="ro-RO"/>
        </w:rPr>
        <w:t xml:space="preserve"> sa</w:t>
      </w:r>
      <w:r w:rsidR="005B68A6" w:rsidRPr="00857CDA">
        <w:rPr>
          <w:lang w:val="ro-RO"/>
        </w:rPr>
        <w:t xml:space="preserve">u </w:t>
      </w:r>
      <w:r w:rsidRPr="00857CDA">
        <w:rPr>
          <w:lang w:val="ro-RO"/>
        </w:rPr>
        <w:t>o</w:t>
      </w:r>
      <w:r w:rsidR="005B68A6" w:rsidRPr="00857CDA">
        <w:rPr>
          <w:lang w:val="ro-RO"/>
        </w:rPr>
        <w:t xml:space="preserve"> </w:t>
      </w:r>
      <w:r w:rsidRPr="00857CDA">
        <w:rPr>
          <w:lang w:val="ro-RO"/>
        </w:rPr>
        <w:t>e</w:t>
      </w:r>
      <w:r w:rsidR="005B68A6" w:rsidRPr="00857CDA">
        <w:rPr>
          <w:lang w:val="ro-RO"/>
        </w:rPr>
        <w:t>misi</w:t>
      </w:r>
      <w:r w:rsidRPr="00857CDA">
        <w:rPr>
          <w:lang w:val="ro-RO"/>
        </w:rPr>
        <w:t>e</w:t>
      </w:r>
      <w:r w:rsidR="005B68A6" w:rsidRPr="00857CDA">
        <w:rPr>
          <w:lang w:val="ro-RO"/>
        </w:rPr>
        <w:t xml:space="preserve"> de gaz</w:t>
      </w:r>
      <w:r w:rsidRPr="00857CDA">
        <w:rPr>
          <w:lang w:val="ro-RO"/>
        </w:rPr>
        <w:t>e sa</w:t>
      </w:r>
      <w:r w:rsidR="005B68A6" w:rsidRPr="00857CDA">
        <w:rPr>
          <w:lang w:val="ro-RO"/>
        </w:rPr>
        <w:t>u de vap</w:t>
      </w:r>
      <w:r w:rsidRPr="00857CDA">
        <w:rPr>
          <w:lang w:val="ro-RO"/>
        </w:rPr>
        <w:t>o</w:t>
      </w:r>
      <w:r w:rsidR="005B68A6" w:rsidRPr="00857CDA">
        <w:rPr>
          <w:lang w:val="ro-RO"/>
        </w:rPr>
        <w:t>r</w:t>
      </w:r>
      <w:r w:rsidRPr="00857CDA">
        <w:rPr>
          <w:lang w:val="ro-RO"/>
        </w:rPr>
        <w:t>i</w:t>
      </w:r>
      <w:r w:rsidR="005B68A6" w:rsidRPr="00857CDA">
        <w:rPr>
          <w:lang w:val="ro-RO"/>
        </w:rPr>
        <w:t xml:space="preserve"> toxi</w:t>
      </w:r>
      <w:r w:rsidRPr="00857CDA">
        <w:rPr>
          <w:lang w:val="ro-RO"/>
        </w:rPr>
        <w:t>ci</w:t>
      </w:r>
      <w:r w:rsidR="005B68A6" w:rsidRPr="00857CDA">
        <w:rPr>
          <w:lang w:val="ro-RO"/>
        </w:rPr>
        <w:t>, corosi</w:t>
      </w:r>
      <w:r w:rsidRPr="00857CDA">
        <w:rPr>
          <w:lang w:val="ro-RO"/>
        </w:rPr>
        <w:t>vi</w:t>
      </w:r>
      <w:r w:rsidR="005B68A6" w:rsidRPr="00857CDA">
        <w:rPr>
          <w:lang w:val="ro-RO"/>
        </w:rPr>
        <w:t xml:space="preserve"> </w:t>
      </w:r>
      <w:r w:rsidRPr="00857CDA">
        <w:rPr>
          <w:lang w:val="ro-RO"/>
        </w:rPr>
        <w:t>sa</w:t>
      </w:r>
      <w:r w:rsidR="005B68A6" w:rsidRPr="00857CDA">
        <w:rPr>
          <w:lang w:val="ro-RO"/>
        </w:rPr>
        <w:t>u inflamab</w:t>
      </w:r>
      <w:r w:rsidRPr="00857CDA">
        <w:rPr>
          <w:lang w:val="ro-RO"/>
        </w:rPr>
        <w:t>i</w:t>
      </w:r>
      <w:r w:rsidR="005B68A6" w:rsidRPr="00857CDA">
        <w:rPr>
          <w:lang w:val="ro-RO"/>
        </w:rPr>
        <w:t>l</w:t>
      </w:r>
      <w:r w:rsidRPr="00857CDA">
        <w:rPr>
          <w:lang w:val="ro-RO"/>
        </w:rPr>
        <w:t>i</w:t>
      </w:r>
      <w:r w:rsidR="005B68A6" w:rsidRPr="00857CDA">
        <w:rPr>
          <w:lang w:val="ro-RO"/>
        </w:rPr>
        <w:t xml:space="preserve">, </w:t>
      </w:r>
      <w:r w:rsidRPr="00857CDA">
        <w:rPr>
          <w:lang w:val="ro-RO"/>
        </w:rPr>
        <w:t>î</w:t>
      </w:r>
      <w:r w:rsidR="00902C44" w:rsidRPr="00857CDA">
        <w:rPr>
          <w:lang w:val="ro-RO"/>
        </w:rPr>
        <w:t xml:space="preserve">n </w:t>
      </w:r>
      <w:r w:rsidR="005B68A6" w:rsidRPr="00857CDA">
        <w:rPr>
          <w:lang w:val="ro-RO"/>
        </w:rPr>
        <w:t>condi</w:t>
      </w:r>
      <w:r w:rsidRPr="00857CDA">
        <w:rPr>
          <w:lang w:val="ro-RO"/>
        </w:rPr>
        <w:t>ții</w:t>
      </w:r>
      <w:r w:rsidR="005B68A6" w:rsidRPr="00857CDA">
        <w:rPr>
          <w:lang w:val="ro-RO"/>
        </w:rPr>
        <w:t xml:space="preserve"> normale de transport </w:t>
      </w:r>
      <w:r w:rsidRPr="00857CDA">
        <w:rPr>
          <w:lang w:val="ro-RO"/>
        </w:rPr>
        <w:t>trebuie să fie ambalate</w:t>
      </w:r>
      <w:r w:rsidR="004C27AD" w:rsidRPr="00857CDA">
        <w:rPr>
          <w:lang w:val="ro-RO"/>
        </w:rPr>
        <w:t xml:space="preserve"> și </w:t>
      </w:r>
      <w:r w:rsidR="005B68A6" w:rsidRPr="00857CDA">
        <w:rPr>
          <w:lang w:val="ro-RO"/>
        </w:rPr>
        <w:t>transport</w:t>
      </w:r>
      <w:r w:rsidRPr="00857CDA">
        <w:rPr>
          <w:lang w:val="ro-RO"/>
        </w:rPr>
        <w:t>ate</w:t>
      </w:r>
      <w:r w:rsidR="005B68A6" w:rsidRPr="00857CDA">
        <w:rPr>
          <w:lang w:val="ro-RO"/>
        </w:rPr>
        <w:t xml:space="preserve"> </w:t>
      </w:r>
      <w:r w:rsidRPr="00857CDA">
        <w:rPr>
          <w:lang w:val="ro-RO"/>
        </w:rPr>
        <w:t xml:space="preserve">în </w:t>
      </w:r>
      <w:r w:rsidR="005B68A6" w:rsidRPr="00857CDA">
        <w:rPr>
          <w:lang w:val="ro-RO"/>
        </w:rPr>
        <w:t>conform</w:t>
      </w:r>
      <w:r w:rsidRPr="00857CDA">
        <w:rPr>
          <w:lang w:val="ro-RO"/>
        </w:rPr>
        <w:t>itate cu</w:t>
      </w:r>
      <w:r w:rsidR="005B68A6" w:rsidRPr="00857CDA">
        <w:rPr>
          <w:lang w:val="ro-RO"/>
        </w:rPr>
        <w:t xml:space="preserve"> instruc</w:t>
      </w:r>
      <w:r w:rsidRPr="00857CDA">
        <w:rPr>
          <w:lang w:val="ro-RO"/>
        </w:rPr>
        <w:t>țiunile</w:t>
      </w:r>
      <w:r w:rsidR="005B68A6" w:rsidRPr="00857CDA">
        <w:rPr>
          <w:lang w:val="ro-RO"/>
        </w:rPr>
        <w:t xml:space="preserve"> </w:t>
      </w:r>
      <w:r w:rsidR="006A1ED1" w:rsidRPr="00857CDA">
        <w:rPr>
          <w:lang w:val="ro-RO"/>
        </w:rPr>
        <w:t>de ambalare</w:t>
      </w:r>
      <w:r w:rsidR="005B68A6" w:rsidRPr="00857CDA">
        <w:rPr>
          <w:lang w:val="ro-RO"/>
        </w:rPr>
        <w:t xml:space="preserve"> P911 d</w:t>
      </w:r>
      <w:r w:rsidRPr="00857CDA">
        <w:rPr>
          <w:lang w:val="ro-RO"/>
        </w:rPr>
        <w:t>e la</w:t>
      </w:r>
      <w:r w:rsidR="005B68A6" w:rsidRPr="00857CDA">
        <w:rPr>
          <w:lang w:val="ro-RO"/>
        </w:rPr>
        <w:t xml:space="preserve"> 4.1.4.1 </w:t>
      </w:r>
      <w:r w:rsidRPr="00857CDA">
        <w:rPr>
          <w:lang w:val="ro-RO"/>
        </w:rPr>
        <w:t>sa</w:t>
      </w:r>
      <w:r w:rsidR="005B68A6" w:rsidRPr="00857CDA">
        <w:rPr>
          <w:lang w:val="ro-RO"/>
        </w:rPr>
        <w:t>u LP906 d</w:t>
      </w:r>
      <w:r w:rsidRPr="00857CDA">
        <w:rPr>
          <w:lang w:val="ro-RO"/>
        </w:rPr>
        <w:t>e la</w:t>
      </w:r>
      <w:r w:rsidR="005B68A6" w:rsidRPr="00857CDA">
        <w:rPr>
          <w:lang w:val="ro-RO"/>
        </w:rPr>
        <w:t xml:space="preserve"> 4.1.4.3, </w:t>
      </w:r>
      <w:r w:rsidRPr="00857CDA">
        <w:rPr>
          <w:lang w:val="ro-RO"/>
        </w:rPr>
        <w:t>după caz</w:t>
      </w:r>
      <w:r w:rsidR="005B68A6" w:rsidRPr="00857CDA">
        <w:rPr>
          <w:lang w:val="ro-RO"/>
        </w:rPr>
        <w:t xml:space="preserve">. </w:t>
      </w:r>
      <w:r w:rsidRPr="00857CDA">
        <w:rPr>
          <w:lang w:val="ro-RO"/>
        </w:rPr>
        <w:t xml:space="preserve">Autoritatea </w:t>
      </w:r>
      <w:r w:rsidR="005B68A6" w:rsidRPr="00857CDA">
        <w:rPr>
          <w:lang w:val="ro-RO"/>
        </w:rPr>
        <w:t>comp</w:t>
      </w:r>
      <w:r w:rsidRPr="00857CDA">
        <w:rPr>
          <w:lang w:val="ro-RO"/>
        </w:rPr>
        <w:t>e</w:t>
      </w:r>
      <w:r w:rsidR="005B68A6" w:rsidRPr="00857CDA">
        <w:rPr>
          <w:lang w:val="ro-RO"/>
        </w:rPr>
        <w:t>tent</w:t>
      </w:r>
      <w:r w:rsidRPr="00857CDA">
        <w:rPr>
          <w:lang w:val="ro-RO"/>
        </w:rPr>
        <w:t>ă</w:t>
      </w:r>
      <w:r w:rsidR="005B68A6" w:rsidRPr="00857CDA">
        <w:rPr>
          <w:lang w:val="ro-RO"/>
        </w:rPr>
        <w:t xml:space="preserve"> </w:t>
      </w:r>
      <w:r w:rsidRPr="00857CDA">
        <w:rPr>
          <w:lang w:val="ro-RO"/>
        </w:rPr>
        <w:t>a or</w:t>
      </w:r>
      <w:r w:rsidR="00C70232" w:rsidRPr="00857CDA">
        <w:rPr>
          <w:lang w:val="ro-RO"/>
        </w:rPr>
        <w:t>i</w:t>
      </w:r>
      <w:r w:rsidRPr="00857CDA">
        <w:rPr>
          <w:lang w:val="ro-RO"/>
        </w:rPr>
        <w:t>cărei</w:t>
      </w:r>
      <w:r w:rsidR="005B68A6" w:rsidRPr="00857CDA">
        <w:rPr>
          <w:lang w:val="ro-RO"/>
        </w:rPr>
        <w:t xml:space="preserve"> P</w:t>
      </w:r>
      <w:r w:rsidRPr="00857CDA">
        <w:rPr>
          <w:lang w:val="ro-RO"/>
        </w:rPr>
        <w:t>ărți</w:t>
      </w:r>
      <w:r w:rsidR="005B68A6" w:rsidRPr="00857CDA">
        <w:rPr>
          <w:lang w:val="ro-RO"/>
        </w:rPr>
        <w:t xml:space="preserve"> contractante l</w:t>
      </w:r>
      <w:r w:rsidRPr="00857CDA">
        <w:rPr>
          <w:lang w:val="ro-RO"/>
        </w:rPr>
        <w:t xml:space="preserve">a </w:t>
      </w:r>
      <w:r w:rsidR="005B68A6" w:rsidRPr="00857CDA">
        <w:rPr>
          <w:lang w:val="ro-RO"/>
        </w:rPr>
        <w:t xml:space="preserve">ADR </w:t>
      </w:r>
      <w:r w:rsidR="00515B7D" w:rsidRPr="00857CDA">
        <w:rPr>
          <w:lang w:val="ro-RO"/>
        </w:rPr>
        <w:t xml:space="preserve">poate recunoaște, de asemenea, </w:t>
      </w:r>
      <w:r w:rsidR="00E55134" w:rsidRPr="00857CDA">
        <w:rPr>
          <w:lang w:val="ro-RO"/>
        </w:rPr>
        <w:t>aprobarea</w:t>
      </w:r>
      <w:r w:rsidR="00515B7D" w:rsidRPr="00857CDA">
        <w:rPr>
          <w:lang w:val="ro-RO"/>
        </w:rPr>
        <w:t xml:space="preserve"> dat</w:t>
      </w:r>
      <w:r w:rsidR="00E55134" w:rsidRPr="00857CDA">
        <w:rPr>
          <w:lang w:val="ro-RO"/>
        </w:rPr>
        <w:t>ă</w:t>
      </w:r>
      <w:r w:rsidR="00515B7D" w:rsidRPr="00857CDA">
        <w:rPr>
          <w:lang w:val="ro-RO"/>
        </w:rPr>
        <w:t xml:space="preserve"> de către autoritatea competentă a unui stat care nu este parte contractantă la ADR, cu condiția ca ace</w:t>
      </w:r>
      <w:r w:rsidR="00F50395" w:rsidRPr="00857CDA">
        <w:rPr>
          <w:lang w:val="ro-RO"/>
        </w:rPr>
        <w:t>a</w:t>
      </w:r>
      <w:r w:rsidR="00515B7D" w:rsidRPr="00857CDA">
        <w:rPr>
          <w:lang w:val="ro-RO"/>
        </w:rPr>
        <w:t>st</w:t>
      </w:r>
      <w:r w:rsidR="00F50395" w:rsidRPr="00857CDA">
        <w:rPr>
          <w:lang w:val="ro-RO"/>
        </w:rPr>
        <w:t>ă</w:t>
      </w:r>
      <w:r w:rsidR="00515B7D" w:rsidRPr="00857CDA">
        <w:rPr>
          <w:lang w:val="ro-RO"/>
        </w:rPr>
        <w:t xml:space="preserve"> a</w:t>
      </w:r>
      <w:r w:rsidR="00F50395" w:rsidRPr="00857CDA">
        <w:rPr>
          <w:lang w:val="ro-RO"/>
        </w:rPr>
        <w:t>probare</w:t>
      </w:r>
      <w:r w:rsidR="00515B7D" w:rsidRPr="00857CDA">
        <w:rPr>
          <w:lang w:val="ro-RO"/>
        </w:rPr>
        <w:t xml:space="preserve"> să fie dat</w:t>
      </w:r>
      <w:r w:rsidR="00F50395" w:rsidRPr="00857CDA">
        <w:rPr>
          <w:lang w:val="ro-RO"/>
        </w:rPr>
        <w:t>ă</w:t>
      </w:r>
      <w:r w:rsidR="00515B7D" w:rsidRPr="00857CDA">
        <w:rPr>
          <w:lang w:val="ro-RO"/>
        </w:rPr>
        <w:t xml:space="preserve"> în conformitate cu procedurile aplicabile conforme cu RID, ADR, ADN, Codul IMDG sau Instrucțiunile Tehnice OACI. În aceste două cazuri, pilele și bateriile sunt alocate la categoria de transport 0</w:t>
      </w:r>
      <w:r w:rsidR="005B68A6" w:rsidRPr="00857CDA">
        <w:rPr>
          <w:lang w:val="ro-RO"/>
        </w:rPr>
        <w:t>.</w:t>
      </w:r>
    </w:p>
    <w:p w:rsidR="00E93B06" w:rsidRPr="00857CDA" w:rsidRDefault="00E55134" w:rsidP="00E55134">
      <w:pPr>
        <w:pStyle w:val="SingleTxtG"/>
        <w:rPr>
          <w:lang w:val="ro-RO"/>
        </w:rPr>
      </w:pPr>
      <w:r w:rsidRPr="00857CDA">
        <w:rPr>
          <w:lang w:val="ro-RO"/>
        </w:rPr>
        <w:t>Coletele trebuie să fie marcate „BATERII CU LITIU ION DETERIORATE/DEFECTE” sau „BATERII CU LITIU METAL DETERIORATE/DEFECTE”, după caz</w:t>
      </w:r>
      <w:r w:rsidR="00516F19" w:rsidRPr="00857CDA">
        <w:rPr>
          <w:lang w:val="ro-RO"/>
        </w:rPr>
        <w:t>.</w:t>
      </w:r>
    </w:p>
    <w:p w:rsidR="00E93B06" w:rsidRPr="00857CDA" w:rsidRDefault="00E55134" w:rsidP="00E93B06">
      <w:pPr>
        <w:pStyle w:val="SingleTxtG"/>
        <w:rPr>
          <w:szCs w:val="22"/>
          <w:lang w:val="ro-RO"/>
        </w:rPr>
      </w:pPr>
      <w:r w:rsidRPr="00857CDA">
        <w:rPr>
          <w:szCs w:val="22"/>
          <w:lang w:val="ro-RO"/>
        </w:rPr>
        <w:t>Documentul de transport trebuie să conţină menţiunea următoare: „Transport în conformitate cu dispoziţia specială 373</w:t>
      </w:r>
      <w:r w:rsidR="00660131" w:rsidRPr="00857CDA">
        <w:rPr>
          <w:szCs w:val="22"/>
          <w:lang w:val="ro-RO"/>
        </w:rPr>
        <w:t>”</w:t>
      </w:r>
      <w:r w:rsidR="00E93B06" w:rsidRPr="00857CDA">
        <w:rPr>
          <w:szCs w:val="22"/>
          <w:lang w:val="ro-RO"/>
        </w:rPr>
        <w:t>.</w:t>
      </w:r>
    </w:p>
    <w:p w:rsidR="00E93B06" w:rsidRPr="00857CDA" w:rsidRDefault="00E55134" w:rsidP="00E93B06">
      <w:pPr>
        <w:pStyle w:val="SingleTxtG"/>
        <w:rPr>
          <w:szCs w:val="22"/>
          <w:lang w:val="ro-RO"/>
        </w:rPr>
      </w:pPr>
      <w:r w:rsidRPr="00857CDA">
        <w:rPr>
          <w:szCs w:val="22"/>
          <w:lang w:val="ro-RO"/>
        </w:rPr>
        <w:t>După caz, transportul trebuie să fie însoțit de o copie a a</w:t>
      </w:r>
      <w:r w:rsidR="00F50395" w:rsidRPr="00857CDA">
        <w:rPr>
          <w:szCs w:val="22"/>
          <w:lang w:val="ro-RO"/>
        </w:rPr>
        <w:t>probării</w:t>
      </w:r>
      <w:r w:rsidRPr="00857CDA">
        <w:rPr>
          <w:szCs w:val="22"/>
          <w:lang w:val="ro-RO"/>
        </w:rPr>
        <w:t xml:space="preserve"> autorității competente.</w:t>
      </w:r>
      <w:r w:rsidR="00660131" w:rsidRPr="00857CDA">
        <w:rPr>
          <w:lang w:val="ro-RO"/>
        </w:rPr>
        <w:t>”</w:t>
      </w:r>
      <w:r w:rsidR="00E93B06" w:rsidRPr="00857CDA">
        <w:rPr>
          <w:szCs w:val="22"/>
          <w:lang w:val="ro-RO"/>
        </w:rPr>
        <w:t>.</w:t>
      </w:r>
    </w:p>
    <w:p w:rsidR="00464701" w:rsidRPr="00857CDA" w:rsidRDefault="0043120D" w:rsidP="00AF7202">
      <w:pPr>
        <w:pStyle w:val="SingleTxtG"/>
        <w:rPr>
          <w:lang w:val="ro-RO"/>
        </w:rPr>
      </w:pPr>
      <w:r w:rsidRPr="00857CDA">
        <w:rPr>
          <w:lang w:val="ro-RO"/>
        </w:rPr>
        <w:t>Dispoziția specială</w:t>
      </w:r>
      <w:r w:rsidR="00464701" w:rsidRPr="00857CDA">
        <w:rPr>
          <w:lang w:val="ro-RO"/>
        </w:rPr>
        <w:t xml:space="preserve"> 377</w:t>
      </w:r>
      <w:r w:rsidR="00464701" w:rsidRPr="00857CDA">
        <w:rPr>
          <w:lang w:val="ro-RO"/>
        </w:rPr>
        <w:tab/>
      </w:r>
      <w:r w:rsidR="00902C44" w:rsidRPr="00857CDA">
        <w:rPr>
          <w:lang w:val="ro-RO"/>
        </w:rPr>
        <w:t xml:space="preserve">În </w:t>
      </w:r>
      <w:r w:rsidR="00F50395" w:rsidRPr="00857CDA">
        <w:rPr>
          <w:lang w:val="ro-RO"/>
        </w:rPr>
        <w:t>al doilea</w:t>
      </w:r>
      <w:r w:rsidR="00464701" w:rsidRPr="00857CDA">
        <w:rPr>
          <w:lang w:val="ro-RO"/>
        </w:rPr>
        <w:t xml:space="preserve"> </w:t>
      </w:r>
      <w:r w:rsidR="00970E20" w:rsidRPr="00857CDA">
        <w:rPr>
          <w:lang w:val="ro-RO"/>
        </w:rPr>
        <w:t>paragraf</w:t>
      </w:r>
      <w:r w:rsidR="00464701" w:rsidRPr="00857CDA">
        <w:rPr>
          <w:lang w:val="ro-RO"/>
        </w:rPr>
        <w:t xml:space="preserve">, </w:t>
      </w:r>
      <w:r w:rsidR="00F50395" w:rsidRPr="00857CDA">
        <w:rPr>
          <w:lang w:val="ro-RO"/>
        </w:rPr>
        <w:t>s</w:t>
      </w:r>
      <w:r w:rsidR="00902C44" w:rsidRPr="00857CDA">
        <w:rPr>
          <w:lang w:val="ro-RO"/>
        </w:rPr>
        <w:t>e modifică</w:t>
      </w:r>
      <w:r w:rsidR="00464701" w:rsidRPr="00857CDA">
        <w:rPr>
          <w:lang w:val="ro-RO"/>
        </w:rPr>
        <w:t xml:space="preserve"> </w:t>
      </w:r>
      <w:r w:rsidR="00CD52C1" w:rsidRPr="00857CDA">
        <w:rPr>
          <w:lang w:val="ro-RO"/>
        </w:rPr>
        <w:t>„</w:t>
      </w:r>
      <w:r w:rsidR="00B63CE8" w:rsidRPr="00857CDA">
        <w:rPr>
          <w:lang w:val="ro-RO"/>
        </w:rPr>
        <w:t>prescripţiilor de la 2.2.9.1.7 de la</w:t>
      </w:r>
      <w:r w:rsidR="00464701" w:rsidRPr="00857CDA">
        <w:rPr>
          <w:lang w:val="ro-RO"/>
        </w:rPr>
        <w:t xml:space="preserve"> a) </w:t>
      </w:r>
      <w:r w:rsidR="00B63CE8" w:rsidRPr="00857CDA">
        <w:rPr>
          <w:lang w:val="ro-RO"/>
        </w:rPr>
        <w:t>la</w:t>
      </w:r>
      <w:r w:rsidR="00464701" w:rsidRPr="00857CDA">
        <w:rPr>
          <w:lang w:val="ro-RO"/>
        </w:rPr>
        <w:t xml:space="preserve"> e)</w:t>
      </w:r>
      <w:r w:rsidR="00660131" w:rsidRPr="00857CDA">
        <w:rPr>
          <w:lang w:val="ro-RO"/>
        </w:rPr>
        <w:t>”</w:t>
      </w:r>
      <w:r w:rsidR="00902C44" w:rsidRPr="00857CDA">
        <w:rPr>
          <w:lang w:val="ro-RO"/>
        </w:rPr>
        <w:t xml:space="preserve"> cu </w:t>
      </w:r>
      <w:r w:rsidR="00CD52C1" w:rsidRPr="00857CDA">
        <w:rPr>
          <w:lang w:val="ro-RO"/>
        </w:rPr>
        <w:t>„</w:t>
      </w:r>
      <w:r w:rsidR="00464701" w:rsidRPr="00857CDA">
        <w:rPr>
          <w:lang w:val="ro-RO"/>
        </w:rPr>
        <w:t>dispo</w:t>
      </w:r>
      <w:r w:rsidR="00B63CE8" w:rsidRPr="00857CDA">
        <w:rPr>
          <w:lang w:val="ro-RO"/>
        </w:rPr>
        <w:t>zițiilor</w:t>
      </w:r>
      <w:r w:rsidR="00464701" w:rsidRPr="00857CDA">
        <w:rPr>
          <w:lang w:val="ro-RO"/>
        </w:rPr>
        <w:t xml:space="preserve"> de</w:t>
      </w:r>
      <w:r w:rsidR="00B63CE8" w:rsidRPr="00857CDA">
        <w:rPr>
          <w:lang w:val="ro-RO"/>
        </w:rPr>
        <w:t xml:space="preserve"> la</w:t>
      </w:r>
      <w:r w:rsidR="00464701" w:rsidRPr="00857CDA">
        <w:rPr>
          <w:lang w:val="ro-RO"/>
        </w:rPr>
        <w:t xml:space="preserve"> 2.2.9.1.7 </w:t>
      </w:r>
      <w:r w:rsidR="00B63CE8" w:rsidRPr="00857CDA">
        <w:rPr>
          <w:lang w:val="ro-RO"/>
        </w:rPr>
        <w:t xml:space="preserve">de la </w:t>
      </w:r>
      <w:r w:rsidR="00464701" w:rsidRPr="00857CDA">
        <w:rPr>
          <w:lang w:val="ro-RO"/>
        </w:rPr>
        <w:t xml:space="preserve">a) </w:t>
      </w:r>
      <w:r w:rsidR="00B63CE8" w:rsidRPr="00857CDA">
        <w:rPr>
          <w:lang w:val="ro-RO"/>
        </w:rPr>
        <w:t>la</w:t>
      </w:r>
      <w:r w:rsidR="00464701" w:rsidRPr="00857CDA">
        <w:rPr>
          <w:lang w:val="ro-RO"/>
        </w:rPr>
        <w:t xml:space="preserve"> g)</w:t>
      </w:r>
      <w:r w:rsidR="00660131" w:rsidRPr="00857CDA">
        <w:rPr>
          <w:lang w:val="ro-RO"/>
        </w:rPr>
        <w:t>”</w:t>
      </w:r>
      <w:r w:rsidR="00464701" w:rsidRPr="00857CDA">
        <w:rPr>
          <w:lang w:val="ro-RO"/>
        </w:rPr>
        <w:t>.</w:t>
      </w:r>
    </w:p>
    <w:p w:rsidR="00AF7202" w:rsidRPr="00857CDA" w:rsidRDefault="00902C44" w:rsidP="00AF7202">
      <w:pPr>
        <w:pStyle w:val="SingleTxtG"/>
        <w:rPr>
          <w:lang w:val="ro-RO"/>
        </w:rPr>
      </w:pPr>
      <w:r w:rsidRPr="00857CDA">
        <w:rPr>
          <w:lang w:val="ro-RO"/>
        </w:rPr>
        <w:t>Se șterge</w:t>
      </w:r>
      <w:r w:rsidR="00AF7202" w:rsidRPr="00857CDA">
        <w:rPr>
          <w:lang w:val="ro-RO"/>
        </w:rPr>
        <w:t xml:space="preserve"> </w:t>
      </w:r>
      <w:r w:rsidR="00464701" w:rsidRPr="00857CDA">
        <w:rPr>
          <w:lang w:val="ro-RO"/>
        </w:rPr>
        <w:t xml:space="preserve">la </w:t>
      </w:r>
      <w:r w:rsidR="0043120D" w:rsidRPr="00857CDA">
        <w:rPr>
          <w:lang w:val="ro-RO"/>
        </w:rPr>
        <w:t>Dispoziția specială</w:t>
      </w:r>
      <w:r w:rsidR="00AF7202" w:rsidRPr="00857CDA">
        <w:rPr>
          <w:lang w:val="ro-RO"/>
        </w:rPr>
        <w:t xml:space="preserve"> 385</w:t>
      </w:r>
      <w:r w:rsidR="004C27AD" w:rsidRPr="00857CDA">
        <w:rPr>
          <w:lang w:val="ro-RO"/>
        </w:rPr>
        <w:t xml:space="preserve"> și </w:t>
      </w:r>
      <w:r w:rsidRPr="00857CDA">
        <w:rPr>
          <w:lang w:val="ro-RO"/>
        </w:rPr>
        <w:t>se adaugă</w:t>
      </w:r>
      <w:r w:rsidR="00091658" w:rsidRPr="00857CDA">
        <w:rPr>
          <w:lang w:val="ro-RO"/>
        </w:rPr>
        <w:t>:</w:t>
      </w:r>
    </w:p>
    <w:p w:rsidR="00AF7202" w:rsidRPr="00857CDA" w:rsidRDefault="00CD52C1" w:rsidP="00AF7202">
      <w:pPr>
        <w:pStyle w:val="SingleTxtG"/>
        <w:rPr>
          <w:lang w:val="ro-RO"/>
        </w:rPr>
      </w:pPr>
      <w:r w:rsidRPr="00857CDA">
        <w:rPr>
          <w:lang w:val="ro-RO"/>
        </w:rPr>
        <w:t>„</w:t>
      </w:r>
      <w:r w:rsidR="00AF7202" w:rsidRPr="00857CDA">
        <w:rPr>
          <w:lang w:val="ro-RO"/>
        </w:rPr>
        <w:t>385</w:t>
      </w:r>
      <w:r w:rsidR="00AF7202" w:rsidRPr="00857CDA">
        <w:rPr>
          <w:lang w:val="ro-RO"/>
        </w:rPr>
        <w:tab/>
      </w:r>
      <w:r w:rsidR="00AF7202" w:rsidRPr="00857CDA">
        <w:rPr>
          <w:i/>
          <w:lang w:val="ro-RO"/>
        </w:rPr>
        <w:t>(</w:t>
      </w:r>
      <w:r w:rsidR="004C27AD" w:rsidRPr="00857CDA">
        <w:rPr>
          <w:i/>
          <w:lang w:val="ro-RO"/>
        </w:rPr>
        <w:t>Șters</w:t>
      </w:r>
      <w:r w:rsidR="00AF7202" w:rsidRPr="00857CDA">
        <w:rPr>
          <w:i/>
          <w:lang w:val="ro-RO"/>
        </w:rPr>
        <w:t>)</w:t>
      </w:r>
      <w:r w:rsidR="00660131" w:rsidRPr="00857CDA">
        <w:rPr>
          <w:lang w:val="ro-RO"/>
        </w:rPr>
        <w:t>”</w:t>
      </w:r>
      <w:r w:rsidR="00AF7202" w:rsidRPr="00857CDA">
        <w:rPr>
          <w:lang w:val="ro-RO"/>
        </w:rPr>
        <w:t>.</w:t>
      </w:r>
    </w:p>
    <w:p w:rsidR="00464701" w:rsidRPr="00857CDA" w:rsidRDefault="0043120D" w:rsidP="00F477B6">
      <w:pPr>
        <w:pStyle w:val="SingleTxtG"/>
        <w:rPr>
          <w:lang w:val="ro-RO"/>
        </w:rPr>
      </w:pPr>
      <w:r w:rsidRPr="00857CDA">
        <w:rPr>
          <w:lang w:val="ro-RO"/>
        </w:rPr>
        <w:t>Dispoziția specială</w:t>
      </w:r>
      <w:r w:rsidR="008D7987" w:rsidRPr="00857CDA">
        <w:rPr>
          <w:lang w:val="ro-RO"/>
        </w:rPr>
        <w:t xml:space="preserve"> 386 </w:t>
      </w:r>
      <w:r w:rsidR="008D7987" w:rsidRPr="00857CDA">
        <w:rPr>
          <w:lang w:val="ro-RO"/>
        </w:rPr>
        <w:tab/>
      </w:r>
      <w:r w:rsidR="00902C44" w:rsidRPr="00857CDA">
        <w:rPr>
          <w:lang w:val="ro-RO"/>
        </w:rPr>
        <w:t xml:space="preserve">În </w:t>
      </w:r>
      <w:r w:rsidR="003634AA" w:rsidRPr="00857CDA">
        <w:rPr>
          <w:lang w:val="ro-RO"/>
        </w:rPr>
        <w:t>prima frază</w:t>
      </w:r>
      <w:r w:rsidR="008D7987" w:rsidRPr="00857CDA">
        <w:rPr>
          <w:lang w:val="ro-RO"/>
        </w:rPr>
        <w:t xml:space="preserve">, </w:t>
      </w:r>
      <w:r w:rsidR="00991390" w:rsidRPr="00857CDA">
        <w:rPr>
          <w:lang w:val="ro-RO"/>
        </w:rPr>
        <w:t>după</w:t>
      </w:r>
      <w:r w:rsidR="00464701" w:rsidRPr="00857CDA">
        <w:rPr>
          <w:lang w:val="ro-RO"/>
        </w:rPr>
        <w:t xml:space="preserve"> </w:t>
      </w:r>
      <w:r w:rsidR="00CD52C1" w:rsidRPr="00857CDA">
        <w:rPr>
          <w:lang w:val="ro-RO"/>
        </w:rPr>
        <w:t>„</w:t>
      </w:r>
      <w:r w:rsidR="00464701" w:rsidRPr="00857CDA">
        <w:rPr>
          <w:lang w:val="ro-RO"/>
        </w:rPr>
        <w:t>2.2.41.1.17,</w:t>
      </w:r>
      <w:r w:rsidR="00660131" w:rsidRPr="00857CDA">
        <w:rPr>
          <w:lang w:val="ro-RO"/>
        </w:rPr>
        <w:t>”</w:t>
      </w:r>
      <w:r w:rsidR="00464701" w:rsidRPr="00857CDA">
        <w:rPr>
          <w:lang w:val="ro-RO"/>
        </w:rPr>
        <w:t xml:space="preserve"> </w:t>
      </w:r>
      <w:r w:rsidR="00902C44" w:rsidRPr="00857CDA">
        <w:rPr>
          <w:lang w:val="ro-RO"/>
        </w:rPr>
        <w:t>se adaugă</w:t>
      </w:r>
      <w:r w:rsidR="00464701" w:rsidRPr="00857CDA">
        <w:rPr>
          <w:lang w:val="ro-RO"/>
        </w:rPr>
        <w:t xml:space="preserve"> </w:t>
      </w:r>
      <w:r w:rsidR="00CD52C1" w:rsidRPr="00857CDA">
        <w:rPr>
          <w:lang w:val="ro-RO"/>
        </w:rPr>
        <w:t>„</w:t>
      </w:r>
      <w:r w:rsidR="00464701" w:rsidRPr="00857CDA">
        <w:rPr>
          <w:lang w:val="ro-RO"/>
        </w:rPr>
        <w:t>7.1.7,</w:t>
      </w:r>
      <w:r w:rsidR="00660131" w:rsidRPr="00857CDA">
        <w:rPr>
          <w:lang w:val="ro-RO"/>
        </w:rPr>
        <w:t>”</w:t>
      </w:r>
      <w:r w:rsidR="00464701" w:rsidRPr="00857CDA">
        <w:rPr>
          <w:lang w:val="ro-RO"/>
        </w:rPr>
        <w:t>.</w:t>
      </w:r>
    </w:p>
    <w:p w:rsidR="00C00456" w:rsidRPr="00857CDA" w:rsidRDefault="0043120D" w:rsidP="00C00456">
      <w:pPr>
        <w:pStyle w:val="SingleTxtG"/>
        <w:rPr>
          <w:rFonts w:eastAsia="MS Mincho"/>
          <w:lang w:val="ro-RO" w:eastAsia="nl-NL"/>
        </w:rPr>
      </w:pPr>
      <w:r w:rsidRPr="00857CDA">
        <w:rPr>
          <w:rFonts w:eastAsia="MS Mincho"/>
          <w:lang w:val="ro-RO" w:eastAsia="nl-NL"/>
        </w:rPr>
        <w:t>Dispoziția specială</w:t>
      </w:r>
      <w:r w:rsidR="00B84A16" w:rsidRPr="00857CDA">
        <w:rPr>
          <w:rFonts w:eastAsia="MS Mincho"/>
          <w:lang w:val="ro-RO" w:eastAsia="nl-NL"/>
        </w:rPr>
        <w:t xml:space="preserve"> 636 </w:t>
      </w:r>
      <w:r w:rsidR="00B84A16" w:rsidRPr="00857CDA">
        <w:rPr>
          <w:rFonts w:eastAsia="MS Mincho"/>
          <w:lang w:val="ro-RO" w:eastAsia="nl-NL"/>
        </w:rPr>
        <w:tab/>
      </w:r>
      <w:r w:rsidR="002B679C" w:rsidRPr="00857CDA">
        <w:rPr>
          <w:rFonts w:eastAsia="MS Mincho"/>
          <w:lang w:val="ro-RO" w:eastAsia="nl-NL"/>
        </w:rPr>
        <w:t>Se modifică, după cum urmează</w:t>
      </w:r>
      <w:r w:rsidR="00091658" w:rsidRPr="00857CDA">
        <w:rPr>
          <w:rFonts w:eastAsia="MS Mincho"/>
          <w:lang w:val="ro-RO" w:eastAsia="nl-NL"/>
        </w:rPr>
        <w:t>:</w:t>
      </w:r>
    </w:p>
    <w:p w:rsidR="00B10FCF" w:rsidRPr="00857CDA" w:rsidRDefault="00CD52C1" w:rsidP="00B10FCF">
      <w:pPr>
        <w:pStyle w:val="SingleTxtG"/>
        <w:rPr>
          <w:lang w:val="ro-RO"/>
        </w:rPr>
      </w:pPr>
      <w:r w:rsidRPr="00857CDA">
        <w:rPr>
          <w:lang w:val="ro-RO"/>
        </w:rPr>
        <w:t>„</w:t>
      </w:r>
      <w:r w:rsidR="00C00456" w:rsidRPr="00857CDA">
        <w:rPr>
          <w:rFonts w:eastAsia="MS Mincho"/>
          <w:lang w:val="ro-RO" w:eastAsia="nl-NL"/>
        </w:rPr>
        <w:t>636</w:t>
      </w:r>
      <w:r w:rsidR="00C00456" w:rsidRPr="00857CDA">
        <w:rPr>
          <w:rFonts w:eastAsia="MS Mincho"/>
          <w:lang w:val="ro-RO" w:eastAsia="nl-NL"/>
        </w:rPr>
        <w:tab/>
      </w:r>
      <w:r w:rsidR="00CF74CC" w:rsidRPr="00857CDA">
        <w:rPr>
          <w:lang w:val="ro-RO"/>
        </w:rPr>
        <w:t xml:space="preserve">Atunci când sunt transportate </w:t>
      </w:r>
      <w:r w:rsidR="00A40186" w:rsidRPr="00857CDA">
        <w:rPr>
          <w:lang w:val="ro-RO"/>
        </w:rPr>
        <w:t>la locuri de procesare intermediară</w:t>
      </w:r>
      <w:r w:rsidR="00CF74CC" w:rsidRPr="00857CDA">
        <w:rPr>
          <w:lang w:val="ro-RO"/>
        </w:rPr>
        <w:t xml:space="preserve">, </w:t>
      </w:r>
      <w:r w:rsidR="00B10FCF" w:rsidRPr="00857CDA">
        <w:rPr>
          <w:lang w:val="ro-RO"/>
        </w:rPr>
        <w:t>pilele şi bateriile cu litiu a căror masă brută nu depăşeşte 500 g pe unitate</w:t>
      </w:r>
      <w:r w:rsidR="00CC79EB" w:rsidRPr="00857CDA">
        <w:rPr>
          <w:lang w:val="ro-RO"/>
        </w:rPr>
        <w:t>,</w:t>
      </w:r>
      <w:r w:rsidR="00F12AF9" w:rsidRPr="00857CDA">
        <w:rPr>
          <w:lang w:val="ro-RO"/>
        </w:rPr>
        <w:t xml:space="preserve"> pilele cu litiu </w:t>
      </w:r>
      <w:r w:rsidR="00B10FCF" w:rsidRPr="00857CDA">
        <w:rPr>
          <w:lang w:val="ro-RO"/>
        </w:rPr>
        <w:t>ion a căror energie nominală în Watt-ore nu este mai ma</w:t>
      </w:r>
      <w:r w:rsidR="00F12AF9" w:rsidRPr="00857CDA">
        <w:rPr>
          <w:lang w:val="ro-RO"/>
        </w:rPr>
        <w:t xml:space="preserve">re de 20 Wh, bateriile cu litiu </w:t>
      </w:r>
      <w:r w:rsidR="00B10FCF" w:rsidRPr="00857CDA">
        <w:rPr>
          <w:lang w:val="ro-RO"/>
        </w:rPr>
        <w:t>ion a căror energie nominală în Watt-ore nu este mai mare de 100 Wh, pilele cu litiu metal a căror cantitate de litiu nu este mai mare de 1 g şi bateriile cu litiu metal a căror cantitate totală de litiu nu este mai mare de 2 g, care nu sunt conţinute într-un echipament, colectate şi prezentate la transport în vederea sortării, eliminării şi reciclării lor</w:t>
      </w:r>
      <w:r w:rsidR="000A19B4" w:rsidRPr="00857CDA">
        <w:rPr>
          <w:lang w:val="ro-RO"/>
        </w:rPr>
        <w:t xml:space="preserve">, amestecate sau nu cu alte pile sau alte baterii decât cele cu litiu, nu </w:t>
      </w:r>
      <w:r w:rsidR="00834CEF" w:rsidRPr="00857CDA">
        <w:rPr>
          <w:lang w:val="ro-RO"/>
        </w:rPr>
        <w:t>fac obiectul</w:t>
      </w:r>
      <w:r w:rsidR="000A19B4" w:rsidRPr="00857CDA">
        <w:rPr>
          <w:lang w:val="ro-RO"/>
        </w:rPr>
        <w:t xml:space="preserve"> celorlalte </w:t>
      </w:r>
      <w:r w:rsidR="00834CEF" w:rsidRPr="00857CDA">
        <w:rPr>
          <w:lang w:val="ro-RO"/>
        </w:rPr>
        <w:t>prescripții</w:t>
      </w:r>
      <w:r w:rsidR="000A19B4" w:rsidRPr="00857CDA">
        <w:rPr>
          <w:lang w:val="ro-RO"/>
        </w:rPr>
        <w:t xml:space="preserve"> ale ADR, inclusiv dispoziției speciale 376 și paragrafului 2.2.9.1.7, dacă sunt îndeplinite următoarele condiții:</w:t>
      </w:r>
    </w:p>
    <w:p w:rsidR="00036565" w:rsidRPr="00857CDA" w:rsidRDefault="000A19B4" w:rsidP="000A19B4">
      <w:pPr>
        <w:pStyle w:val="SingleTxtG"/>
        <w:ind w:firstLine="567"/>
        <w:rPr>
          <w:lang w:val="ro-RO"/>
        </w:rPr>
      </w:pPr>
      <w:r w:rsidRPr="00857CDA">
        <w:rPr>
          <w:lang w:val="ro-RO"/>
        </w:rPr>
        <w:t xml:space="preserve">a) </w:t>
      </w:r>
      <w:r w:rsidR="00B10FCF" w:rsidRPr="00857CDA">
        <w:rPr>
          <w:lang w:val="ro-RO"/>
        </w:rPr>
        <w:t xml:space="preserve">pilele și bateriile </w:t>
      </w:r>
      <w:r w:rsidR="00036565" w:rsidRPr="00857CDA">
        <w:rPr>
          <w:lang w:val="ro-RO"/>
        </w:rPr>
        <w:t>sunt ambalate conform dispozițiilor din instrucțiunea de ambalare P909 de la 4.1.4.1, cu excepția dispozițiilor suplimentare 1 și 2</w:t>
      </w:r>
      <w:r w:rsidR="00875BCD" w:rsidRPr="00857CDA">
        <w:rPr>
          <w:lang w:val="ro-RO"/>
        </w:rPr>
        <w:t>;</w:t>
      </w:r>
    </w:p>
    <w:p w:rsidR="00B10FCF" w:rsidRPr="00857CDA" w:rsidRDefault="00036565" w:rsidP="000A19B4">
      <w:pPr>
        <w:pStyle w:val="SingleTxtG"/>
        <w:ind w:firstLine="567"/>
        <w:rPr>
          <w:lang w:val="ro-RO"/>
        </w:rPr>
      </w:pPr>
      <w:r w:rsidRPr="00857CDA">
        <w:rPr>
          <w:lang w:val="ro-RO"/>
        </w:rPr>
        <w:t>b) e</w:t>
      </w:r>
      <w:r w:rsidR="004C5015" w:rsidRPr="00857CDA">
        <w:rPr>
          <w:lang w:val="ro-RO"/>
        </w:rPr>
        <w:t>xistă</w:t>
      </w:r>
      <w:r w:rsidRPr="00857CDA">
        <w:rPr>
          <w:lang w:val="ro-RO"/>
        </w:rPr>
        <w:t xml:space="preserve"> un sistem de asigurare a calității </w:t>
      </w:r>
      <w:r w:rsidR="004C5015" w:rsidRPr="00857CDA">
        <w:rPr>
          <w:lang w:val="ro-RO"/>
        </w:rPr>
        <w:t>pentru a</w:t>
      </w:r>
      <w:r w:rsidRPr="00857CDA">
        <w:rPr>
          <w:lang w:val="ro-RO"/>
        </w:rPr>
        <w:t xml:space="preserve"> </w:t>
      </w:r>
      <w:r w:rsidR="004C5015" w:rsidRPr="00857CDA">
        <w:rPr>
          <w:lang w:val="ro-RO"/>
        </w:rPr>
        <w:t>garanta</w:t>
      </w:r>
      <w:r w:rsidRPr="00857CDA">
        <w:rPr>
          <w:lang w:val="ro-RO"/>
        </w:rPr>
        <w:t xml:space="preserve"> că </w:t>
      </w:r>
      <w:r w:rsidR="00875BCD" w:rsidRPr="00857CDA">
        <w:rPr>
          <w:lang w:val="ro-RO"/>
        </w:rPr>
        <w:t xml:space="preserve">întreaga </w:t>
      </w:r>
      <w:r w:rsidRPr="00857CDA">
        <w:rPr>
          <w:lang w:val="ro-RO"/>
        </w:rPr>
        <w:t xml:space="preserve">cantitate de </w:t>
      </w:r>
      <w:r w:rsidR="00875BCD" w:rsidRPr="00857CDA">
        <w:rPr>
          <w:lang w:val="ro-RO"/>
        </w:rPr>
        <w:t>pil</w:t>
      </w:r>
      <w:r w:rsidRPr="00857CDA">
        <w:rPr>
          <w:lang w:val="ro-RO"/>
        </w:rPr>
        <w:t xml:space="preserve">e și baterii </w:t>
      </w:r>
      <w:r w:rsidR="00875BCD" w:rsidRPr="00857CDA">
        <w:rPr>
          <w:lang w:val="ro-RO"/>
        </w:rPr>
        <w:t xml:space="preserve">cu litiu </w:t>
      </w:r>
      <w:r w:rsidRPr="00857CDA">
        <w:rPr>
          <w:lang w:val="ro-RO"/>
        </w:rPr>
        <w:t>pe unitatea de transport nu depășește 333 kg</w:t>
      </w:r>
      <w:r w:rsidR="00B10FCF" w:rsidRPr="00857CDA">
        <w:rPr>
          <w:lang w:val="ro-RO"/>
        </w:rPr>
        <w:t>;</w:t>
      </w:r>
    </w:p>
    <w:p w:rsidR="00875BCD" w:rsidRPr="00857CDA" w:rsidRDefault="00B10FCF" w:rsidP="00875BCD">
      <w:pPr>
        <w:pStyle w:val="SingleTxtG"/>
        <w:ind w:left="1701"/>
        <w:rPr>
          <w:i/>
          <w:lang w:val="ro-RO"/>
        </w:rPr>
      </w:pPr>
      <w:r w:rsidRPr="00857CDA">
        <w:rPr>
          <w:b/>
          <w:i/>
          <w:lang w:val="ro-RO"/>
        </w:rPr>
        <w:t>NOTĂ:</w:t>
      </w:r>
      <w:r w:rsidRPr="00857CDA">
        <w:rPr>
          <w:i/>
          <w:lang w:val="ro-RO"/>
        </w:rPr>
        <w:t xml:space="preserve"> </w:t>
      </w:r>
      <w:r w:rsidR="004C5015" w:rsidRPr="00857CDA">
        <w:rPr>
          <w:i/>
          <w:lang w:val="ro-RO"/>
        </w:rPr>
        <w:t>Cantitatea totală de pile şi baterii cu litiu dintr-un lot poate fi determinată printr-o metodă statistică inclusă în sistemul de asigurare a calităţii. O copie a înregistrărilor de asigurare a calităţii trebuie să fie pusă la dispoziţia autorităţii competente la cerere</w:t>
      </w:r>
      <w:r w:rsidR="00875BCD" w:rsidRPr="00857CDA">
        <w:rPr>
          <w:i/>
          <w:lang w:val="ro-RO"/>
        </w:rPr>
        <w:t>.</w:t>
      </w:r>
    </w:p>
    <w:p w:rsidR="004C5015" w:rsidRPr="00857CDA" w:rsidRDefault="00C00456" w:rsidP="004C5015">
      <w:pPr>
        <w:pStyle w:val="SingleTxtG"/>
        <w:rPr>
          <w:rFonts w:eastAsia="MS Mincho"/>
          <w:lang w:val="ro-RO" w:eastAsia="nl-NL"/>
        </w:rPr>
      </w:pPr>
      <w:r w:rsidRPr="00857CDA">
        <w:rPr>
          <w:rFonts w:eastAsia="MS Mincho"/>
          <w:lang w:val="ro-RO" w:eastAsia="nl-NL"/>
        </w:rPr>
        <w:lastRenderedPageBreak/>
        <w:tab/>
        <w:t>c)</w:t>
      </w:r>
      <w:r w:rsidRPr="00857CDA">
        <w:rPr>
          <w:rFonts w:eastAsia="MS Mincho"/>
          <w:lang w:val="ro-RO" w:eastAsia="nl-NL"/>
        </w:rPr>
        <w:tab/>
      </w:r>
      <w:r w:rsidR="004C5015" w:rsidRPr="00857CDA">
        <w:rPr>
          <w:lang w:val="ro-RO"/>
        </w:rPr>
        <w:t>Coletele trebuie să fie marcate „BATERII CU LITIU PENTRU ELIMINARE” sau „BATERII CU LITIU PENTRU RECICLARE”, după caz</w:t>
      </w:r>
      <w:r w:rsidR="004C5015" w:rsidRPr="00857CDA">
        <w:rPr>
          <w:rFonts w:eastAsia="MS Mincho"/>
          <w:lang w:val="ro-RO" w:eastAsia="nl-NL"/>
        </w:rPr>
        <w:t xml:space="preserve"> .</w:t>
      </w:r>
      <w:r w:rsidR="00660131" w:rsidRPr="00857CDA">
        <w:rPr>
          <w:lang w:val="ro-RO"/>
        </w:rPr>
        <w:t>”</w:t>
      </w:r>
      <w:r w:rsidRPr="00857CDA">
        <w:rPr>
          <w:lang w:val="ro-RO"/>
        </w:rPr>
        <w:t>.</w:t>
      </w:r>
    </w:p>
    <w:p w:rsidR="00512CCD" w:rsidRPr="00857CDA" w:rsidRDefault="0043120D" w:rsidP="00512CCD">
      <w:pPr>
        <w:pStyle w:val="SingleTxtG"/>
        <w:rPr>
          <w:lang w:val="ro-RO"/>
        </w:rPr>
      </w:pPr>
      <w:r w:rsidRPr="00857CDA">
        <w:rPr>
          <w:lang w:val="ro-RO"/>
        </w:rPr>
        <w:t>Dispoziția specială</w:t>
      </w:r>
      <w:r w:rsidR="00512CCD" w:rsidRPr="00857CDA">
        <w:rPr>
          <w:lang w:val="ro-RO"/>
        </w:rPr>
        <w:t xml:space="preserve"> 660</w:t>
      </w:r>
      <w:r w:rsidR="00512CCD" w:rsidRPr="00857CDA">
        <w:rPr>
          <w:lang w:val="ro-RO"/>
        </w:rPr>
        <w:tab/>
      </w:r>
      <w:r w:rsidR="002B679C" w:rsidRPr="00857CDA">
        <w:rPr>
          <w:lang w:val="ro-RO"/>
        </w:rPr>
        <w:t>Se modifică, după cum urmează</w:t>
      </w:r>
      <w:r w:rsidR="00091658" w:rsidRPr="00857CDA">
        <w:rPr>
          <w:lang w:val="ro-RO"/>
        </w:rPr>
        <w:t>:</w:t>
      </w:r>
      <w:r w:rsidR="00512CCD" w:rsidRPr="00857CDA">
        <w:rPr>
          <w:lang w:val="ro-RO"/>
        </w:rPr>
        <w:t xml:space="preserve"> </w:t>
      </w:r>
    </w:p>
    <w:p w:rsidR="00512CCD" w:rsidRPr="00857CDA" w:rsidRDefault="00CD52C1" w:rsidP="00367DFA">
      <w:pPr>
        <w:pStyle w:val="SingleTxtG"/>
        <w:rPr>
          <w:lang w:val="ro-RO"/>
        </w:rPr>
      </w:pPr>
      <w:r w:rsidRPr="00857CDA">
        <w:rPr>
          <w:lang w:val="ro-RO"/>
        </w:rPr>
        <w:t>„</w:t>
      </w:r>
      <w:r w:rsidR="00512CCD" w:rsidRPr="00857CDA">
        <w:rPr>
          <w:lang w:val="ro-RO"/>
        </w:rPr>
        <w:t>660</w:t>
      </w:r>
      <w:r w:rsidR="00512CCD" w:rsidRPr="00857CDA">
        <w:rPr>
          <w:lang w:val="ro-RO"/>
        </w:rPr>
        <w:tab/>
      </w:r>
      <w:r w:rsidR="001D5BCD" w:rsidRPr="00857CDA">
        <w:rPr>
          <w:lang w:val="ro-RO"/>
        </w:rPr>
        <w:t xml:space="preserve">Pentru transportul sistemelor de retenţie a gazelor combustibile, care sunt concepute pentru a fi montate pe autovehicule, care sunt aprobate în acest scop şi care conţin acest gaz, </w:t>
      </w:r>
      <w:r w:rsidR="00367DFA" w:rsidRPr="00857CDA">
        <w:rPr>
          <w:lang w:val="ro-RO"/>
        </w:rPr>
        <w:t xml:space="preserve">nu se aplică </w:t>
      </w:r>
      <w:r w:rsidR="001D5BCD" w:rsidRPr="00857CDA">
        <w:rPr>
          <w:lang w:val="ro-RO"/>
        </w:rPr>
        <w:t xml:space="preserve">dispoziţiile secţiunii 4.1.4.1 şi ale capitolelor 5.2, 5.4 şi 6.2 ale ADR, dacă acestea sunt transportate </w:t>
      </w:r>
      <w:r w:rsidR="00842F2E" w:rsidRPr="00857CDA">
        <w:rPr>
          <w:lang w:val="ro-RO"/>
        </w:rPr>
        <w:t>în vederea</w:t>
      </w:r>
      <w:r w:rsidR="001D5BCD" w:rsidRPr="00857CDA">
        <w:rPr>
          <w:lang w:val="ro-RO"/>
        </w:rPr>
        <w:t xml:space="preserve"> elimin</w:t>
      </w:r>
      <w:r w:rsidR="00842F2E" w:rsidRPr="00857CDA">
        <w:rPr>
          <w:lang w:val="ro-RO"/>
        </w:rPr>
        <w:t>ă</w:t>
      </w:r>
      <w:r w:rsidR="001D5BCD" w:rsidRPr="00857CDA">
        <w:rPr>
          <w:lang w:val="ro-RO"/>
        </w:rPr>
        <w:t>r</w:t>
      </w:r>
      <w:r w:rsidR="00842F2E" w:rsidRPr="00857CDA">
        <w:rPr>
          <w:lang w:val="ro-RO"/>
        </w:rPr>
        <w:t>ii</w:t>
      </w:r>
      <w:r w:rsidR="001D5BCD" w:rsidRPr="00857CDA">
        <w:rPr>
          <w:lang w:val="ro-RO"/>
        </w:rPr>
        <w:t>, recicl</w:t>
      </w:r>
      <w:r w:rsidR="00842F2E" w:rsidRPr="00857CDA">
        <w:rPr>
          <w:lang w:val="ro-RO"/>
        </w:rPr>
        <w:t>ă</w:t>
      </w:r>
      <w:r w:rsidR="001D5BCD" w:rsidRPr="00857CDA">
        <w:rPr>
          <w:lang w:val="ro-RO"/>
        </w:rPr>
        <w:t>r</w:t>
      </w:r>
      <w:r w:rsidR="00842F2E" w:rsidRPr="00857CDA">
        <w:rPr>
          <w:lang w:val="ro-RO"/>
        </w:rPr>
        <w:t>ii</w:t>
      </w:r>
      <w:r w:rsidR="001D5BCD" w:rsidRPr="00857CDA">
        <w:rPr>
          <w:lang w:val="ro-RO"/>
        </w:rPr>
        <w:t>, reparație</w:t>
      </w:r>
      <w:r w:rsidR="00842F2E" w:rsidRPr="00857CDA">
        <w:rPr>
          <w:lang w:val="ro-RO"/>
        </w:rPr>
        <w:t>i</w:t>
      </w:r>
      <w:r w:rsidR="001D5BCD" w:rsidRPr="00857CDA">
        <w:rPr>
          <w:lang w:val="ro-RO"/>
        </w:rPr>
        <w:t>, inspecție</w:t>
      </w:r>
      <w:r w:rsidR="00842F2E" w:rsidRPr="00857CDA">
        <w:rPr>
          <w:lang w:val="ro-RO"/>
        </w:rPr>
        <w:t xml:space="preserve">i sau </w:t>
      </w:r>
      <w:r w:rsidR="001D5BCD" w:rsidRPr="00857CDA">
        <w:rPr>
          <w:lang w:val="ro-RO"/>
        </w:rPr>
        <w:t>întreținer</w:t>
      </w:r>
      <w:r w:rsidR="00842F2E" w:rsidRPr="00857CDA">
        <w:rPr>
          <w:lang w:val="ro-RO"/>
        </w:rPr>
        <w:t>ii</w:t>
      </w:r>
      <w:r w:rsidR="001D5BCD" w:rsidRPr="00857CDA">
        <w:rPr>
          <w:lang w:val="ro-RO"/>
        </w:rPr>
        <w:t xml:space="preserve"> </w:t>
      </w:r>
      <w:r w:rsidR="00842F2E" w:rsidRPr="00857CDA">
        <w:rPr>
          <w:lang w:val="ro-RO"/>
        </w:rPr>
        <w:t>ori</w:t>
      </w:r>
      <w:r w:rsidR="001D5BCD" w:rsidRPr="00857CDA">
        <w:rPr>
          <w:lang w:val="ro-RO"/>
        </w:rPr>
        <w:t xml:space="preserve"> de la locul lor de </w:t>
      </w:r>
      <w:r w:rsidR="00842F2E" w:rsidRPr="00857CDA">
        <w:rPr>
          <w:lang w:val="ro-RO"/>
        </w:rPr>
        <w:t>producție</w:t>
      </w:r>
      <w:r w:rsidR="001D5BCD" w:rsidRPr="00857CDA">
        <w:rPr>
          <w:lang w:val="ro-RO"/>
        </w:rPr>
        <w:t xml:space="preserve"> </w:t>
      </w:r>
      <w:r w:rsidR="00842F2E" w:rsidRPr="00857CDA">
        <w:rPr>
          <w:lang w:val="ro-RO"/>
        </w:rPr>
        <w:t xml:space="preserve">la </w:t>
      </w:r>
      <w:r w:rsidR="00367DFA" w:rsidRPr="00857CDA">
        <w:rPr>
          <w:lang w:val="ro-RO"/>
        </w:rPr>
        <w:t>o secție</w:t>
      </w:r>
      <w:r w:rsidR="001D5BCD" w:rsidRPr="00857CDA">
        <w:rPr>
          <w:lang w:val="ro-RO"/>
        </w:rPr>
        <w:t xml:space="preserve"> de asamblare a vehiculelor, dacă sunt îndeplinite condițiile descrise în dispoziția specială 392. </w:t>
      </w:r>
      <w:r w:rsidR="00367DFA" w:rsidRPr="00857CDA">
        <w:rPr>
          <w:lang w:val="ro-RO"/>
        </w:rPr>
        <w:t>Acest lucru se aplică, de asemenea, amestecurilor de gaze care fac obiectul dispoziției speciale 392 și gazelor din grupa A care fac obiectul acestei dispoziții speciale</w:t>
      </w:r>
      <w:r w:rsidR="00512CCD" w:rsidRPr="00857CDA">
        <w:rPr>
          <w:lang w:val="ro-RO"/>
        </w:rPr>
        <w:t>.</w:t>
      </w:r>
      <w:r w:rsidR="00660131" w:rsidRPr="00857CDA">
        <w:rPr>
          <w:lang w:val="ro-RO"/>
        </w:rPr>
        <w:t>”</w:t>
      </w:r>
      <w:r w:rsidR="00512CCD" w:rsidRPr="00857CDA">
        <w:rPr>
          <w:lang w:val="ro-RO"/>
        </w:rPr>
        <w:t>.</w:t>
      </w:r>
    </w:p>
    <w:p w:rsidR="00464701" w:rsidRPr="00857CDA" w:rsidRDefault="0043120D" w:rsidP="00464701">
      <w:pPr>
        <w:pStyle w:val="SingleTxtG"/>
        <w:rPr>
          <w:lang w:val="ro-RO"/>
        </w:rPr>
      </w:pPr>
      <w:r w:rsidRPr="00857CDA">
        <w:rPr>
          <w:lang w:val="ro-RO"/>
        </w:rPr>
        <w:t>Dispoziția specială</w:t>
      </w:r>
      <w:r w:rsidR="00367DFA" w:rsidRPr="00857CDA">
        <w:rPr>
          <w:lang w:val="ro-RO"/>
        </w:rPr>
        <w:t xml:space="preserve"> 663</w:t>
      </w:r>
      <w:r w:rsidR="00367DFA" w:rsidRPr="00857CDA">
        <w:rPr>
          <w:lang w:val="ro-RO"/>
        </w:rPr>
        <w:tab/>
        <w:t>La</w:t>
      </w:r>
      <w:r w:rsidR="00464701" w:rsidRPr="00857CDA">
        <w:rPr>
          <w:lang w:val="ro-RO"/>
        </w:rPr>
        <w:t xml:space="preserve"> </w:t>
      </w:r>
      <w:r w:rsidR="00CD52C1" w:rsidRPr="00857CDA">
        <w:rPr>
          <w:lang w:val="ro-RO"/>
        </w:rPr>
        <w:t>„</w:t>
      </w:r>
      <w:r w:rsidR="00464701" w:rsidRPr="00857CDA">
        <w:rPr>
          <w:lang w:val="ro-RO"/>
        </w:rPr>
        <w:t>Dispo</w:t>
      </w:r>
      <w:r w:rsidR="00367DFA" w:rsidRPr="00857CDA">
        <w:rPr>
          <w:lang w:val="ro-RO"/>
        </w:rPr>
        <w:t>ziții</w:t>
      </w:r>
      <w:r w:rsidR="00464701" w:rsidRPr="00857CDA">
        <w:rPr>
          <w:lang w:val="ro-RO"/>
        </w:rPr>
        <w:t xml:space="preserve"> g</w:t>
      </w:r>
      <w:r w:rsidR="00367DFA" w:rsidRPr="00857CDA">
        <w:rPr>
          <w:lang w:val="ro-RO"/>
        </w:rPr>
        <w:t>e</w:t>
      </w:r>
      <w:r w:rsidR="00464701" w:rsidRPr="00857CDA">
        <w:rPr>
          <w:lang w:val="ro-RO"/>
        </w:rPr>
        <w:t>n</w:t>
      </w:r>
      <w:r w:rsidR="00367DFA" w:rsidRPr="00857CDA">
        <w:rPr>
          <w:lang w:val="ro-RO"/>
        </w:rPr>
        <w:t>e</w:t>
      </w:r>
      <w:r w:rsidR="00464701" w:rsidRPr="00857CDA">
        <w:rPr>
          <w:lang w:val="ro-RO"/>
        </w:rPr>
        <w:t>rale</w:t>
      </w:r>
      <w:r w:rsidR="00660131" w:rsidRPr="00857CDA">
        <w:rPr>
          <w:lang w:val="ro-RO"/>
        </w:rPr>
        <w:t>”</w:t>
      </w:r>
      <w:r w:rsidR="00464701" w:rsidRPr="00857CDA">
        <w:rPr>
          <w:lang w:val="ro-RO"/>
        </w:rPr>
        <w:t xml:space="preserve"> </w:t>
      </w:r>
      <w:r w:rsidR="00367DFA" w:rsidRPr="00857CDA">
        <w:rPr>
          <w:lang w:val="ro-RO"/>
        </w:rPr>
        <w:t>s</w:t>
      </w:r>
      <w:r w:rsidR="00902C44" w:rsidRPr="00857CDA">
        <w:rPr>
          <w:lang w:val="ro-RO"/>
        </w:rPr>
        <w:t>e modifică</w:t>
      </w:r>
      <w:r w:rsidR="00464701" w:rsidRPr="00857CDA">
        <w:rPr>
          <w:lang w:val="ro-RO"/>
        </w:rPr>
        <w:t xml:space="preserve"> </w:t>
      </w:r>
      <w:r w:rsidR="00CD52C1"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CD52C1" w:rsidRPr="00857CDA">
        <w:rPr>
          <w:lang w:val="ro-RO"/>
        </w:rPr>
        <w:t>„</w:t>
      </w:r>
      <w:r w:rsidR="002B679C" w:rsidRPr="00857CDA">
        <w:rPr>
          <w:lang w:val="ro-RO"/>
        </w:rPr>
        <w:t>pericol</w:t>
      </w:r>
      <w:r w:rsidR="00660131" w:rsidRPr="00857CDA">
        <w:rPr>
          <w:lang w:val="ro-RO"/>
        </w:rPr>
        <w:t>”</w:t>
      </w:r>
      <w:r w:rsidR="00464701" w:rsidRPr="00857CDA">
        <w:rPr>
          <w:lang w:val="ro-RO"/>
        </w:rPr>
        <w:t>.</w:t>
      </w:r>
    </w:p>
    <w:p w:rsidR="00512CCD" w:rsidRPr="00857CDA" w:rsidRDefault="0043120D" w:rsidP="00512CCD">
      <w:pPr>
        <w:pStyle w:val="SingleTxtG"/>
        <w:rPr>
          <w:lang w:val="ro-RO"/>
        </w:rPr>
      </w:pPr>
      <w:r w:rsidRPr="00857CDA">
        <w:rPr>
          <w:lang w:val="ro-RO"/>
        </w:rPr>
        <w:t>Dispoziția specială</w:t>
      </w:r>
      <w:r w:rsidR="00512CCD" w:rsidRPr="00857CDA">
        <w:rPr>
          <w:lang w:val="ro-RO"/>
        </w:rPr>
        <w:t xml:space="preserve"> 666</w:t>
      </w:r>
      <w:r w:rsidR="00512CCD" w:rsidRPr="00857CDA">
        <w:rPr>
          <w:lang w:val="ro-RO"/>
        </w:rPr>
        <w:tab/>
      </w:r>
      <w:r w:rsidR="002B679C" w:rsidRPr="00857CDA">
        <w:rPr>
          <w:lang w:val="ro-RO"/>
        </w:rPr>
        <w:t>Se modifică</w:t>
      </w:r>
      <w:r w:rsidR="00512CCD" w:rsidRPr="00857CDA">
        <w:rPr>
          <w:lang w:val="ro-RO"/>
        </w:rPr>
        <w:t xml:space="preserve"> pr</w:t>
      </w:r>
      <w:r w:rsidR="00367DFA" w:rsidRPr="00857CDA">
        <w:rPr>
          <w:lang w:val="ro-RO"/>
        </w:rPr>
        <w:t>i</w:t>
      </w:r>
      <w:r w:rsidR="00512CCD" w:rsidRPr="00857CDA">
        <w:rPr>
          <w:lang w:val="ro-RO"/>
        </w:rPr>
        <w:t>m</w:t>
      </w:r>
      <w:r w:rsidR="00367DFA" w:rsidRPr="00857CDA">
        <w:rPr>
          <w:lang w:val="ro-RO"/>
        </w:rPr>
        <w:t>ul</w:t>
      </w:r>
      <w:r w:rsidR="00512CCD" w:rsidRPr="00857CDA">
        <w:rPr>
          <w:lang w:val="ro-RO"/>
        </w:rPr>
        <w:t xml:space="preserve"> </w:t>
      </w:r>
      <w:r w:rsidR="00970E20" w:rsidRPr="00857CDA">
        <w:rPr>
          <w:lang w:val="ro-RO"/>
        </w:rPr>
        <w:t>paragraf</w:t>
      </w:r>
      <w:r w:rsidR="002B679C" w:rsidRPr="00857CDA">
        <w:rPr>
          <w:lang w:val="ro-RO"/>
        </w:rPr>
        <w:t>, după cum urmează</w:t>
      </w:r>
      <w:r w:rsidR="00091658" w:rsidRPr="00857CDA">
        <w:rPr>
          <w:lang w:val="ro-RO"/>
        </w:rPr>
        <w:t>:</w:t>
      </w:r>
    </w:p>
    <w:p w:rsidR="00512CCD" w:rsidRPr="00857CDA" w:rsidRDefault="00CD52C1" w:rsidP="0015399A">
      <w:pPr>
        <w:pStyle w:val="SingleTxtG"/>
        <w:rPr>
          <w:lang w:val="ro-RO"/>
        </w:rPr>
      </w:pPr>
      <w:r w:rsidRPr="00857CDA">
        <w:rPr>
          <w:lang w:val="ro-RO"/>
        </w:rPr>
        <w:t>„</w:t>
      </w:r>
      <w:r w:rsidR="0015399A" w:rsidRPr="00857CDA">
        <w:rPr>
          <w:lang w:val="ro-RO"/>
        </w:rPr>
        <w:t xml:space="preserve">Echipamentele puse în mișcare cu acumulatori și vehiculele, prevăzute de dispoziția specială 388, transportate ca încărcătură, precum și mărfurile periculoase pe care le conțin și care sunt necesare pentru funcționarea lor sau a echipamentelor acestora, nu </w:t>
      </w:r>
      <w:r w:rsidR="00834CEF" w:rsidRPr="00857CDA">
        <w:rPr>
          <w:lang w:val="ro-RO"/>
        </w:rPr>
        <w:t>fac obiectul</w:t>
      </w:r>
      <w:r w:rsidR="0015399A" w:rsidRPr="00857CDA">
        <w:rPr>
          <w:lang w:val="ro-RO"/>
        </w:rPr>
        <w:t xml:space="preserve"> niciunei alte dispoziții a ADR, cu condiția respectării condițiilor următoare</w:t>
      </w:r>
      <w:r w:rsidR="00512CCD" w:rsidRPr="00857CDA">
        <w:rPr>
          <w:lang w:val="ro-RO"/>
        </w:rPr>
        <w:t>:</w:t>
      </w:r>
      <w:r w:rsidR="00660131" w:rsidRPr="00857CDA">
        <w:rPr>
          <w:lang w:val="ro-RO"/>
        </w:rPr>
        <w:t>”</w:t>
      </w:r>
      <w:r w:rsidR="00512CCD" w:rsidRPr="00857CDA">
        <w:rPr>
          <w:lang w:val="ro-RO"/>
        </w:rPr>
        <w:t>.</w:t>
      </w:r>
    </w:p>
    <w:p w:rsidR="00316738" w:rsidRPr="00857CDA" w:rsidRDefault="0043120D" w:rsidP="00464701">
      <w:pPr>
        <w:pStyle w:val="SingleTxtG"/>
        <w:rPr>
          <w:lang w:val="ro-RO"/>
        </w:rPr>
      </w:pPr>
      <w:r w:rsidRPr="00857CDA">
        <w:rPr>
          <w:lang w:val="ro-RO"/>
        </w:rPr>
        <w:t>Dispoziția specială</w:t>
      </w:r>
      <w:r w:rsidR="00464701" w:rsidRPr="00857CDA">
        <w:rPr>
          <w:lang w:val="ro-RO"/>
        </w:rPr>
        <w:t xml:space="preserve"> 667</w:t>
      </w:r>
      <w:r w:rsidR="00464701" w:rsidRPr="00857CDA">
        <w:rPr>
          <w:lang w:val="ro-RO"/>
        </w:rPr>
        <w:tab/>
      </w:r>
      <w:r w:rsidR="00FA5B90" w:rsidRPr="00857CDA">
        <w:rPr>
          <w:lang w:val="ro-RO"/>
        </w:rPr>
        <w:t>La</w:t>
      </w:r>
      <w:r w:rsidR="00316738" w:rsidRPr="00857CDA">
        <w:rPr>
          <w:lang w:val="ro-RO"/>
        </w:rPr>
        <w:t xml:space="preserve"> alin</w:t>
      </w:r>
      <w:r w:rsidR="00FA5B90" w:rsidRPr="00857CDA">
        <w:rPr>
          <w:lang w:val="ro-RO"/>
        </w:rPr>
        <w:t>e</w:t>
      </w:r>
      <w:r w:rsidR="00316738" w:rsidRPr="00857CDA">
        <w:rPr>
          <w:lang w:val="ro-RO"/>
        </w:rPr>
        <w:t>a</w:t>
      </w:r>
      <w:r w:rsidR="00FA5B90" w:rsidRPr="00857CDA">
        <w:rPr>
          <w:lang w:val="ro-RO"/>
        </w:rPr>
        <w:t>tele</w:t>
      </w:r>
      <w:r w:rsidR="00316738" w:rsidRPr="00857CDA">
        <w:rPr>
          <w:lang w:val="ro-RO"/>
        </w:rPr>
        <w:t xml:space="preserve"> a), b), b) </w:t>
      </w:r>
      <w:r w:rsidR="00464701" w:rsidRPr="00857CDA">
        <w:rPr>
          <w:lang w:val="ro-RO"/>
        </w:rPr>
        <w:t>i)</w:t>
      </w:r>
      <w:r w:rsidR="004C27AD" w:rsidRPr="00857CDA">
        <w:rPr>
          <w:lang w:val="ro-RO"/>
        </w:rPr>
        <w:t xml:space="preserve"> și </w:t>
      </w:r>
      <w:r w:rsidR="00CD142F" w:rsidRPr="00857CDA">
        <w:rPr>
          <w:lang w:val="ro-RO"/>
        </w:rPr>
        <w:t>b) ii)</w:t>
      </w:r>
      <w:r w:rsidR="00464701" w:rsidRPr="00857CDA">
        <w:rPr>
          <w:lang w:val="ro-RO"/>
        </w:rPr>
        <w:t xml:space="preserve">, </w:t>
      </w:r>
      <w:r w:rsidR="00FA5B90" w:rsidRPr="00857CDA">
        <w:rPr>
          <w:lang w:val="ro-RO"/>
        </w:rPr>
        <w:t>s</w:t>
      </w:r>
      <w:r w:rsidR="00902C44" w:rsidRPr="00857CDA">
        <w:rPr>
          <w:lang w:val="ro-RO"/>
        </w:rPr>
        <w:t>e modifică</w:t>
      </w:r>
      <w:r w:rsidR="00316738" w:rsidRPr="00857CDA">
        <w:rPr>
          <w:lang w:val="ro-RO"/>
        </w:rPr>
        <w:t xml:space="preserve"> </w:t>
      </w:r>
      <w:r w:rsidR="00CD52C1" w:rsidRPr="00857CDA">
        <w:rPr>
          <w:lang w:val="ro-RO"/>
        </w:rPr>
        <w:t>„</w:t>
      </w:r>
      <w:r w:rsidR="00FA5B90" w:rsidRPr="00857CDA">
        <w:rPr>
          <w:lang w:val="ro-RO"/>
        </w:rPr>
        <w:t>sa</w:t>
      </w:r>
      <w:r w:rsidR="00316738" w:rsidRPr="00857CDA">
        <w:rPr>
          <w:lang w:val="ro-RO"/>
        </w:rPr>
        <w:t xml:space="preserve">u </w:t>
      </w:r>
      <w:r w:rsidR="00FA5B90" w:rsidRPr="00857CDA">
        <w:rPr>
          <w:lang w:val="ro-RO"/>
        </w:rPr>
        <w:t>utilaje</w:t>
      </w:r>
      <w:r w:rsidR="00660131" w:rsidRPr="00857CDA">
        <w:rPr>
          <w:lang w:val="ro-RO"/>
        </w:rPr>
        <w:t>”</w:t>
      </w:r>
      <w:r w:rsidR="00902C44" w:rsidRPr="00857CDA">
        <w:rPr>
          <w:lang w:val="ro-RO"/>
        </w:rPr>
        <w:t xml:space="preserve"> cu </w:t>
      </w:r>
      <w:r w:rsidR="00FA5B90" w:rsidRPr="00857CDA">
        <w:rPr>
          <w:lang w:val="ro-RO"/>
        </w:rPr>
        <w:t xml:space="preserve">  </w:t>
      </w:r>
      <w:r w:rsidR="00D85951" w:rsidRPr="00857CDA">
        <w:rPr>
          <w:lang w:val="ro-RO"/>
        </w:rPr>
        <w:t>“</w:t>
      </w:r>
      <w:r w:rsidR="00FA5B90" w:rsidRPr="00857CDA">
        <w:rPr>
          <w:lang w:val="ro-RO"/>
        </w:rPr>
        <w:t xml:space="preserve"> </w:t>
      </w:r>
      <w:r w:rsidR="00D85951" w:rsidRPr="00857CDA">
        <w:rPr>
          <w:lang w:val="ro-RO"/>
        </w:rPr>
        <w:t>,</w:t>
      </w:r>
      <w:r w:rsidR="00316738" w:rsidRPr="00857CDA">
        <w:rPr>
          <w:lang w:val="ro-RO"/>
        </w:rPr>
        <w:t xml:space="preserve"> </w:t>
      </w:r>
      <w:r w:rsidR="00FA5B90" w:rsidRPr="00857CDA">
        <w:rPr>
          <w:lang w:val="ro-RO"/>
        </w:rPr>
        <w:t>utilaje sau</w:t>
      </w:r>
      <w:r w:rsidR="00316738" w:rsidRPr="00857CDA">
        <w:rPr>
          <w:lang w:val="ro-RO"/>
        </w:rPr>
        <w:t xml:space="preserve"> ob</w:t>
      </w:r>
      <w:r w:rsidR="00FA5B90" w:rsidRPr="00857CDA">
        <w:rPr>
          <w:lang w:val="ro-RO"/>
        </w:rPr>
        <w:t>i</w:t>
      </w:r>
      <w:r w:rsidR="00316738" w:rsidRPr="00857CDA">
        <w:rPr>
          <w:lang w:val="ro-RO"/>
        </w:rPr>
        <w:t>e</w:t>
      </w:r>
      <w:r w:rsidR="00CA2FBC" w:rsidRPr="00857CDA">
        <w:rPr>
          <w:lang w:val="ro-RO"/>
        </w:rPr>
        <w:t>c</w:t>
      </w:r>
      <w:r w:rsidR="00316738" w:rsidRPr="00857CDA">
        <w:rPr>
          <w:lang w:val="ro-RO"/>
        </w:rPr>
        <w:t>t</w:t>
      </w:r>
      <w:r w:rsidR="00FA5B90" w:rsidRPr="00857CDA">
        <w:rPr>
          <w:lang w:val="ro-RO"/>
        </w:rPr>
        <w:t>e</w:t>
      </w:r>
      <w:r w:rsidR="00660131" w:rsidRPr="00857CDA">
        <w:rPr>
          <w:lang w:val="ro-RO"/>
        </w:rPr>
        <w:t>”</w:t>
      </w:r>
      <w:r w:rsidR="00D21B19" w:rsidRPr="00857CDA">
        <w:rPr>
          <w:lang w:val="ro-RO"/>
        </w:rPr>
        <w:t xml:space="preserve">. </w:t>
      </w:r>
      <w:r w:rsidR="00902C44" w:rsidRPr="00857CDA">
        <w:rPr>
          <w:lang w:val="ro-RO"/>
        </w:rPr>
        <w:t xml:space="preserve">În </w:t>
      </w:r>
      <w:r w:rsidR="00970E20" w:rsidRPr="00857CDA">
        <w:rPr>
          <w:lang w:val="ro-RO"/>
        </w:rPr>
        <w:t>ultimul</w:t>
      </w:r>
      <w:r w:rsidR="00D21B19" w:rsidRPr="00857CDA">
        <w:rPr>
          <w:lang w:val="ro-RO"/>
        </w:rPr>
        <w:t xml:space="preserve"> </w:t>
      </w:r>
      <w:r w:rsidR="00970E20" w:rsidRPr="00857CDA">
        <w:rPr>
          <w:lang w:val="ro-RO"/>
        </w:rPr>
        <w:t>paragraf</w:t>
      </w:r>
      <w:r w:rsidR="00D21B19" w:rsidRPr="00857CDA">
        <w:rPr>
          <w:lang w:val="ro-RO"/>
        </w:rPr>
        <w:t xml:space="preserve"> de l</w:t>
      </w:r>
      <w:r w:rsidR="00FA5B90" w:rsidRPr="00857CDA">
        <w:rPr>
          <w:lang w:val="ro-RO"/>
        </w:rPr>
        <w:t xml:space="preserve">a </w:t>
      </w:r>
      <w:r w:rsidR="00D21B19" w:rsidRPr="00857CDA">
        <w:rPr>
          <w:lang w:val="ro-RO"/>
        </w:rPr>
        <w:t>alin</w:t>
      </w:r>
      <w:r w:rsidR="00FA5B90" w:rsidRPr="00857CDA">
        <w:rPr>
          <w:lang w:val="ro-RO"/>
        </w:rPr>
        <w:t>e</w:t>
      </w:r>
      <w:r w:rsidR="00D21B19" w:rsidRPr="00857CDA">
        <w:rPr>
          <w:lang w:val="ro-RO"/>
        </w:rPr>
        <w:t>a</w:t>
      </w:r>
      <w:r w:rsidR="00FA5B90" w:rsidRPr="00857CDA">
        <w:rPr>
          <w:lang w:val="ro-RO"/>
        </w:rPr>
        <w:t>tul</w:t>
      </w:r>
      <w:r w:rsidR="00D21B19" w:rsidRPr="00857CDA">
        <w:rPr>
          <w:lang w:val="ro-RO"/>
        </w:rPr>
        <w:t xml:space="preserve"> b), </w:t>
      </w:r>
      <w:r w:rsidR="00FA5B90" w:rsidRPr="00857CDA">
        <w:rPr>
          <w:lang w:val="ro-RO"/>
        </w:rPr>
        <w:t>s</w:t>
      </w:r>
      <w:r w:rsidR="00902C44" w:rsidRPr="00857CDA">
        <w:rPr>
          <w:lang w:val="ro-RO"/>
        </w:rPr>
        <w:t>e modifică</w:t>
      </w:r>
      <w:r w:rsidR="00D21B19" w:rsidRPr="00857CDA">
        <w:rPr>
          <w:lang w:val="ro-RO"/>
        </w:rPr>
        <w:t xml:space="preserve"> </w:t>
      </w:r>
      <w:r w:rsidR="00CD52C1" w:rsidRPr="00857CDA">
        <w:rPr>
          <w:lang w:val="ro-RO"/>
        </w:rPr>
        <w:t>„</w:t>
      </w:r>
      <w:r w:rsidR="00FA5B90" w:rsidRPr="00857CDA">
        <w:rPr>
          <w:lang w:val="ro-RO"/>
        </w:rPr>
        <w:t>sa</w:t>
      </w:r>
      <w:r w:rsidR="00D21B19" w:rsidRPr="00857CDA">
        <w:rPr>
          <w:lang w:val="ro-RO"/>
        </w:rPr>
        <w:t xml:space="preserve">u </w:t>
      </w:r>
      <w:r w:rsidR="00FA5B90" w:rsidRPr="00857CDA">
        <w:rPr>
          <w:lang w:val="ro-RO"/>
        </w:rPr>
        <w:t>utilajul</w:t>
      </w:r>
      <w:r w:rsidR="00660131" w:rsidRPr="00857CDA">
        <w:rPr>
          <w:lang w:val="ro-RO"/>
        </w:rPr>
        <w:t>”</w:t>
      </w:r>
      <w:r w:rsidR="00902C44" w:rsidRPr="00857CDA">
        <w:rPr>
          <w:lang w:val="ro-RO"/>
        </w:rPr>
        <w:t xml:space="preserve"> cu </w:t>
      </w:r>
      <w:r w:rsidR="00660131" w:rsidRPr="00857CDA">
        <w:rPr>
          <w:lang w:val="ro-RO"/>
        </w:rPr>
        <w:t>“</w:t>
      </w:r>
      <w:r w:rsidR="00CD52C1" w:rsidRPr="00857CDA">
        <w:rPr>
          <w:lang w:val="ro-RO"/>
        </w:rPr>
        <w:t xml:space="preserve">, </w:t>
      </w:r>
      <w:r w:rsidR="00FA5B90" w:rsidRPr="00857CDA">
        <w:rPr>
          <w:lang w:val="ro-RO"/>
        </w:rPr>
        <w:t>utilajul</w:t>
      </w:r>
      <w:r w:rsidR="00CD52C1" w:rsidRPr="00857CDA">
        <w:rPr>
          <w:lang w:val="ro-RO"/>
        </w:rPr>
        <w:t xml:space="preserve"> sau obiectul”</w:t>
      </w:r>
      <w:r w:rsidR="00D21B19" w:rsidRPr="00857CDA">
        <w:rPr>
          <w:lang w:val="ro-RO"/>
        </w:rPr>
        <w:t xml:space="preserve">. </w:t>
      </w:r>
      <w:r w:rsidR="00902C44" w:rsidRPr="00857CDA">
        <w:rPr>
          <w:lang w:val="ro-RO"/>
        </w:rPr>
        <w:t>Se adaugă</w:t>
      </w:r>
      <w:r w:rsidR="00316738" w:rsidRPr="00857CDA">
        <w:rPr>
          <w:lang w:val="ro-RO"/>
        </w:rPr>
        <w:t xml:space="preserve"> </w:t>
      </w:r>
      <w:r w:rsidR="00FA5B90" w:rsidRPr="00857CDA">
        <w:rPr>
          <w:lang w:val="ro-RO"/>
        </w:rPr>
        <w:t xml:space="preserve">un nou </w:t>
      </w:r>
      <w:r w:rsidR="00316738" w:rsidRPr="00857CDA">
        <w:rPr>
          <w:lang w:val="ro-RO"/>
        </w:rPr>
        <w:t>alin</w:t>
      </w:r>
      <w:r w:rsidR="00FA5B90" w:rsidRPr="00857CDA">
        <w:rPr>
          <w:lang w:val="ro-RO"/>
        </w:rPr>
        <w:t>e</w:t>
      </w:r>
      <w:r w:rsidR="00316738" w:rsidRPr="00857CDA">
        <w:rPr>
          <w:lang w:val="ro-RO"/>
        </w:rPr>
        <w:t>a</w:t>
      </w:r>
      <w:r w:rsidR="00FA5B90" w:rsidRPr="00857CDA">
        <w:rPr>
          <w:lang w:val="ro-RO"/>
        </w:rPr>
        <w:t>t</w:t>
      </w:r>
      <w:r w:rsidR="00316738" w:rsidRPr="00857CDA">
        <w:rPr>
          <w:lang w:val="ro-RO"/>
        </w:rPr>
        <w:t xml:space="preserve"> c)</w:t>
      </w:r>
      <w:r w:rsidR="00FA5B90" w:rsidRPr="00857CDA">
        <w:rPr>
          <w:lang w:val="ro-RO"/>
        </w:rPr>
        <w:t>, după cum urmează</w:t>
      </w:r>
      <w:r w:rsidR="00091658" w:rsidRPr="00857CDA">
        <w:rPr>
          <w:lang w:val="ro-RO"/>
        </w:rPr>
        <w:t>:</w:t>
      </w:r>
    </w:p>
    <w:p w:rsidR="00464701" w:rsidRPr="00857CDA" w:rsidRDefault="00CD52C1" w:rsidP="00464701">
      <w:pPr>
        <w:pStyle w:val="SingleTxtG"/>
        <w:rPr>
          <w:lang w:val="ro-RO"/>
        </w:rPr>
      </w:pPr>
      <w:r w:rsidRPr="00857CDA">
        <w:rPr>
          <w:lang w:val="ro-RO"/>
        </w:rPr>
        <w:t>„</w:t>
      </w:r>
      <w:r w:rsidR="00464701" w:rsidRPr="00857CDA">
        <w:rPr>
          <w:lang w:val="ro-RO"/>
        </w:rPr>
        <w:t>c)</w:t>
      </w:r>
      <w:r w:rsidR="00464701" w:rsidRPr="00857CDA">
        <w:rPr>
          <w:lang w:val="ro-RO"/>
        </w:rPr>
        <w:tab/>
      </w:r>
      <w:r w:rsidR="00FA5B90" w:rsidRPr="00857CDA">
        <w:rPr>
          <w:lang w:val="ro-RO"/>
        </w:rPr>
        <w:t>Proc</w:t>
      </w:r>
      <w:r w:rsidR="00D82B25" w:rsidRPr="00857CDA">
        <w:rPr>
          <w:lang w:val="ro-RO"/>
        </w:rPr>
        <w:t>e</w:t>
      </w:r>
      <w:r w:rsidR="00FA5B90" w:rsidRPr="00857CDA">
        <w:rPr>
          <w:lang w:val="ro-RO"/>
        </w:rPr>
        <w:t xml:space="preserve">durile </w:t>
      </w:r>
      <w:r w:rsidR="00316738" w:rsidRPr="00857CDA">
        <w:rPr>
          <w:lang w:val="ro-RO"/>
        </w:rPr>
        <w:t>d</w:t>
      </w:r>
      <w:r w:rsidR="00FA5B90" w:rsidRPr="00857CDA">
        <w:rPr>
          <w:lang w:val="ro-RO"/>
        </w:rPr>
        <w:t>es</w:t>
      </w:r>
      <w:r w:rsidR="00316738" w:rsidRPr="00857CDA">
        <w:rPr>
          <w:lang w:val="ro-RO"/>
        </w:rPr>
        <w:t>cris</w:t>
      </w:r>
      <w:r w:rsidR="00FA5B90" w:rsidRPr="00857CDA">
        <w:rPr>
          <w:lang w:val="ro-RO"/>
        </w:rPr>
        <w:t>e</w:t>
      </w:r>
      <w:r w:rsidR="00316738" w:rsidRPr="00857CDA">
        <w:rPr>
          <w:lang w:val="ro-RO"/>
        </w:rPr>
        <w:t xml:space="preserve"> l</w:t>
      </w:r>
      <w:r w:rsidR="00FA5B90" w:rsidRPr="00857CDA">
        <w:rPr>
          <w:lang w:val="ro-RO"/>
        </w:rPr>
        <w:t xml:space="preserve">a </w:t>
      </w:r>
      <w:r w:rsidR="00316738" w:rsidRPr="00857CDA">
        <w:rPr>
          <w:lang w:val="ro-RO"/>
        </w:rPr>
        <w:t>alin</w:t>
      </w:r>
      <w:r w:rsidR="00FA5B90" w:rsidRPr="00857CDA">
        <w:rPr>
          <w:lang w:val="ro-RO"/>
        </w:rPr>
        <w:t>e</w:t>
      </w:r>
      <w:r w:rsidR="00316738" w:rsidRPr="00857CDA">
        <w:rPr>
          <w:lang w:val="ro-RO"/>
        </w:rPr>
        <w:t>a</w:t>
      </w:r>
      <w:r w:rsidR="00FA5B90" w:rsidRPr="00857CDA">
        <w:rPr>
          <w:lang w:val="ro-RO"/>
        </w:rPr>
        <w:t>tul</w:t>
      </w:r>
      <w:r w:rsidR="00316738" w:rsidRPr="00857CDA">
        <w:rPr>
          <w:lang w:val="ro-RO"/>
        </w:rPr>
        <w:t xml:space="preserve"> b) s</w:t>
      </w:r>
      <w:r w:rsidR="00FA5B90" w:rsidRPr="00857CDA">
        <w:rPr>
          <w:lang w:val="ro-RO"/>
        </w:rPr>
        <w:t xml:space="preserve">e </w:t>
      </w:r>
      <w:r w:rsidR="00316738" w:rsidRPr="00857CDA">
        <w:rPr>
          <w:lang w:val="ro-RO"/>
        </w:rPr>
        <w:t>apli</w:t>
      </w:r>
      <w:r w:rsidR="00FA5B90" w:rsidRPr="00857CDA">
        <w:rPr>
          <w:lang w:val="ro-RO"/>
        </w:rPr>
        <w:t>că, de asemenea,</w:t>
      </w:r>
      <w:r w:rsidR="00316738" w:rsidRPr="00857CDA">
        <w:rPr>
          <w:lang w:val="ro-RO"/>
        </w:rPr>
        <w:t xml:space="preserve"> </w:t>
      </w:r>
      <w:r w:rsidR="00C05DE4" w:rsidRPr="00857CDA">
        <w:rPr>
          <w:lang w:val="ro-RO"/>
        </w:rPr>
        <w:t>pile</w:t>
      </w:r>
      <w:r w:rsidR="00FA5B90" w:rsidRPr="00857CDA">
        <w:rPr>
          <w:lang w:val="ro-RO"/>
        </w:rPr>
        <w:t>lor</w:t>
      </w:r>
      <w:r w:rsidR="00C05DE4" w:rsidRPr="00857CDA">
        <w:rPr>
          <w:lang w:val="ro-RO"/>
        </w:rPr>
        <w:t xml:space="preserve"> </w:t>
      </w:r>
      <w:r w:rsidR="00FA5B90" w:rsidRPr="00857CDA">
        <w:rPr>
          <w:lang w:val="ro-RO"/>
        </w:rPr>
        <w:t>sa</w:t>
      </w:r>
      <w:r w:rsidR="00C05DE4" w:rsidRPr="00857CDA">
        <w:rPr>
          <w:lang w:val="ro-RO"/>
        </w:rPr>
        <w:t>u bateri</w:t>
      </w:r>
      <w:r w:rsidR="00FA5B90" w:rsidRPr="00857CDA">
        <w:rPr>
          <w:lang w:val="ro-RO"/>
        </w:rPr>
        <w:t>ilor</w:t>
      </w:r>
      <w:r w:rsidR="00C05DE4" w:rsidRPr="00857CDA">
        <w:rPr>
          <w:lang w:val="ro-RO"/>
        </w:rPr>
        <w:t xml:space="preserve"> </w:t>
      </w:r>
      <w:r w:rsidR="00FA5B90" w:rsidRPr="00857CDA">
        <w:rPr>
          <w:lang w:val="ro-RO"/>
        </w:rPr>
        <w:t>c</w:t>
      </w:r>
      <w:r w:rsidR="00C05DE4" w:rsidRPr="00857CDA">
        <w:rPr>
          <w:lang w:val="ro-RO"/>
        </w:rPr>
        <w:t>u litiu</w:t>
      </w:r>
      <w:r w:rsidR="00464701" w:rsidRPr="00857CDA">
        <w:rPr>
          <w:lang w:val="ro-RO"/>
        </w:rPr>
        <w:t xml:space="preserve"> </w:t>
      </w:r>
      <w:r w:rsidR="00FA5B90" w:rsidRPr="00857CDA">
        <w:rPr>
          <w:lang w:val="ro-RO"/>
        </w:rPr>
        <w:t>deteriorate</w:t>
      </w:r>
      <w:r w:rsidR="00C05DE4" w:rsidRPr="00857CDA">
        <w:rPr>
          <w:lang w:val="ro-RO"/>
        </w:rPr>
        <w:t xml:space="preserve"> con</w:t>
      </w:r>
      <w:r w:rsidR="00FA5B90" w:rsidRPr="00857CDA">
        <w:rPr>
          <w:lang w:val="ro-RO"/>
        </w:rPr>
        <w:t>ținute în</w:t>
      </w:r>
      <w:r w:rsidR="00902C44" w:rsidRPr="00857CDA">
        <w:rPr>
          <w:lang w:val="ro-RO"/>
        </w:rPr>
        <w:t xml:space="preserve"> </w:t>
      </w:r>
      <w:r w:rsidR="00C05DE4" w:rsidRPr="00857CDA">
        <w:rPr>
          <w:lang w:val="ro-RO"/>
        </w:rPr>
        <w:t>v</w:t>
      </w:r>
      <w:r w:rsidR="00FA5B90" w:rsidRPr="00857CDA">
        <w:rPr>
          <w:lang w:val="ro-RO"/>
        </w:rPr>
        <w:t>e</w:t>
      </w:r>
      <w:r w:rsidR="00C05DE4" w:rsidRPr="00857CDA">
        <w:rPr>
          <w:lang w:val="ro-RO"/>
        </w:rPr>
        <w:t>hicule, mot</w:t>
      </w:r>
      <w:r w:rsidR="00FA5B90" w:rsidRPr="00857CDA">
        <w:rPr>
          <w:lang w:val="ro-RO"/>
        </w:rPr>
        <w:t>oare</w:t>
      </w:r>
      <w:r w:rsidR="00C05DE4" w:rsidRPr="00857CDA">
        <w:rPr>
          <w:lang w:val="ro-RO"/>
        </w:rPr>
        <w:t xml:space="preserve">, </w:t>
      </w:r>
      <w:r w:rsidR="00FA5B90" w:rsidRPr="00857CDA">
        <w:rPr>
          <w:lang w:val="ro-RO"/>
        </w:rPr>
        <w:t>utilaje sa</w:t>
      </w:r>
      <w:r w:rsidR="00C05DE4" w:rsidRPr="00857CDA">
        <w:rPr>
          <w:lang w:val="ro-RO"/>
        </w:rPr>
        <w:t>u ob</w:t>
      </w:r>
      <w:r w:rsidR="00FA5B90" w:rsidRPr="00857CDA">
        <w:rPr>
          <w:lang w:val="ro-RO"/>
        </w:rPr>
        <w:t>i</w:t>
      </w:r>
      <w:r w:rsidR="00C05DE4" w:rsidRPr="00857CDA">
        <w:rPr>
          <w:lang w:val="ro-RO"/>
        </w:rPr>
        <w:t>e</w:t>
      </w:r>
      <w:r w:rsidR="006E62B3" w:rsidRPr="00857CDA">
        <w:rPr>
          <w:lang w:val="ro-RO"/>
        </w:rPr>
        <w:t>c</w:t>
      </w:r>
      <w:r w:rsidR="00C05DE4" w:rsidRPr="00857CDA">
        <w:rPr>
          <w:lang w:val="ro-RO"/>
        </w:rPr>
        <w:t>t</w:t>
      </w:r>
      <w:r w:rsidR="00FA5B90" w:rsidRPr="00857CDA">
        <w:rPr>
          <w:lang w:val="ro-RO"/>
        </w:rPr>
        <w:t>e</w:t>
      </w:r>
      <w:r w:rsidR="00C05DE4" w:rsidRPr="00857CDA">
        <w:rPr>
          <w:lang w:val="ro-RO"/>
        </w:rPr>
        <w:t>.</w:t>
      </w:r>
      <w:r w:rsidR="00660131" w:rsidRPr="00857CDA">
        <w:rPr>
          <w:lang w:val="ro-RO"/>
        </w:rPr>
        <w:t>”</w:t>
      </w:r>
      <w:r w:rsidR="00464701" w:rsidRPr="00857CDA">
        <w:rPr>
          <w:lang w:val="ro-RO"/>
        </w:rPr>
        <w:t>.</w:t>
      </w:r>
    </w:p>
    <w:p w:rsidR="00464701" w:rsidRPr="00857CDA" w:rsidRDefault="0043120D" w:rsidP="00464701">
      <w:pPr>
        <w:pStyle w:val="SingleTxtG"/>
        <w:rPr>
          <w:lang w:val="ro-RO"/>
        </w:rPr>
      </w:pPr>
      <w:r w:rsidRPr="00857CDA">
        <w:rPr>
          <w:lang w:val="ro-RO"/>
        </w:rPr>
        <w:t>Dispoziția specială</w:t>
      </w:r>
      <w:r w:rsidR="00464701" w:rsidRPr="00857CDA">
        <w:rPr>
          <w:lang w:val="ro-RO"/>
        </w:rPr>
        <w:t xml:space="preserve"> 667</w:t>
      </w:r>
      <w:r w:rsidR="00C05DE4" w:rsidRPr="00857CDA">
        <w:rPr>
          <w:lang w:val="ro-RO"/>
        </w:rPr>
        <w:t xml:space="preserve"> </w:t>
      </w:r>
      <w:r w:rsidR="00B67826" w:rsidRPr="00857CDA">
        <w:rPr>
          <w:lang w:val="ro-RO"/>
        </w:rPr>
        <w:tab/>
        <w:t xml:space="preserve">La alineatele </w:t>
      </w:r>
      <w:r w:rsidR="00464701" w:rsidRPr="00857CDA">
        <w:rPr>
          <w:lang w:val="ro-RO"/>
        </w:rPr>
        <w:t>a)</w:t>
      </w:r>
      <w:r w:rsidR="004C27AD" w:rsidRPr="00857CDA">
        <w:rPr>
          <w:lang w:val="ro-RO"/>
        </w:rPr>
        <w:t xml:space="preserve"> și </w:t>
      </w:r>
      <w:r w:rsidR="00464701" w:rsidRPr="00857CDA">
        <w:rPr>
          <w:lang w:val="ro-RO"/>
        </w:rPr>
        <w:t>b)</w:t>
      </w:r>
      <w:r w:rsidR="00464701" w:rsidRPr="00857CDA">
        <w:rPr>
          <w:lang w:val="ro-RO"/>
        </w:rPr>
        <w:tab/>
      </w:r>
      <w:r w:rsidR="00B67826" w:rsidRPr="00857CDA">
        <w:rPr>
          <w:lang w:val="ro-RO"/>
        </w:rPr>
        <w:t>s</w:t>
      </w:r>
      <w:r w:rsidR="00902C44" w:rsidRPr="00857CDA">
        <w:rPr>
          <w:lang w:val="ro-RO"/>
        </w:rPr>
        <w:t>e modifică</w:t>
      </w:r>
      <w:r w:rsidR="00464701" w:rsidRPr="00857CDA">
        <w:rPr>
          <w:lang w:val="ro-RO"/>
        </w:rPr>
        <w:t xml:space="preserve"> </w:t>
      </w:r>
      <w:r w:rsidR="00CD52C1" w:rsidRPr="00857CDA">
        <w:rPr>
          <w:lang w:val="ro-RO"/>
        </w:rPr>
        <w:t>„</w:t>
      </w:r>
      <w:r w:rsidR="00B67826" w:rsidRPr="00857CDA">
        <w:rPr>
          <w:lang w:val="ro-RO"/>
        </w:rPr>
        <w:t>Prescripțiile de la 2.2.9.1.7</w:t>
      </w:r>
      <w:r w:rsidR="00660131" w:rsidRPr="00857CDA">
        <w:rPr>
          <w:lang w:val="ro-RO"/>
        </w:rPr>
        <w:t>”</w:t>
      </w:r>
      <w:r w:rsidR="00902C44" w:rsidRPr="00857CDA">
        <w:rPr>
          <w:lang w:val="ro-RO"/>
        </w:rPr>
        <w:t xml:space="preserve"> cu </w:t>
      </w:r>
      <w:r w:rsidR="00CD52C1" w:rsidRPr="00857CDA">
        <w:rPr>
          <w:lang w:val="ro-RO"/>
        </w:rPr>
        <w:t>„</w:t>
      </w:r>
      <w:r w:rsidR="00B67826" w:rsidRPr="00857CDA">
        <w:rPr>
          <w:lang w:val="ro-RO"/>
        </w:rPr>
        <w:t>Dispozițiile de la</w:t>
      </w:r>
      <w:r w:rsidR="00C05DE4" w:rsidRPr="00857CDA">
        <w:rPr>
          <w:lang w:val="ro-RO"/>
        </w:rPr>
        <w:t xml:space="preserve"> </w:t>
      </w:r>
      <w:r w:rsidR="00464701" w:rsidRPr="00857CDA">
        <w:rPr>
          <w:lang w:val="ro-RO"/>
        </w:rPr>
        <w:t>2.2.9.1.7</w:t>
      </w:r>
      <w:r w:rsidR="00660131" w:rsidRPr="00857CDA">
        <w:rPr>
          <w:lang w:val="ro-RO"/>
        </w:rPr>
        <w:t>”</w:t>
      </w:r>
      <w:r w:rsidR="00C05DE4" w:rsidRPr="00857CDA">
        <w:rPr>
          <w:lang w:val="ro-RO"/>
        </w:rPr>
        <w:t>.</w:t>
      </w:r>
    </w:p>
    <w:p w:rsidR="00196C06" w:rsidRPr="00857CDA" w:rsidRDefault="00E15E4D" w:rsidP="00E15E4D">
      <w:pPr>
        <w:pStyle w:val="SingleTxtG"/>
        <w:tabs>
          <w:tab w:val="left" w:pos="2268"/>
        </w:tabs>
        <w:rPr>
          <w:iCs/>
          <w:lang w:val="ro-RO"/>
        </w:rPr>
      </w:pPr>
      <w:r w:rsidRPr="00857CDA">
        <w:rPr>
          <w:iCs/>
          <w:lang w:val="ro-RO"/>
        </w:rPr>
        <w:t>3.3.1</w:t>
      </w:r>
      <w:r w:rsidR="009F4509" w:rsidRPr="00857CDA">
        <w:rPr>
          <w:iCs/>
          <w:lang w:val="ro-RO"/>
        </w:rPr>
        <w:tab/>
      </w:r>
      <w:r w:rsidR="00902C44" w:rsidRPr="00857CDA">
        <w:rPr>
          <w:iCs/>
          <w:lang w:val="ro-RO"/>
        </w:rPr>
        <w:t>Se adaugă</w:t>
      </w:r>
      <w:r w:rsidR="00196C06" w:rsidRPr="00857CDA">
        <w:rPr>
          <w:iCs/>
          <w:lang w:val="ro-RO"/>
        </w:rPr>
        <w:t xml:space="preserve"> </w:t>
      </w:r>
      <w:r w:rsidR="006A1ED1" w:rsidRPr="00857CDA">
        <w:rPr>
          <w:iCs/>
          <w:lang w:val="ro-RO"/>
        </w:rPr>
        <w:t>noi</w:t>
      </w:r>
      <w:r w:rsidR="00196C06" w:rsidRPr="00857CDA">
        <w:rPr>
          <w:iCs/>
          <w:lang w:val="ro-RO"/>
        </w:rPr>
        <w:t xml:space="preserve"> </w:t>
      </w:r>
      <w:r w:rsidR="006A1ED1" w:rsidRPr="00857CDA">
        <w:rPr>
          <w:iCs/>
          <w:lang w:val="ro-RO"/>
        </w:rPr>
        <w:t>dispoziții speciale</w:t>
      </w:r>
      <w:r w:rsidR="00B67826" w:rsidRPr="00857CDA">
        <w:rPr>
          <w:iCs/>
          <w:lang w:val="ro-RO"/>
        </w:rPr>
        <w:t>, după cum urmează</w:t>
      </w:r>
      <w:r w:rsidR="00091658" w:rsidRPr="00857CDA">
        <w:rPr>
          <w:lang w:val="ro-RO"/>
        </w:rPr>
        <w:t>:</w:t>
      </w:r>
    </w:p>
    <w:p w:rsidR="00FC7059" w:rsidRPr="00857CDA" w:rsidRDefault="00CD52C1" w:rsidP="00834CEF">
      <w:pPr>
        <w:pStyle w:val="SingleTxtG"/>
        <w:rPr>
          <w:lang w:val="ro-RO"/>
        </w:rPr>
      </w:pPr>
      <w:r w:rsidRPr="00857CDA">
        <w:rPr>
          <w:lang w:val="ro-RO"/>
        </w:rPr>
        <w:t>„</w:t>
      </w:r>
      <w:r w:rsidR="004C4B87" w:rsidRPr="00857CDA">
        <w:rPr>
          <w:lang w:val="ro-RO"/>
        </w:rPr>
        <w:t>193</w:t>
      </w:r>
      <w:r w:rsidR="004C4B87" w:rsidRPr="00857CDA">
        <w:rPr>
          <w:lang w:val="ro-RO"/>
        </w:rPr>
        <w:tab/>
      </w:r>
      <w:r w:rsidR="002071BB" w:rsidRPr="00857CDA">
        <w:rPr>
          <w:lang w:val="ro-RO"/>
        </w:rPr>
        <w:t xml:space="preserve">Această secțiune este aplicabilă numai pentru îngrășămintele </w:t>
      </w:r>
      <w:r w:rsidR="00834CEF" w:rsidRPr="00857CDA">
        <w:rPr>
          <w:lang w:val="ro-RO"/>
        </w:rPr>
        <w:t>pe bază de</w:t>
      </w:r>
      <w:r w:rsidR="002071BB" w:rsidRPr="00857CDA">
        <w:rPr>
          <w:lang w:val="ro-RO"/>
        </w:rPr>
        <w:t xml:space="preserve"> azotat</w:t>
      </w:r>
      <w:r w:rsidR="00834CEF" w:rsidRPr="00857CDA">
        <w:rPr>
          <w:lang w:val="ro-RO"/>
        </w:rPr>
        <w:t xml:space="preserve"> (nitrat)</w:t>
      </w:r>
      <w:r w:rsidR="002071BB" w:rsidRPr="00857CDA">
        <w:rPr>
          <w:lang w:val="ro-RO"/>
        </w:rPr>
        <w:t xml:space="preserve"> de amoniu. Acestea trebuie clasificate în conformitate cu procedura definită în Manualul de </w:t>
      </w:r>
      <w:r w:rsidR="00834CEF" w:rsidRPr="00857CDA">
        <w:rPr>
          <w:lang w:val="ro-RO"/>
        </w:rPr>
        <w:t xml:space="preserve">Încercări </w:t>
      </w:r>
      <w:r w:rsidR="002071BB" w:rsidRPr="00857CDA">
        <w:rPr>
          <w:lang w:val="ro-RO"/>
        </w:rPr>
        <w:t xml:space="preserve">și </w:t>
      </w:r>
      <w:r w:rsidR="00834CEF" w:rsidRPr="00857CDA">
        <w:rPr>
          <w:lang w:val="ro-RO"/>
        </w:rPr>
        <w:t>Criterii</w:t>
      </w:r>
      <w:r w:rsidR="002071BB" w:rsidRPr="00857CDA">
        <w:rPr>
          <w:lang w:val="ro-RO"/>
        </w:rPr>
        <w:t xml:space="preserve">, </w:t>
      </w:r>
      <w:r w:rsidR="00834CEF" w:rsidRPr="00857CDA">
        <w:rPr>
          <w:lang w:val="ro-RO"/>
        </w:rPr>
        <w:t xml:space="preserve">Partea </w:t>
      </w:r>
      <w:r w:rsidR="002071BB" w:rsidRPr="00857CDA">
        <w:rPr>
          <w:lang w:val="ro-RO"/>
        </w:rPr>
        <w:t xml:space="preserve">III, </w:t>
      </w:r>
      <w:r w:rsidR="00834CEF" w:rsidRPr="00857CDA">
        <w:rPr>
          <w:lang w:val="ro-RO"/>
        </w:rPr>
        <w:t xml:space="preserve">Secțiunea </w:t>
      </w:r>
      <w:r w:rsidR="002071BB" w:rsidRPr="00857CDA">
        <w:rPr>
          <w:lang w:val="ro-RO"/>
        </w:rPr>
        <w:t xml:space="preserve">39. Îngrășămintele care îndeplinesc criteriile acestui număr ONU nu </w:t>
      </w:r>
      <w:r w:rsidR="00834CEF" w:rsidRPr="00857CDA">
        <w:rPr>
          <w:lang w:val="ro-RO"/>
        </w:rPr>
        <w:t>fac obiectul</w:t>
      </w:r>
      <w:r w:rsidR="002071BB" w:rsidRPr="00857CDA">
        <w:rPr>
          <w:lang w:val="ro-RO"/>
        </w:rPr>
        <w:t xml:space="preserve"> </w:t>
      </w:r>
      <w:r w:rsidR="00834CEF" w:rsidRPr="00857CDA">
        <w:rPr>
          <w:lang w:val="ro-RO"/>
        </w:rPr>
        <w:t>prescripțiilor ADR</w:t>
      </w:r>
      <w:r w:rsidR="004C4B87" w:rsidRPr="00857CDA">
        <w:rPr>
          <w:lang w:val="ro-RO"/>
        </w:rPr>
        <w:t>.</w:t>
      </w:r>
      <w:r w:rsidR="00660131" w:rsidRPr="00857CDA">
        <w:rPr>
          <w:lang w:val="ro-RO"/>
        </w:rPr>
        <w:t>”</w:t>
      </w:r>
      <w:r w:rsidR="004C4B87" w:rsidRPr="00857CDA">
        <w:rPr>
          <w:lang w:val="ro-RO"/>
        </w:rPr>
        <w:t>.</w:t>
      </w:r>
    </w:p>
    <w:p w:rsidR="009D160E" w:rsidRPr="00857CDA" w:rsidRDefault="00CD52C1" w:rsidP="004C4B87">
      <w:pPr>
        <w:pStyle w:val="SingleTxtG"/>
        <w:rPr>
          <w:iCs/>
          <w:lang w:val="ro-RO"/>
        </w:rPr>
      </w:pPr>
      <w:r w:rsidRPr="00857CDA">
        <w:rPr>
          <w:lang w:val="ro-RO"/>
        </w:rPr>
        <w:t>„</w:t>
      </w:r>
      <w:r w:rsidR="004C4B87" w:rsidRPr="00857CDA">
        <w:rPr>
          <w:iCs/>
          <w:lang w:val="ro-RO"/>
        </w:rPr>
        <w:t>301</w:t>
      </w:r>
      <w:r w:rsidR="004C4B87" w:rsidRPr="00857CDA">
        <w:rPr>
          <w:iCs/>
          <w:lang w:val="ro-RO"/>
        </w:rPr>
        <w:tab/>
      </w:r>
      <w:r w:rsidR="009D160E" w:rsidRPr="00857CDA">
        <w:rPr>
          <w:iCs/>
          <w:lang w:val="ro-RO"/>
        </w:rPr>
        <w:t>Ace</w:t>
      </w:r>
      <w:r w:rsidR="008A130C" w:rsidRPr="00857CDA">
        <w:rPr>
          <w:iCs/>
          <w:lang w:val="ro-RO"/>
        </w:rPr>
        <w:t>a</w:t>
      </w:r>
      <w:r w:rsidR="009D160E" w:rsidRPr="00857CDA">
        <w:rPr>
          <w:iCs/>
          <w:lang w:val="ro-RO"/>
        </w:rPr>
        <w:t>st</w:t>
      </w:r>
      <w:r w:rsidR="008A130C" w:rsidRPr="00857CDA">
        <w:rPr>
          <w:iCs/>
          <w:lang w:val="ro-RO"/>
        </w:rPr>
        <w:t>ă rubrică</w:t>
      </w:r>
      <w:r w:rsidR="009D160E" w:rsidRPr="00857CDA">
        <w:rPr>
          <w:iCs/>
          <w:lang w:val="ro-RO"/>
        </w:rPr>
        <w:t xml:space="preserve"> este aplicabilă numai </w:t>
      </w:r>
      <w:r w:rsidR="008A130C" w:rsidRPr="00857CDA">
        <w:rPr>
          <w:iCs/>
          <w:lang w:val="ro-RO"/>
        </w:rPr>
        <w:t>utilajelor</w:t>
      </w:r>
      <w:r w:rsidR="009D160E" w:rsidRPr="00857CDA">
        <w:rPr>
          <w:iCs/>
          <w:lang w:val="ro-RO"/>
        </w:rPr>
        <w:t xml:space="preserve"> sau </w:t>
      </w:r>
      <w:r w:rsidR="008A130C" w:rsidRPr="00857CDA">
        <w:rPr>
          <w:iCs/>
          <w:lang w:val="ro-RO"/>
        </w:rPr>
        <w:t>aparatelor</w:t>
      </w:r>
      <w:r w:rsidR="009D160E" w:rsidRPr="00857CDA">
        <w:rPr>
          <w:iCs/>
          <w:lang w:val="ro-RO"/>
        </w:rPr>
        <w:t xml:space="preserve"> care conțin mărfuri periculoase </w:t>
      </w:r>
      <w:r w:rsidR="008A130C" w:rsidRPr="00857CDA">
        <w:rPr>
          <w:iCs/>
          <w:lang w:val="ro-RO"/>
        </w:rPr>
        <w:t>ca</w:t>
      </w:r>
      <w:r w:rsidR="009D160E" w:rsidRPr="00857CDA">
        <w:rPr>
          <w:iCs/>
          <w:lang w:val="ro-RO"/>
        </w:rPr>
        <w:t xml:space="preserve"> reziduuri sau ca element integrat. </w:t>
      </w:r>
      <w:r w:rsidR="008A130C" w:rsidRPr="00857CDA">
        <w:rPr>
          <w:iCs/>
          <w:lang w:val="ro-RO"/>
        </w:rPr>
        <w:t>Această rubrică n</w:t>
      </w:r>
      <w:r w:rsidR="009D160E" w:rsidRPr="00857CDA">
        <w:rPr>
          <w:iCs/>
          <w:lang w:val="ro-RO"/>
        </w:rPr>
        <w:t xml:space="preserve">u se utilizează pentru </w:t>
      </w:r>
      <w:r w:rsidR="008A130C" w:rsidRPr="00857CDA">
        <w:rPr>
          <w:iCs/>
          <w:lang w:val="ro-RO"/>
        </w:rPr>
        <w:t>utilajele</w:t>
      </w:r>
      <w:r w:rsidR="009D160E" w:rsidRPr="00857CDA">
        <w:rPr>
          <w:iCs/>
          <w:lang w:val="ro-RO"/>
        </w:rPr>
        <w:t xml:space="preserve"> sau aparatele </w:t>
      </w:r>
      <w:r w:rsidR="009D160E" w:rsidRPr="00857CDA">
        <w:rPr>
          <w:iCs/>
          <w:u w:val="single"/>
          <w:lang w:val="ro-RO"/>
        </w:rPr>
        <w:t xml:space="preserve">care </w:t>
      </w:r>
      <w:r w:rsidR="008A130C" w:rsidRPr="00857CDA">
        <w:rPr>
          <w:iCs/>
          <w:u w:val="single"/>
          <w:lang w:val="ro-RO"/>
        </w:rPr>
        <w:t>fac deja obiectul unei</w:t>
      </w:r>
      <w:r w:rsidR="009D160E" w:rsidRPr="00857CDA">
        <w:rPr>
          <w:iCs/>
          <w:u w:val="single"/>
          <w:lang w:val="ro-RO"/>
        </w:rPr>
        <w:t xml:space="preserve"> denumir</w:t>
      </w:r>
      <w:r w:rsidR="008A130C" w:rsidRPr="00857CDA">
        <w:rPr>
          <w:iCs/>
          <w:u w:val="single"/>
          <w:lang w:val="ro-RO"/>
        </w:rPr>
        <w:t>i</w:t>
      </w:r>
      <w:r w:rsidR="009D160E" w:rsidRPr="00857CDA">
        <w:rPr>
          <w:iCs/>
          <w:u w:val="single"/>
          <w:lang w:val="ro-RO"/>
        </w:rPr>
        <w:t xml:space="preserve"> oficial</w:t>
      </w:r>
      <w:r w:rsidR="008A130C" w:rsidRPr="00857CDA">
        <w:rPr>
          <w:iCs/>
          <w:u w:val="single"/>
          <w:lang w:val="ro-RO"/>
        </w:rPr>
        <w:t>e</w:t>
      </w:r>
      <w:r w:rsidR="009D160E" w:rsidRPr="00857CDA">
        <w:rPr>
          <w:iCs/>
          <w:u w:val="single"/>
          <w:lang w:val="ro-RO"/>
        </w:rPr>
        <w:t xml:space="preserve"> de transport</w:t>
      </w:r>
      <w:r w:rsidR="008A130C" w:rsidRPr="00857CDA">
        <w:rPr>
          <w:iCs/>
          <w:lang w:val="ro-RO"/>
        </w:rPr>
        <w:t xml:space="preserve"> în t</w:t>
      </w:r>
      <w:r w:rsidR="009D160E" w:rsidRPr="00857CDA">
        <w:rPr>
          <w:iCs/>
          <w:lang w:val="ro-RO"/>
        </w:rPr>
        <w:t xml:space="preserve">abelul A din Capitolul 3.2. </w:t>
      </w:r>
      <w:r w:rsidR="008A130C" w:rsidRPr="00857CDA">
        <w:rPr>
          <w:iCs/>
          <w:lang w:val="ro-RO"/>
        </w:rPr>
        <w:t>Utilajele</w:t>
      </w:r>
      <w:r w:rsidR="009D160E" w:rsidRPr="00857CDA">
        <w:rPr>
          <w:iCs/>
          <w:lang w:val="ro-RO"/>
        </w:rPr>
        <w:t xml:space="preserve"> și </w:t>
      </w:r>
      <w:r w:rsidR="008A130C" w:rsidRPr="00857CDA">
        <w:rPr>
          <w:iCs/>
          <w:lang w:val="ro-RO"/>
        </w:rPr>
        <w:t>aparatele</w:t>
      </w:r>
      <w:r w:rsidR="009D160E" w:rsidRPr="00857CDA">
        <w:rPr>
          <w:iCs/>
          <w:lang w:val="ro-RO"/>
        </w:rPr>
        <w:t xml:space="preserve"> transportate la această rubrică trebuie să conțină numai mărfuri periculoase a căror transport este autorizat în conformitate cu</w:t>
      </w:r>
      <w:r w:rsidR="008A130C" w:rsidRPr="00857CDA">
        <w:rPr>
          <w:iCs/>
          <w:lang w:val="ro-RO"/>
        </w:rPr>
        <w:t xml:space="preserve"> dispozițiile capitolului 3.4. Cantitatea </w:t>
      </w:r>
      <w:r w:rsidR="009D160E" w:rsidRPr="00857CDA">
        <w:rPr>
          <w:iCs/>
          <w:lang w:val="ro-RO"/>
        </w:rPr>
        <w:t xml:space="preserve">de </w:t>
      </w:r>
      <w:r w:rsidR="008A130C" w:rsidRPr="00857CDA">
        <w:rPr>
          <w:iCs/>
          <w:lang w:val="ro-RO"/>
        </w:rPr>
        <w:t>mărfuri periculoase</w:t>
      </w:r>
      <w:r w:rsidR="009D160E" w:rsidRPr="00857CDA">
        <w:rPr>
          <w:iCs/>
          <w:lang w:val="ro-RO"/>
        </w:rPr>
        <w:t xml:space="preserve"> conținute în </w:t>
      </w:r>
      <w:r w:rsidR="008A130C" w:rsidRPr="00857CDA">
        <w:rPr>
          <w:iCs/>
          <w:lang w:val="ro-RO"/>
        </w:rPr>
        <w:t>utilaje</w:t>
      </w:r>
      <w:r w:rsidR="009D160E" w:rsidRPr="00857CDA">
        <w:rPr>
          <w:iCs/>
          <w:lang w:val="ro-RO"/>
        </w:rPr>
        <w:t xml:space="preserve"> sau aparate nu trebuie să depășească cantitatea indicată pentru fiecare dintre ele în coloana (7a) a tabelului A din capitolul 3.2. În cazul în care </w:t>
      </w:r>
      <w:r w:rsidR="008A130C" w:rsidRPr="00857CDA">
        <w:rPr>
          <w:iCs/>
          <w:lang w:val="ro-RO"/>
        </w:rPr>
        <w:t>utilajul</w:t>
      </w:r>
      <w:r w:rsidR="009D160E" w:rsidRPr="00857CDA">
        <w:rPr>
          <w:iCs/>
          <w:lang w:val="ro-RO"/>
        </w:rPr>
        <w:t xml:space="preserve"> sau aparatul conține mai mult de o </w:t>
      </w:r>
      <w:r w:rsidR="008A130C" w:rsidRPr="00857CDA">
        <w:rPr>
          <w:iCs/>
          <w:lang w:val="ro-RO"/>
        </w:rPr>
        <w:t>m</w:t>
      </w:r>
      <w:r w:rsidR="009D160E" w:rsidRPr="00857CDA">
        <w:rPr>
          <w:iCs/>
          <w:lang w:val="ro-RO"/>
        </w:rPr>
        <w:t>arf</w:t>
      </w:r>
      <w:r w:rsidR="008A130C" w:rsidRPr="00857CDA">
        <w:rPr>
          <w:iCs/>
          <w:lang w:val="ro-RO"/>
        </w:rPr>
        <w:t>ă</w:t>
      </w:r>
      <w:r w:rsidR="009D160E" w:rsidRPr="00857CDA">
        <w:rPr>
          <w:iCs/>
          <w:lang w:val="ro-RO"/>
        </w:rPr>
        <w:t xml:space="preserve"> periculoas</w:t>
      </w:r>
      <w:r w:rsidR="008A130C" w:rsidRPr="00857CDA">
        <w:rPr>
          <w:iCs/>
          <w:lang w:val="ro-RO"/>
        </w:rPr>
        <w:t>ă</w:t>
      </w:r>
      <w:r w:rsidR="009D160E" w:rsidRPr="00857CDA">
        <w:rPr>
          <w:iCs/>
          <w:lang w:val="ro-RO"/>
        </w:rPr>
        <w:t xml:space="preserve">, </w:t>
      </w:r>
      <w:r w:rsidR="00BD222F" w:rsidRPr="00857CDA">
        <w:rPr>
          <w:iCs/>
          <w:lang w:val="ro-RO"/>
        </w:rPr>
        <w:t>mărfurile</w:t>
      </w:r>
      <w:r w:rsidR="009D160E" w:rsidRPr="00857CDA">
        <w:rPr>
          <w:iCs/>
          <w:lang w:val="ro-RO"/>
        </w:rPr>
        <w:t xml:space="preserve"> trebuie să fie </w:t>
      </w:r>
      <w:r w:rsidR="00D34ED8" w:rsidRPr="00857CDA">
        <w:rPr>
          <w:iCs/>
          <w:lang w:val="ro-RO"/>
        </w:rPr>
        <w:t>separate astfel încât să nu</w:t>
      </w:r>
      <w:r w:rsidR="009D160E" w:rsidRPr="00857CDA">
        <w:rPr>
          <w:iCs/>
          <w:lang w:val="ro-RO"/>
        </w:rPr>
        <w:t xml:space="preserve"> </w:t>
      </w:r>
      <w:r w:rsidR="00D34ED8" w:rsidRPr="00857CDA">
        <w:rPr>
          <w:iCs/>
          <w:lang w:val="ro-RO"/>
        </w:rPr>
        <w:t xml:space="preserve">poată </w:t>
      </w:r>
      <w:r w:rsidR="009D160E" w:rsidRPr="00857CDA">
        <w:rPr>
          <w:iCs/>
          <w:lang w:val="ro-RO"/>
        </w:rPr>
        <w:t>reacțion</w:t>
      </w:r>
      <w:r w:rsidR="00D34ED8" w:rsidRPr="00857CDA">
        <w:rPr>
          <w:iCs/>
          <w:lang w:val="ro-RO"/>
        </w:rPr>
        <w:t>a</w:t>
      </w:r>
      <w:r w:rsidR="009D160E" w:rsidRPr="00857CDA">
        <w:rPr>
          <w:iCs/>
          <w:lang w:val="ro-RO"/>
        </w:rPr>
        <w:t xml:space="preserve"> peric</w:t>
      </w:r>
      <w:r w:rsidR="00D34ED8" w:rsidRPr="00857CDA">
        <w:rPr>
          <w:iCs/>
          <w:lang w:val="ro-RO"/>
        </w:rPr>
        <w:t>u</w:t>
      </w:r>
      <w:r w:rsidR="009D160E" w:rsidRPr="00857CDA">
        <w:rPr>
          <w:iCs/>
          <w:lang w:val="ro-RO"/>
        </w:rPr>
        <w:t>l</w:t>
      </w:r>
      <w:r w:rsidR="00D34ED8" w:rsidRPr="00857CDA">
        <w:rPr>
          <w:iCs/>
          <w:lang w:val="ro-RO"/>
        </w:rPr>
        <w:t>os</w:t>
      </w:r>
      <w:r w:rsidR="009D160E" w:rsidRPr="00857CDA">
        <w:rPr>
          <w:iCs/>
          <w:lang w:val="ro-RO"/>
        </w:rPr>
        <w:t xml:space="preserve"> în</w:t>
      </w:r>
      <w:r w:rsidR="00D34ED8" w:rsidRPr="00857CDA">
        <w:rPr>
          <w:iCs/>
          <w:lang w:val="ro-RO"/>
        </w:rPr>
        <w:t>tre ele în</w:t>
      </w:r>
      <w:r w:rsidR="009D160E" w:rsidRPr="00857CDA">
        <w:rPr>
          <w:iCs/>
          <w:lang w:val="ro-RO"/>
        </w:rPr>
        <w:t xml:space="preserve"> timpul transportului (</w:t>
      </w:r>
      <w:r w:rsidR="00D34ED8" w:rsidRPr="00857CDA">
        <w:rPr>
          <w:iCs/>
          <w:lang w:val="ro-RO"/>
        </w:rPr>
        <w:t>a se v</w:t>
      </w:r>
      <w:r w:rsidR="009D160E" w:rsidRPr="00857CDA">
        <w:rPr>
          <w:iCs/>
          <w:lang w:val="ro-RO"/>
        </w:rPr>
        <w:t>ede</w:t>
      </w:r>
      <w:r w:rsidR="00D34ED8" w:rsidRPr="00857CDA">
        <w:rPr>
          <w:iCs/>
          <w:lang w:val="ro-RO"/>
        </w:rPr>
        <w:t>a</w:t>
      </w:r>
      <w:r w:rsidR="009D160E" w:rsidRPr="00857CDA">
        <w:rPr>
          <w:iCs/>
          <w:lang w:val="ro-RO"/>
        </w:rPr>
        <w:t xml:space="preserve"> 4.1.1.6). În cazul în care </w:t>
      </w:r>
      <w:r w:rsidR="00D34ED8" w:rsidRPr="00857CDA">
        <w:rPr>
          <w:iCs/>
          <w:lang w:val="ro-RO"/>
        </w:rPr>
        <w:t xml:space="preserve">pentru mărfurile </w:t>
      </w:r>
      <w:r w:rsidR="009D160E" w:rsidRPr="00857CDA">
        <w:rPr>
          <w:iCs/>
          <w:lang w:val="ro-RO"/>
        </w:rPr>
        <w:t>peric</w:t>
      </w:r>
      <w:r w:rsidR="00D34ED8" w:rsidRPr="00857CDA">
        <w:rPr>
          <w:iCs/>
          <w:lang w:val="ro-RO"/>
        </w:rPr>
        <w:t>u</w:t>
      </w:r>
      <w:r w:rsidR="009D160E" w:rsidRPr="00857CDA">
        <w:rPr>
          <w:iCs/>
          <w:lang w:val="ro-RO"/>
        </w:rPr>
        <w:t>l</w:t>
      </w:r>
      <w:r w:rsidR="00D34ED8" w:rsidRPr="00857CDA">
        <w:rPr>
          <w:iCs/>
          <w:lang w:val="ro-RO"/>
        </w:rPr>
        <w:t>oase</w:t>
      </w:r>
      <w:r w:rsidR="009D160E" w:rsidRPr="00857CDA">
        <w:rPr>
          <w:iCs/>
          <w:lang w:val="ro-RO"/>
        </w:rPr>
        <w:t xml:space="preserve"> </w:t>
      </w:r>
      <w:r w:rsidR="00D34ED8" w:rsidRPr="00857CDA">
        <w:rPr>
          <w:iCs/>
          <w:lang w:val="ro-RO"/>
        </w:rPr>
        <w:t>lichide este prescrisă o anume</w:t>
      </w:r>
      <w:r w:rsidR="009D160E" w:rsidRPr="00857CDA">
        <w:rPr>
          <w:iCs/>
          <w:lang w:val="ro-RO"/>
        </w:rPr>
        <w:t xml:space="preserve"> orientare, trebuie să fie afișat</w:t>
      </w:r>
      <w:r w:rsidR="00D34ED8" w:rsidRPr="00857CDA">
        <w:rPr>
          <w:iCs/>
          <w:lang w:val="ro-RO"/>
        </w:rPr>
        <w:t>e</w:t>
      </w:r>
      <w:r w:rsidR="009D160E" w:rsidRPr="00857CDA">
        <w:rPr>
          <w:iCs/>
          <w:lang w:val="ro-RO"/>
        </w:rPr>
        <w:t xml:space="preserve"> </w:t>
      </w:r>
      <w:r w:rsidR="00D34ED8" w:rsidRPr="00857CDA">
        <w:rPr>
          <w:iCs/>
          <w:lang w:val="ro-RO"/>
        </w:rPr>
        <w:t xml:space="preserve">săgeți de orientare </w:t>
      </w:r>
      <w:r w:rsidR="009D160E" w:rsidRPr="00857CDA">
        <w:rPr>
          <w:iCs/>
          <w:lang w:val="ro-RO"/>
        </w:rPr>
        <w:t xml:space="preserve">pe cel puțin două </w:t>
      </w:r>
      <w:r w:rsidR="00D34ED8" w:rsidRPr="00857CDA">
        <w:rPr>
          <w:iCs/>
          <w:lang w:val="ro-RO"/>
        </w:rPr>
        <w:t>părți</w:t>
      </w:r>
      <w:r w:rsidR="009D160E" w:rsidRPr="00857CDA">
        <w:rPr>
          <w:iCs/>
          <w:lang w:val="ro-RO"/>
        </w:rPr>
        <w:t xml:space="preserve"> </w:t>
      </w:r>
      <w:r w:rsidR="00BD222F" w:rsidRPr="00857CDA">
        <w:rPr>
          <w:iCs/>
          <w:lang w:val="ro-RO"/>
        </w:rPr>
        <w:t>verticale</w:t>
      </w:r>
      <w:r w:rsidR="009D160E" w:rsidRPr="00857CDA">
        <w:rPr>
          <w:iCs/>
          <w:lang w:val="ro-RO"/>
        </w:rPr>
        <w:t xml:space="preserve"> opuse, </w:t>
      </w:r>
      <w:r w:rsidR="00D34ED8" w:rsidRPr="00857CDA">
        <w:rPr>
          <w:iCs/>
          <w:lang w:val="ro-RO"/>
        </w:rPr>
        <w:t xml:space="preserve">cu </w:t>
      </w:r>
      <w:r w:rsidR="009D160E" w:rsidRPr="00857CDA">
        <w:rPr>
          <w:iCs/>
          <w:lang w:val="ro-RO"/>
        </w:rPr>
        <w:t>vârfurile săgeți</w:t>
      </w:r>
      <w:r w:rsidR="00D34ED8" w:rsidRPr="00857CDA">
        <w:rPr>
          <w:iCs/>
          <w:lang w:val="ro-RO"/>
        </w:rPr>
        <w:t>lor</w:t>
      </w:r>
      <w:r w:rsidR="009D160E" w:rsidRPr="00857CDA">
        <w:rPr>
          <w:iCs/>
          <w:lang w:val="ro-RO"/>
        </w:rPr>
        <w:t xml:space="preserve"> îndreptate în sus, în conformitate cu 5.2.1.10.</w:t>
      </w:r>
    </w:p>
    <w:p w:rsidR="00D41E38" w:rsidRPr="00857CDA" w:rsidRDefault="006E5770" w:rsidP="004C4B87">
      <w:pPr>
        <w:pStyle w:val="SingleTxtG"/>
        <w:rPr>
          <w:iCs/>
          <w:highlight w:val="yellow"/>
          <w:lang w:val="ro-RO"/>
        </w:rPr>
      </w:pPr>
      <w:r w:rsidRPr="00857CDA">
        <w:rPr>
          <w:b/>
          <w:i/>
          <w:iCs/>
          <w:lang w:val="ro-RO"/>
        </w:rPr>
        <w:t>NOT</w:t>
      </w:r>
      <w:r w:rsidR="00B63CE8" w:rsidRPr="00857CDA">
        <w:rPr>
          <w:b/>
          <w:i/>
          <w:iCs/>
          <w:lang w:val="ro-RO"/>
        </w:rPr>
        <w:t>Ă</w:t>
      </w:r>
      <w:r w:rsidRPr="00857CDA">
        <w:rPr>
          <w:b/>
          <w:i/>
          <w:iCs/>
          <w:lang w:val="ro-RO"/>
        </w:rPr>
        <w:t>:</w:t>
      </w:r>
      <w:r w:rsidRPr="00857CDA">
        <w:rPr>
          <w:i/>
          <w:iCs/>
          <w:lang w:val="ro-RO"/>
        </w:rPr>
        <w:t xml:space="preserve"> </w:t>
      </w:r>
      <w:r w:rsidRPr="00857CDA">
        <w:rPr>
          <w:i/>
          <w:iCs/>
          <w:lang w:val="ro-RO"/>
        </w:rPr>
        <w:tab/>
      </w:r>
      <w:r w:rsidR="00902C44" w:rsidRPr="00857CDA">
        <w:rPr>
          <w:i/>
          <w:iCs/>
          <w:lang w:val="ro-RO"/>
        </w:rPr>
        <w:t xml:space="preserve">În </w:t>
      </w:r>
      <w:r w:rsidR="00BD222F" w:rsidRPr="00857CDA">
        <w:rPr>
          <w:i/>
          <w:iCs/>
          <w:lang w:val="ro-RO"/>
        </w:rPr>
        <w:t>ac</w:t>
      </w:r>
      <w:r w:rsidRPr="00857CDA">
        <w:rPr>
          <w:i/>
          <w:iCs/>
          <w:lang w:val="ro-RO"/>
        </w:rPr>
        <w:t>e</w:t>
      </w:r>
      <w:r w:rsidR="00BD222F" w:rsidRPr="00857CDA">
        <w:rPr>
          <w:i/>
          <w:iCs/>
          <w:lang w:val="ro-RO"/>
        </w:rPr>
        <w:t>as</w:t>
      </w:r>
      <w:r w:rsidRPr="00857CDA">
        <w:rPr>
          <w:i/>
          <w:iCs/>
          <w:lang w:val="ro-RO"/>
        </w:rPr>
        <w:t>t</w:t>
      </w:r>
      <w:r w:rsidR="00BD222F" w:rsidRPr="00857CDA">
        <w:rPr>
          <w:i/>
          <w:iCs/>
          <w:lang w:val="ro-RO"/>
        </w:rPr>
        <w:t>ă</w:t>
      </w:r>
      <w:r w:rsidRPr="00857CDA">
        <w:rPr>
          <w:i/>
          <w:iCs/>
          <w:lang w:val="ro-RO"/>
        </w:rPr>
        <w:t xml:space="preserve"> </w:t>
      </w:r>
      <w:r w:rsidR="00BD222F" w:rsidRPr="00857CDA">
        <w:rPr>
          <w:i/>
          <w:iCs/>
          <w:lang w:val="ro-RO"/>
        </w:rPr>
        <w:t>d</w:t>
      </w:r>
      <w:r w:rsidR="0043120D" w:rsidRPr="00857CDA">
        <w:rPr>
          <w:i/>
          <w:iCs/>
          <w:lang w:val="ro-RO"/>
        </w:rPr>
        <w:t>ispoziț</w:t>
      </w:r>
      <w:r w:rsidR="00BD222F" w:rsidRPr="00857CDA">
        <w:rPr>
          <w:i/>
          <w:iCs/>
          <w:lang w:val="ro-RO"/>
        </w:rPr>
        <w:t>ie</w:t>
      </w:r>
      <w:r w:rsidR="0043120D" w:rsidRPr="00857CDA">
        <w:rPr>
          <w:i/>
          <w:iCs/>
          <w:lang w:val="ro-RO"/>
        </w:rPr>
        <w:t xml:space="preserve"> specială</w:t>
      </w:r>
      <w:r w:rsidRPr="00857CDA">
        <w:rPr>
          <w:i/>
          <w:iCs/>
          <w:lang w:val="ro-RO"/>
        </w:rPr>
        <w:t xml:space="preserve">, </w:t>
      </w:r>
      <w:r w:rsidR="003241D0" w:rsidRPr="00857CDA">
        <w:rPr>
          <w:i/>
          <w:iCs/>
          <w:lang w:val="ro-RO"/>
        </w:rPr>
        <w:t xml:space="preserve">prin expresia </w:t>
      </w:r>
      <w:r w:rsidR="00660131" w:rsidRPr="00857CDA">
        <w:rPr>
          <w:i/>
          <w:iCs/>
          <w:lang w:val="ro-RO"/>
        </w:rPr>
        <w:t>“</w:t>
      </w:r>
      <w:r w:rsidR="00BD222F" w:rsidRPr="00857CDA">
        <w:rPr>
          <w:i/>
          <w:iCs/>
          <w:lang w:val="ro-RO"/>
        </w:rPr>
        <w:t>care fac deja obiectul unei denumiri oficiale de transport</w:t>
      </w:r>
      <w:r w:rsidR="00660131" w:rsidRPr="00857CDA">
        <w:rPr>
          <w:i/>
          <w:iCs/>
          <w:lang w:val="ro-RO"/>
        </w:rPr>
        <w:t>”</w:t>
      </w:r>
      <w:r w:rsidRPr="00857CDA">
        <w:rPr>
          <w:i/>
          <w:iCs/>
          <w:lang w:val="ro-RO"/>
        </w:rPr>
        <w:t xml:space="preserve"> n</w:t>
      </w:r>
      <w:r w:rsidR="00BD222F" w:rsidRPr="00857CDA">
        <w:rPr>
          <w:i/>
          <w:iCs/>
          <w:lang w:val="ro-RO"/>
        </w:rPr>
        <w:t xml:space="preserve">u </w:t>
      </w:r>
      <w:r w:rsidRPr="00857CDA">
        <w:rPr>
          <w:i/>
          <w:iCs/>
          <w:lang w:val="ro-RO"/>
        </w:rPr>
        <w:t>inclu</w:t>
      </w:r>
      <w:r w:rsidR="00BD222F" w:rsidRPr="00857CDA">
        <w:rPr>
          <w:i/>
          <w:iCs/>
          <w:lang w:val="ro-RO"/>
        </w:rPr>
        <w:t>de</w:t>
      </w:r>
      <w:r w:rsidRPr="00857CDA">
        <w:rPr>
          <w:i/>
          <w:iCs/>
          <w:lang w:val="ro-RO"/>
        </w:rPr>
        <w:t xml:space="preserve"> rubri</w:t>
      </w:r>
      <w:r w:rsidR="00BD222F" w:rsidRPr="00857CDA">
        <w:rPr>
          <w:i/>
          <w:iCs/>
          <w:lang w:val="ro-RO"/>
        </w:rPr>
        <w:t>cile</w:t>
      </w:r>
      <w:r w:rsidRPr="00857CDA">
        <w:rPr>
          <w:i/>
          <w:iCs/>
          <w:lang w:val="ro-RO"/>
        </w:rPr>
        <w:t xml:space="preserve"> </w:t>
      </w:r>
      <w:r w:rsidR="00FF0D3F" w:rsidRPr="00857CDA">
        <w:rPr>
          <w:i/>
          <w:iCs/>
          <w:lang w:val="ro-RO"/>
        </w:rPr>
        <w:t>sp</w:t>
      </w:r>
      <w:r w:rsidR="00BD222F" w:rsidRPr="00857CDA">
        <w:rPr>
          <w:i/>
          <w:iCs/>
          <w:lang w:val="ro-RO"/>
        </w:rPr>
        <w:t>e</w:t>
      </w:r>
      <w:r w:rsidR="00FF0D3F" w:rsidRPr="00857CDA">
        <w:rPr>
          <w:i/>
          <w:iCs/>
          <w:lang w:val="ro-RO"/>
        </w:rPr>
        <w:t>cifi</w:t>
      </w:r>
      <w:r w:rsidR="00BD222F" w:rsidRPr="00857CDA">
        <w:rPr>
          <w:i/>
          <w:iCs/>
          <w:lang w:val="ro-RO"/>
        </w:rPr>
        <w:t>ce</w:t>
      </w:r>
      <w:r w:rsidR="00FF0D3F" w:rsidRPr="00857CDA">
        <w:rPr>
          <w:i/>
          <w:iCs/>
          <w:lang w:val="ro-RO"/>
        </w:rPr>
        <w:t xml:space="preserve"> </w:t>
      </w:r>
      <w:r w:rsidR="008D38B8" w:rsidRPr="00857CDA">
        <w:rPr>
          <w:i/>
          <w:iCs/>
          <w:lang w:val="ro-RO"/>
        </w:rPr>
        <w:t>N</w:t>
      </w:r>
      <w:r w:rsidR="00FF0D3F" w:rsidRPr="00857CDA">
        <w:rPr>
          <w:i/>
          <w:iCs/>
          <w:lang w:val="ro-RO"/>
        </w:rPr>
        <w:t>.</w:t>
      </w:r>
      <w:r w:rsidR="008D38B8" w:rsidRPr="00857CDA">
        <w:rPr>
          <w:i/>
          <w:iCs/>
          <w:lang w:val="ro-RO"/>
        </w:rPr>
        <w:t>S</w:t>
      </w:r>
      <w:r w:rsidR="00FF0D3F" w:rsidRPr="00857CDA">
        <w:rPr>
          <w:i/>
          <w:iCs/>
          <w:lang w:val="ro-RO"/>
        </w:rPr>
        <w:t>.</w:t>
      </w:r>
      <w:r w:rsidR="008D38B8" w:rsidRPr="00857CDA">
        <w:rPr>
          <w:i/>
          <w:iCs/>
          <w:lang w:val="ro-RO"/>
        </w:rPr>
        <w:t>A</w:t>
      </w:r>
      <w:r w:rsidR="00FF0D3F" w:rsidRPr="00857CDA">
        <w:rPr>
          <w:i/>
          <w:iCs/>
          <w:lang w:val="ro-RO"/>
        </w:rPr>
        <w:t xml:space="preserve">. </w:t>
      </w:r>
      <w:r w:rsidR="00BD222F" w:rsidRPr="00857CDA">
        <w:rPr>
          <w:i/>
          <w:iCs/>
          <w:lang w:val="ro-RO"/>
        </w:rPr>
        <w:t>de la</w:t>
      </w:r>
      <w:r w:rsidR="00FF0D3F" w:rsidRPr="00857CDA">
        <w:rPr>
          <w:i/>
          <w:iCs/>
          <w:lang w:val="ro-RO"/>
        </w:rPr>
        <w:t xml:space="preserve"> </w:t>
      </w:r>
      <w:r w:rsidR="00121893" w:rsidRPr="00857CDA">
        <w:rPr>
          <w:i/>
          <w:iCs/>
          <w:lang w:val="ro-RO"/>
        </w:rPr>
        <w:t>Nr.</w:t>
      </w:r>
      <w:r w:rsidR="002B679C" w:rsidRPr="00857CDA">
        <w:rPr>
          <w:i/>
          <w:iCs/>
          <w:lang w:val="ro-RO"/>
        </w:rPr>
        <w:t xml:space="preserve"> ONU</w:t>
      </w:r>
      <w:r w:rsidRPr="00857CDA">
        <w:rPr>
          <w:i/>
          <w:iCs/>
          <w:lang w:val="ro-RO"/>
        </w:rPr>
        <w:t xml:space="preserve"> 3537 </w:t>
      </w:r>
      <w:r w:rsidR="00BD222F" w:rsidRPr="00857CDA">
        <w:rPr>
          <w:i/>
          <w:iCs/>
          <w:lang w:val="ro-RO"/>
        </w:rPr>
        <w:t xml:space="preserve">la Nr. ONU </w:t>
      </w:r>
      <w:r w:rsidRPr="00857CDA">
        <w:rPr>
          <w:i/>
          <w:iCs/>
          <w:lang w:val="ro-RO"/>
        </w:rPr>
        <w:t xml:space="preserve"> 3548.</w:t>
      </w:r>
      <w:r w:rsidR="00660131" w:rsidRPr="00857CDA">
        <w:rPr>
          <w:iCs/>
          <w:lang w:val="ro-RO"/>
        </w:rPr>
        <w:t>”</w:t>
      </w:r>
      <w:r w:rsidR="004C4B87" w:rsidRPr="00857CDA">
        <w:rPr>
          <w:iCs/>
          <w:lang w:val="ro-RO"/>
        </w:rPr>
        <w:t>.</w:t>
      </w:r>
      <w:r w:rsidR="008A2FA2" w:rsidRPr="00857CDA">
        <w:rPr>
          <w:iCs/>
          <w:lang w:val="ro-RO"/>
        </w:rPr>
        <w:t xml:space="preserve"> </w:t>
      </w:r>
    </w:p>
    <w:p w:rsidR="00196C06" w:rsidRPr="00857CDA" w:rsidRDefault="00CD52C1" w:rsidP="00805ED2">
      <w:pPr>
        <w:pStyle w:val="SingleTxtG"/>
        <w:rPr>
          <w:lang w:val="ro-RO"/>
        </w:rPr>
      </w:pPr>
      <w:r w:rsidRPr="00857CDA">
        <w:rPr>
          <w:lang w:val="ro-RO"/>
        </w:rPr>
        <w:t>„</w:t>
      </w:r>
      <w:r w:rsidR="00196C06" w:rsidRPr="00857CDA">
        <w:rPr>
          <w:lang w:val="ro-RO"/>
        </w:rPr>
        <w:t>387</w:t>
      </w:r>
      <w:r w:rsidR="00196C06" w:rsidRPr="00857CDA">
        <w:rPr>
          <w:lang w:val="ro-RO"/>
        </w:rPr>
        <w:tab/>
      </w:r>
      <w:r w:rsidR="00B63CE8" w:rsidRPr="00857CDA">
        <w:rPr>
          <w:lang w:val="ro-RO"/>
        </w:rPr>
        <w:t>Bateriile de litiu conforme cu 2.2.9.1.7 f), care conțin atât pile primare cu litiu metal, cât și pile cu litiu</w:t>
      </w:r>
      <w:r w:rsidR="00F12AF9" w:rsidRPr="00857CDA">
        <w:rPr>
          <w:lang w:val="ro-RO"/>
        </w:rPr>
        <w:t xml:space="preserve"> </w:t>
      </w:r>
      <w:r w:rsidR="00B63CE8" w:rsidRPr="00857CDA">
        <w:rPr>
          <w:lang w:val="ro-RO"/>
        </w:rPr>
        <w:t xml:space="preserve">ion reîncărcabile, trebuie să fie alocate la Nr. ONU 3090 sau Nr. ONU </w:t>
      </w:r>
      <w:r w:rsidR="00B63CE8" w:rsidRPr="00857CDA">
        <w:rPr>
          <w:lang w:val="ro-RO"/>
        </w:rPr>
        <w:lastRenderedPageBreak/>
        <w:t>3091, după caz. Atunci când aceste baterii sunt transportate în conformitate cu dispoziția specială 188, conținutul total de litiu al tuturor pilelor cu litiu metal din baterie nu trebuie să depășească 1,5 g, iar capacitatea totală a tuturor pilelor</w:t>
      </w:r>
      <w:r w:rsidR="00805ED2" w:rsidRPr="00857CDA">
        <w:rPr>
          <w:lang w:val="ro-RO"/>
        </w:rPr>
        <w:t xml:space="preserve"> cu</w:t>
      </w:r>
      <w:r w:rsidR="00B63CE8" w:rsidRPr="00857CDA">
        <w:rPr>
          <w:lang w:val="ro-RO"/>
        </w:rPr>
        <w:t xml:space="preserve"> litiu</w:t>
      </w:r>
      <w:r w:rsidR="00F12AF9" w:rsidRPr="00857CDA">
        <w:rPr>
          <w:lang w:val="ro-RO"/>
        </w:rPr>
        <w:t xml:space="preserve"> </w:t>
      </w:r>
      <w:r w:rsidR="00B63CE8" w:rsidRPr="00857CDA">
        <w:rPr>
          <w:lang w:val="ro-RO"/>
        </w:rPr>
        <w:t>ion conținute în baterie nu trebuie să depășească 10 Wh.</w:t>
      </w:r>
      <w:r w:rsidR="00660131" w:rsidRPr="00857CDA">
        <w:rPr>
          <w:lang w:val="ro-RO"/>
        </w:rPr>
        <w:t>”</w:t>
      </w:r>
      <w:r w:rsidR="00196C06" w:rsidRPr="00857CDA">
        <w:rPr>
          <w:lang w:val="ro-RO"/>
        </w:rPr>
        <w:t>.</w:t>
      </w:r>
    </w:p>
    <w:p w:rsidR="00196C06" w:rsidRPr="00857CDA" w:rsidRDefault="00CD52C1" w:rsidP="00D53F01">
      <w:pPr>
        <w:spacing w:before="120" w:after="120" w:line="240" w:lineRule="auto"/>
        <w:ind w:left="1134" w:right="1134"/>
        <w:jc w:val="both"/>
        <w:rPr>
          <w:iCs/>
          <w:lang w:val="ro-RO"/>
        </w:rPr>
      </w:pPr>
      <w:r w:rsidRPr="00857CDA">
        <w:rPr>
          <w:lang w:val="ro-RO"/>
        </w:rPr>
        <w:t>„</w:t>
      </w:r>
      <w:r w:rsidR="00196C06" w:rsidRPr="00857CDA">
        <w:rPr>
          <w:iCs/>
          <w:lang w:val="ro-RO"/>
        </w:rPr>
        <w:t>388</w:t>
      </w:r>
      <w:r w:rsidR="00196C06" w:rsidRPr="00857CDA">
        <w:rPr>
          <w:iCs/>
          <w:lang w:val="ro-RO"/>
        </w:rPr>
        <w:tab/>
      </w:r>
      <w:r w:rsidR="00805ED2" w:rsidRPr="00857CDA">
        <w:rPr>
          <w:iCs/>
          <w:lang w:val="ro-RO"/>
        </w:rPr>
        <w:t>Rubricile Nr.</w:t>
      </w:r>
      <w:r w:rsidR="00434CEB" w:rsidRPr="00857CDA">
        <w:rPr>
          <w:iCs/>
          <w:lang w:val="ro-RO"/>
        </w:rPr>
        <w:t xml:space="preserve"> </w:t>
      </w:r>
      <w:r w:rsidR="00196C06" w:rsidRPr="00857CDA">
        <w:rPr>
          <w:iCs/>
          <w:lang w:val="ro-RO"/>
        </w:rPr>
        <w:t>ONU 3166 s</w:t>
      </w:r>
      <w:r w:rsidR="00805ED2" w:rsidRPr="00857CDA">
        <w:rPr>
          <w:iCs/>
          <w:lang w:val="ro-RO"/>
        </w:rPr>
        <w:t>unt aplicabile</w:t>
      </w:r>
      <w:r w:rsidR="00196C06" w:rsidRPr="00857CDA">
        <w:rPr>
          <w:iCs/>
          <w:lang w:val="ro-RO"/>
        </w:rPr>
        <w:t xml:space="preserve"> v</w:t>
      </w:r>
      <w:r w:rsidR="00805ED2" w:rsidRPr="00857CDA">
        <w:rPr>
          <w:iCs/>
          <w:lang w:val="ro-RO"/>
        </w:rPr>
        <w:t>e</w:t>
      </w:r>
      <w:r w:rsidR="00196C06" w:rsidRPr="00857CDA">
        <w:rPr>
          <w:iCs/>
          <w:lang w:val="ro-RO"/>
        </w:rPr>
        <w:t>hicule</w:t>
      </w:r>
      <w:r w:rsidR="00805ED2" w:rsidRPr="00857CDA">
        <w:rPr>
          <w:iCs/>
          <w:lang w:val="ro-RO"/>
        </w:rPr>
        <w:t xml:space="preserve">lor </w:t>
      </w:r>
      <w:r w:rsidR="00231E31" w:rsidRPr="00857CDA">
        <w:rPr>
          <w:iCs/>
          <w:lang w:val="ro-RO"/>
        </w:rPr>
        <w:t>puse în mișcare</w:t>
      </w:r>
      <w:r w:rsidR="00805ED2" w:rsidRPr="00857CDA">
        <w:rPr>
          <w:iCs/>
          <w:lang w:val="ro-RO"/>
        </w:rPr>
        <w:t xml:space="preserve"> </w:t>
      </w:r>
      <w:r w:rsidR="0089063E" w:rsidRPr="00857CDA">
        <w:rPr>
          <w:iCs/>
          <w:lang w:val="ro-RO"/>
        </w:rPr>
        <w:t>de un motor cu combustie internă sau de o pilă de combustie, care funcționează pe bază de lichid inflamabil sau gaz inflamabil</w:t>
      </w:r>
      <w:r w:rsidR="00196C06" w:rsidRPr="00857CDA">
        <w:rPr>
          <w:iCs/>
          <w:lang w:val="ro-RO"/>
        </w:rPr>
        <w:t>.</w:t>
      </w:r>
    </w:p>
    <w:p w:rsidR="00196C06" w:rsidRPr="00857CDA" w:rsidRDefault="00CC2F98" w:rsidP="00A51D6C">
      <w:pPr>
        <w:spacing w:before="120" w:after="120" w:line="240" w:lineRule="auto"/>
        <w:ind w:left="1134" w:right="1134"/>
        <w:jc w:val="both"/>
        <w:rPr>
          <w:iCs/>
          <w:lang w:val="ro-RO"/>
        </w:rPr>
      </w:pPr>
      <w:r w:rsidRPr="00857CDA">
        <w:rPr>
          <w:iCs/>
          <w:lang w:val="ro-RO"/>
        </w:rPr>
        <w:t>Vehiculele propulsate de un motor cu pilă de combustie trebuie să fie alocat</w:t>
      </w:r>
      <w:r w:rsidR="00067773" w:rsidRPr="00857CDA">
        <w:rPr>
          <w:iCs/>
          <w:lang w:val="ro-RO"/>
        </w:rPr>
        <w:t>e</w:t>
      </w:r>
      <w:r w:rsidRPr="00857CDA">
        <w:rPr>
          <w:iCs/>
          <w:lang w:val="ro-RO"/>
        </w:rPr>
        <w:t xml:space="preserve"> rubricilor Nr. ONU 3166 VEHICUL CU PROPULSIE CU PILĂ DE COMBUSTIE CONȚINÂND GAZ INFLAMABIL sau Nr. ONU 3166 VEHICUL CU PROPULSIE CU PILĂ DE COMBUSTIE CONȚINÂND LICHID INFLAMABIL, după caz. Aceste rubrici includ vehicule </w:t>
      </w:r>
      <w:r w:rsidR="00A51D6C" w:rsidRPr="00857CDA">
        <w:rPr>
          <w:iCs/>
          <w:lang w:val="ro-RO"/>
        </w:rPr>
        <w:t xml:space="preserve">hibride </w:t>
      </w:r>
      <w:r w:rsidRPr="00857CDA">
        <w:rPr>
          <w:iCs/>
          <w:lang w:val="ro-RO"/>
        </w:rPr>
        <w:t xml:space="preserve">electrice </w:t>
      </w:r>
      <w:r w:rsidR="00056AD6" w:rsidRPr="00857CDA">
        <w:rPr>
          <w:iCs/>
          <w:lang w:val="ro-RO"/>
        </w:rPr>
        <w:t>propulsate</w:t>
      </w:r>
      <w:r w:rsidR="00A51D6C" w:rsidRPr="00857CDA">
        <w:rPr>
          <w:iCs/>
          <w:lang w:val="ro-RO"/>
        </w:rPr>
        <w:t xml:space="preserve"> </w:t>
      </w:r>
      <w:r w:rsidRPr="00857CDA">
        <w:rPr>
          <w:iCs/>
          <w:lang w:val="ro-RO"/>
        </w:rPr>
        <w:t xml:space="preserve">atât de o pilă de combustie, cât și de un motor cu combustie internă, cu acumulatori cu electrolit lichid sau cu baterii cu sodiu, litiu </w:t>
      </w:r>
      <w:r w:rsidR="00A51D6C" w:rsidRPr="00857CDA">
        <w:rPr>
          <w:iCs/>
          <w:lang w:val="ro-RO"/>
        </w:rPr>
        <w:t xml:space="preserve">metal </w:t>
      </w:r>
      <w:r w:rsidRPr="00857CDA">
        <w:rPr>
          <w:iCs/>
          <w:lang w:val="ro-RO"/>
        </w:rPr>
        <w:t>sau litiu</w:t>
      </w:r>
      <w:r w:rsidR="00F12AF9" w:rsidRPr="00857CDA">
        <w:rPr>
          <w:iCs/>
          <w:lang w:val="ro-RO"/>
        </w:rPr>
        <w:t xml:space="preserve"> </w:t>
      </w:r>
      <w:r w:rsidRPr="00857CDA">
        <w:rPr>
          <w:iCs/>
          <w:lang w:val="ro-RO"/>
        </w:rPr>
        <w:t>ion</w:t>
      </w:r>
      <w:r w:rsidR="00A51D6C" w:rsidRPr="00857CDA">
        <w:rPr>
          <w:iCs/>
          <w:lang w:val="ro-RO"/>
        </w:rPr>
        <w:t>,</w:t>
      </w:r>
      <w:r w:rsidRPr="00857CDA">
        <w:rPr>
          <w:iCs/>
          <w:lang w:val="ro-RO"/>
        </w:rPr>
        <w:t xml:space="preserve"> </w:t>
      </w:r>
      <w:r w:rsidR="00231E31" w:rsidRPr="00857CDA">
        <w:rPr>
          <w:iCs/>
          <w:lang w:val="ro-RO"/>
        </w:rPr>
        <w:t>care sunt transportate cu acumulatorii instalați sau bateriile instalate</w:t>
      </w:r>
      <w:r w:rsidR="00196C06" w:rsidRPr="00857CDA">
        <w:rPr>
          <w:iCs/>
          <w:lang w:val="ro-RO"/>
        </w:rPr>
        <w:t>.</w:t>
      </w:r>
    </w:p>
    <w:p w:rsidR="00A51D6C" w:rsidRPr="00857CDA" w:rsidRDefault="00A51D6C" w:rsidP="00A51D6C">
      <w:pPr>
        <w:spacing w:before="120" w:after="120" w:line="240" w:lineRule="auto"/>
        <w:ind w:left="1134" w:right="1134"/>
        <w:jc w:val="both"/>
        <w:rPr>
          <w:iCs/>
          <w:lang w:val="ro-RO"/>
        </w:rPr>
      </w:pPr>
      <w:r w:rsidRPr="00857CDA">
        <w:rPr>
          <w:iCs/>
          <w:lang w:val="ro-RO"/>
        </w:rPr>
        <w:t xml:space="preserve">Alte vehicule care au un motor cu combustie internă trebuie să fie alocate la rubricile Nr. ONU 3166 VEHICUL CU PROPULSIE CU GAZ INFLAMABIL sau Nr. ONU 3166 VEHICUL CU PROPULSIE CU LICHID INFLAMABIL, după caz. Aceste rubrici includ vehicule hibride electrice </w:t>
      </w:r>
      <w:r w:rsidR="00056AD6" w:rsidRPr="00857CDA">
        <w:rPr>
          <w:iCs/>
          <w:lang w:val="ro-RO"/>
        </w:rPr>
        <w:t>puse în mișcare</w:t>
      </w:r>
      <w:r w:rsidRPr="00857CDA">
        <w:rPr>
          <w:iCs/>
          <w:lang w:val="ro-RO"/>
        </w:rPr>
        <w:t xml:space="preserve"> atât de un motor cu combustie internă</w:t>
      </w:r>
      <w:r w:rsidR="00FD0B81" w:rsidRPr="00857CDA">
        <w:rPr>
          <w:iCs/>
          <w:lang w:val="ro-RO"/>
        </w:rPr>
        <w:t>, cu acumulatori cu electrolit lichid</w:t>
      </w:r>
      <w:r w:rsidRPr="00857CDA">
        <w:rPr>
          <w:iCs/>
          <w:lang w:val="ro-RO"/>
        </w:rPr>
        <w:t xml:space="preserve">, </w:t>
      </w:r>
      <w:r w:rsidR="00FD0B81" w:rsidRPr="00857CDA">
        <w:rPr>
          <w:iCs/>
          <w:lang w:val="ro-RO"/>
        </w:rPr>
        <w:t>cât și cu</w:t>
      </w:r>
      <w:r w:rsidRPr="00857CDA">
        <w:rPr>
          <w:iCs/>
          <w:lang w:val="ro-RO"/>
        </w:rPr>
        <w:t xml:space="preserve"> baterii </w:t>
      </w:r>
      <w:r w:rsidR="00FD0B81" w:rsidRPr="00857CDA">
        <w:rPr>
          <w:iCs/>
          <w:lang w:val="ro-RO"/>
        </w:rPr>
        <w:t>cu</w:t>
      </w:r>
      <w:r w:rsidRPr="00857CDA">
        <w:rPr>
          <w:iCs/>
          <w:lang w:val="ro-RO"/>
        </w:rPr>
        <w:t xml:space="preserve"> sodiu, litiu </w:t>
      </w:r>
      <w:r w:rsidR="00FD0B81" w:rsidRPr="00857CDA">
        <w:rPr>
          <w:iCs/>
          <w:lang w:val="ro-RO"/>
        </w:rPr>
        <w:t xml:space="preserve">metal </w:t>
      </w:r>
      <w:r w:rsidRPr="00857CDA">
        <w:rPr>
          <w:iCs/>
          <w:lang w:val="ro-RO"/>
        </w:rPr>
        <w:t>sau litiu</w:t>
      </w:r>
      <w:r w:rsidR="00F12AF9" w:rsidRPr="00857CDA">
        <w:rPr>
          <w:iCs/>
          <w:lang w:val="ro-RO"/>
        </w:rPr>
        <w:t xml:space="preserve"> </w:t>
      </w:r>
      <w:r w:rsidRPr="00857CDA">
        <w:rPr>
          <w:iCs/>
          <w:lang w:val="ro-RO"/>
        </w:rPr>
        <w:t xml:space="preserve">ion, </w:t>
      </w:r>
      <w:r w:rsidR="00231E31" w:rsidRPr="00857CDA">
        <w:rPr>
          <w:iCs/>
          <w:lang w:val="ro-RO"/>
        </w:rPr>
        <w:t>care sunt transportate cu acumulatorii instalați sau bateriile instalate</w:t>
      </w:r>
      <w:r w:rsidRPr="00857CDA">
        <w:rPr>
          <w:iCs/>
          <w:lang w:val="ro-RO"/>
        </w:rPr>
        <w:t>.</w:t>
      </w:r>
    </w:p>
    <w:p w:rsidR="00196C06" w:rsidRPr="00857CDA" w:rsidRDefault="00471C99" w:rsidP="00471C99">
      <w:pPr>
        <w:spacing w:before="120" w:after="120" w:line="240" w:lineRule="auto"/>
        <w:ind w:left="1134" w:right="1134"/>
        <w:jc w:val="both"/>
        <w:rPr>
          <w:iCs/>
          <w:lang w:val="ro-RO"/>
        </w:rPr>
      </w:pPr>
      <w:r w:rsidRPr="00857CDA">
        <w:rPr>
          <w:iCs/>
          <w:lang w:val="ro-RO"/>
        </w:rPr>
        <w:t xml:space="preserve">În cazul în care un vehicul este propulsat </w:t>
      </w:r>
      <w:r w:rsidR="00AF3F82" w:rsidRPr="00857CDA">
        <w:rPr>
          <w:iCs/>
          <w:lang w:val="ro-RO"/>
        </w:rPr>
        <w:t xml:space="preserve">atât </w:t>
      </w:r>
      <w:r w:rsidRPr="00857CDA">
        <w:rPr>
          <w:iCs/>
          <w:lang w:val="ro-RO"/>
        </w:rPr>
        <w:t>cu lichid inflamabil</w:t>
      </w:r>
      <w:r w:rsidR="00AF3F82" w:rsidRPr="00857CDA">
        <w:rPr>
          <w:iCs/>
          <w:lang w:val="ro-RO"/>
        </w:rPr>
        <w:t>, cât</w:t>
      </w:r>
      <w:r w:rsidRPr="00857CDA">
        <w:rPr>
          <w:iCs/>
          <w:lang w:val="ro-RO"/>
        </w:rPr>
        <w:t xml:space="preserve"> și de un motor cu ardere internă care funcționează cu gaz inflamabil, acesta trebuie să fie alocat la rubrica Nr. ONU 3166 VEHICUL CU PROPULSIE CU LICHID INFLAMABIL</w:t>
      </w:r>
      <w:r w:rsidR="00196C06" w:rsidRPr="00857CDA">
        <w:rPr>
          <w:iCs/>
          <w:lang w:val="ro-RO"/>
        </w:rPr>
        <w:t>.</w:t>
      </w:r>
    </w:p>
    <w:p w:rsidR="00196C06" w:rsidRPr="00857CDA" w:rsidRDefault="00471C99" w:rsidP="00DD5D0B">
      <w:pPr>
        <w:spacing w:before="120" w:after="120" w:line="240" w:lineRule="auto"/>
        <w:ind w:left="1134" w:right="1134"/>
        <w:jc w:val="both"/>
        <w:rPr>
          <w:iCs/>
          <w:lang w:val="ro-RO"/>
        </w:rPr>
      </w:pPr>
      <w:r w:rsidRPr="00857CDA">
        <w:rPr>
          <w:iCs/>
          <w:lang w:val="ro-RO"/>
        </w:rPr>
        <w:t xml:space="preserve">Rubrica Nr. ONU 3171 nu este aplicabilă decât vehiculelor </w:t>
      </w:r>
      <w:r w:rsidR="00056AD6" w:rsidRPr="00857CDA">
        <w:rPr>
          <w:iCs/>
          <w:lang w:val="ro-RO"/>
        </w:rPr>
        <w:t>puse în mișcare</w:t>
      </w:r>
      <w:r w:rsidRPr="00857CDA">
        <w:rPr>
          <w:iCs/>
          <w:lang w:val="ro-RO"/>
        </w:rPr>
        <w:t xml:space="preserve"> de acumulatori cu electrolit lichid sau de baterii cu sodiu sau baterii cu litiu metal sau baterii litiu</w:t>
      </w:r>
      <w:r w:rsidR="00F12AF9" w:rsidRPr="00857CDA">
        <w:rPr>
          <w:iCs/>
          <w:lang w:val="ro-RO"/>
        </w:rPr>
        <w:t xml:space="preserve"> </w:t>
      </w:r>
      <w:r w:rsidRPr="00857CDA">
        <w:rPr>
          <w:iCs/>
          <w:lang w:val="ro-RO"/>
        </w:rPr>
        <w:t>ion</w:t>
      </w:r>
      <w:r w:rsidR="003D182B" w:rsidRPr="00857CDA">
        <w:rPr>
          <w:iCs/>
          <w:lang w:val="ro-RO"/>
        </w:rPr>
        <w:t xml:space="preserve"> și aparatelor</w:t>
      </w:r>
      <w:r w:rsidRPr="00857CDA">
        <w:rPr>
          <w:iCs/>
          <w:lang w:val="ro-RO"/>
        </w:rPr>
        <w:t xml:space="preserve"> </w:t>
      </w:r>
      <w:r w:rsidR="00E204EC" w:rsidRPr="00857CDA">
        <w:rPr>
          <w:iCs/>
          <w:lang w:val="ro-RO"/>
        </w:rPr>
        <w:t xml:space="preserve">(echipamentelor) </w:t>
      </w:r>
      <w:r w:rsidR="003D182B" w:rsidRPr="00857CDA">
        <w:rPr>
          <w:iCs/>
          <w:lang w:val="ro-RO"/>
        </w:rPr>
        <w:t xml:space="preserve">puse în mișcare </w:t>
      </w:r>
      <w:r w:rsidR="00025B21" w:rsidRPr="00857CDA">
        <w:rPr>
          <w:iCs/>
          <w:lang w:val="ro-RO"/>
        </w:rPr>
        <w:t xml:space="preserve">de acumulatori </w:t>
      </w:r>
      <w:r w:rsidRPr="00857CDA">
        <w:rPr>
          <w:iCs/>
          <w:lang w:val="ro-RO"/>
        </w:rPr>
        <w:t>cu electroli</w:t>
      </w:r>
      <w:r w:rsidR="00025B21" w:rsidRPr="00857CDA">
        <w:rPr>
          <w:iCs/>
          <w:lang w:val="ro-RO"/>
        </w:rPr>
        <w:t>t</w:t>
      </w:r>
      <w:r w:rsidRPr="00857CDA">
        <w:rPr>
          <w:iCs/>
          <w:lang w:val="ro-RO"/>
        </w:rPr>
        <w:t xml:space="preserve"> lichi</w:t>
      </w:r>
      <w:r w:rsidR="00025B21" w:rsidRPr="00857CDA">
        <w:rPr>
          <w:iCs/>
          <w:lang w:val="ro-RO"/>
        </w:rPr>
        <w:t>d</w:t>
      </w:r>
      <w:r w:rsidRPr="00857CDA">
        <w:rPr>
          <w:iCs/>
          <w:lang w:val="ro-RO"/>
        </w:rPr>
        <w:t xml:space="preserve"> sau </w:t>
      </w:r>
      <w:r w:rsidR="00025B21" w:rsidRPr="00857CDA">
        <w:rPr>
          <w:iCs/>
          <w:lang w:val="ro-RO"/>
        </w:rPr>
        <w:t xml:space="preserve">de </w:t>
      </w:r>
      <w:r w:rsidRPr="00857CDA">
        <w:rPr>
          <w:iCs/>
          <w:lang w:val="ro-RO"/>
        </w:rPr>
        <w:t xml:space="preserve">baterii </w:t>
      </w:r>
      <w:r w:rsidR="00025B21" w:rsidRPr="00857CDA">
        <w:rPr>
          <w:iCs/>
          <w:lang w:val="ro-RO"/>
        </w:rPr>
        <w:t>cu</w:t>
      </w:r>
      <w:r w:rsidRPr="00857CDA">
        <w:rPr>
          <w:iCs/>
          <w:lang w:val="ro-RO"/>
        </w:rPr>
        <w:t xml:space="preserve"> sodiu </w:t>
      </w:r>
      <w:r w:rsidR="00025B21" w:rsidRPr="00857CDA">
        <w:rPr>
          <w:iCs/>
          <w:lang w:val="ro-RO"/>
        </w:rPr>
        <w:t>sau baterii cu litiu metal sau baterii cu litiu</w:t>
      </w:r>
      <w:r w:rsidR="00F12AF9" w:rsidRPr="00857CDA">
        <w:rPr>
          <w:iCs/>
          <w:lang w:val="ro-RO"/>
        </w:rPr>
        <w:t xml:space="preserve"> </w:t>
      </w:r>
      <w:r w:rsidR="00025B21" w:rsidRPr="00857CDA">
        <w:rPr>
          <w:iCs/>
          <w:lang w:val="ro-RO"/>
        </w:rPr>
        <w:t>ion</w:t>
      </w:r>
      <w:r w:rsidRPr="00857CDA">
        <w:rPr>
          <w:iCs/>
          <w:lang w:val="ro-RO"/>
        </w:rPr>
        <w:t>, care sunt transportate cu aceste baterii sau acumulatori</w:t>
      </w:r>
      <w:r w:rsidR="00DD5D0B" w:rsidRPr="00857CDA">
        <w:rPr>
          <w:iCs/>
          <w:lang w:val="ro-RO"/>
        </w:rPr>
        <w:t xml:space="preserve"> cu care sunt prevăzute</w:t>
      </w:r>
      <w:r w:rsidR="00196C06" w:rsidRPr="00857CDA">
        <w:rPr>
          <w:iCs/>
          <w:lang w:val="ro-RO"/>
        </w:rPr>
        <w:t>.</w:t>
      </w:r>
    </w:p>
    <w:p w:rsidR="00056AD6" w:rsidRPr="00857CDA" w:rsidRDefault="00DD5D0B" w:rsidP="00056AD6">
      <w:pPr>
        <w:spacing w:before="120" w:after="120" w:line="240" w:lineRule="auto"/>
        <w:ind w:left="1134" w:right="1134"/>
        <w:jc w:val="both"/>
        <w:rPr>
          <w:iCs/>
          <w:lang w:val="ro-RO"/>
        </w:rPr>
      </w:pPr>
      <w:r w:rsidRPr="00857CDA">
        <w:rPr>
          <w:iCs/>
          <w:lang w:val="ro-RO"/>
        </w:rPr>
        <w:t xml:space="preserve">În sensul prezentei dispoziții speciale, vehiculele sunt aparate autopropulsate concepute pentru a transporta una sau mai multe persoane sau mărfuri. </w:t>
      </w:r>
      <w:r w:rsidR="00056AD6" w:rsidRPr="00857CDA">
        <w:rPr>
          <w:iCs/>
          <w:lang w:val="ro-RO"/>
        </w:rPr>
        <w:t>Exemple de astfel de vehicule sunt automobilele, motocicletele, scuterele, vehiculele sau motocicletele cu trei sau patru roţi, camioanele, locomotivele, bicicletele (cu pedale și cu motor)</w:t>
      </w:r>
      <w:r w:rsidR="00F12AF9" w:rsidRPr="00857CDA">
        <w:rPr>
          <w:iCs/>
          <w:lang w:val="ro-RO"/>
        </w:rPr>
        <w:t>, precum</w:t>
      </w:r>
      <w:r w:rsidR="00056AD6" w:rsidRPr="00857CDA">
        <w:rPr>
          <w:iCs/>
          <w:lang w:val="ro-RO"/>
        </w:rPr>
        <w:t xml:space="preserve"> și alte vehicule de acest tip (de exemplu vehicule cu auto-echilibrare sau vehicule neprevăzute cu cel puțin un loc șezând), scaune cu rotile, mașini de tuns iarba, utilaje autopropulsate pentru construcții s</w:t>
      </w:r>
      <w:r w:rsidR="00F12AF9" w:rsidRPr="00857CDA">
        <w:rPr>
          <w:iCs/>
          <w:lang w:val="ro-RO"/>
        </w:rPr>
        <w:t>au agricole, bărci și aeronave</w:t>
      </w:r>
      <w:r w:rsidR="00056AD6" w:rsidRPr="00857CDA">
        <w:rPr>
          <w:iCs/>
          <w:lang w:val="ro-RO"/>
        </w:rPr>
        <w:t>. Acestea includ vehiculele transportate în ambalaje. În acest caz, unele părți ale vehiculului pot fi detașate pentru a încăpea în ambalaj.</w:t>
      </w:r>
    </w:p>
    <w:p w:rsidR="00196C06" w:rsidRPr="00857CDA" w:rsidRDefault="00056AD6" w:rsidP="00056AD6">
      <w:pPr>
        <w:spacing w:before="120" w:after="120" w:line="240" w:lineRule="auto"/>
        <w:ind w:left="1134" w:right="1134"/>
        <w:jc w:val="both"/>
        <w:rPr>
          <w:iCs/>
          <w:lang w:val="ro-RO"/>
        </w:rPr>
      </w:pPr>
      <w:r w:rsidRPr="00857CDA">
        <w:rPr>
          <w:iCs/>
          <w:lang w:val="ro-RO"/>
        </w:rPr>
        <w:t xml:space="preserve">Printre echipamente se află de exemplu echipamentele de tuns gazonul, aparate de curățat sau minimodele de ambarcațiuni sau minimodele de aeronave. Echipamentele </w:t>
      </w:r>
      <w:r w:rsidR="00231E31" w:rsidRPr="00857CDA">
        <w:rPr>
          <w:iCs/>
          <w:lang w:val="ro-RO"/>
        </w:rPr>
        <w:t>puse în mișcare</w:t>
      </w:r>
      <w:r w:rsidRPr="00857CDA">
        <w:rPr>
          <w:iCs/>
          <w:lang w:val="ro-RO"/>
        </w:rPr>
        <w:t xml:space="preserve"> de baterii cu litiu metal sau cu litiu ion, trebuie să fie alocate la rubricile Nr. ONU 3091 PILE CU LITIU METAL CONŢINUTE ÎNTR-UN ECHIPAMENT sau Nr. ONU 3091 BATERII CU LITIU AMBALATE ÎMPREUNĂ CU UN ECHIPAMENT sau Nr. ONU 3481 PILE CU LITIU ION CONŢINUTE ÎNTR-UN ECHIPAMENT sau Nr. ONU 3481 PILE CU LITIU ION AMBALATE CU UN ECHIPAMENT, după caz.</w:t>
      </w:r>
    </w:p>
    <w:p w:rsidR="00E204EC" w:rsidRPr="00857CDA" w:rsidRDefault="00E204EC" w:rsidP="00E204EC">
      <w:pPr>
        <w:spacing w:before="120" w:after="120" w:line="240" w:lineRule="auto"/>
        <w:ind w:left="1134" w:right="1134"/>
        <w:jc w:val="both"/>
        <w:rPr>
          <w:iCs/>
          <w:lang w:val="ro-RO"/>
        </w:rPr>
      </w:pPr>
      <w:r w:rsidRPr="00857CDA">
        <w:rPr>
          <w:iCs/>
          <w:lang w:val="ro-RO"/>
        </w:rPr>
        <w:t xml:space="preserve">Mărfurile periculoase cum ar fi pilele sau bateriile, airbagurile, stingătoarele de incendiu, acumulatorii cu gaz comprimat sau dispozitivele de siguranță și celelalte elemente care fac parte </w:t>
      </w:r>
      <w:r w:rsidR="00A10D00" w:rsidRPr="00857CDA">
        <w:rPr>
          <w:iCs/>
          <w:lang w:val="ro-RO"/>
        </w:rPr>
        <w:t>integrantă din vehicul și care sunt</w:t>
      </w:r>
      <w:r w:rsidRPr="00857CDA">
        <w:rPr>
          <w:iCs/>
          <w:lang w:val="ro-RO"/>
        </w:rPr>
        <w:t xml:space="preserve"> </w:t>
      </w:r>
      <w:r w:rsidR="00A10D00" w:rsidRPr="00857CDA">
        <w:rPr>
          <w:iCs/>
          <w:lang w:val="ro-RO"/>
        </w:rPr>
        <w:t xml:space="preserve">necesare pentru </w:t>
      </w:r>
      <w:r w:rsidRPr="00857CDA">
        <w:rPr>
          <w:iCs/>
          <w:lang w:val="ro-RO"/>
        </w:rPr>
        <w:t>funcționarea acest</w:t>
      </w:r>
      <w:r w:rsidR="00A10D00" w:rsidRPr="00857CDA">
        <w:rPr>
          <w:iCs/>
          <w:lang w:val="ro-RO"/>
        </w:rPr>
        <w:t>uia</w:t>
      </w:r>
      <w:r w:rsidRPr="00857CDA">
        <w:rPr>
          <w:iCs/>
          <w:lang w:val="ro-RO"/>
        </w:rPr>
        <w:t xml:space="preserve"> sau </w:t>
      </w:r>
      <w:r w:rsidR="00A10D00" w:rsidRPr="00857CDA">
        <w:rPr>
          <w:iCs/>
          <w:lang w:val="ro-RO"/>
        </w:rPr>
        <w:t>pentru siguranța conducătorului acestuia ori pasagerilor, trebuie să fie bine fixate pe vehicul și nu sunt</w:t>
      </w:r>
      <w:r w:rsidRPr="00857CDA">
        <w:rPr>
          <w:iCs/>
          <w:lang w:val="ro-RO"/>
        </w:rPr>
        <w:t xml:space="preserve"> supuse altor prescripții </w:t>
      </w:r>
      <w:r w:rsidR="00D7127A" w:rsidRPr="00857CDA">
        <w:rPr>
          <w:iCs/>
          <w:lang w:val="ro-RO"/>
        </w:rPr>
        <w:t>di</w:t>
      </w:r>
      <w:r w:rsidRPr="00857CDA">
        <w:rPr>
          <w:iCs/>
          <w:lang w:val="ro-RO"/>
        </w:rPr>
        <w:t>n ADR</w:t>
      </w:r>
      <w:r w:rsidR="00D7127A" w:rsidRPr="00857CDA">
        <w:rPr>
          <w:iCs/>
          <w:lang w:val="ro-RO"/>
        </w:rPr>
        <w:t>. Cu toate acestea, în cazul în care dispoziția specială 667 nu prevede altfel, pilele sau bateriile cu litiu trebuie să îndeplinească dispozițiile de la 2.2.9.1.7.</w:t>
      </w:r>
    </w:p>
    <w:p w:rsidR="00196C06" w:rsidRPr="00857CDA" w:rsidRDefault="00E204EC" w:rsidP="00D7127A">
      <w:pPr>
        <w:spacing w:before="120" w:after="120" w:line="240" w:lineRule="auto"/>
        <w:ind w:left="1134" w:right="1134"/>
        <w:jc w:val="both"/>
        <w:rPr>
          <w:iCs/>
          <w:lang w:val="ro-RO"/>
        </w:rPr>
      </w:pPr>
      <w:r w:rsidRPr="00857CDA">
        <w:rPr>
          <w:iCs/>
          <w:lang w:val="ro-RO"/>
        </w:rPr>
        <w:lastRenderedPageBreak/>
        <w:t xml:space="preserve">Atunci când o </w:t>
      </w:r>
      <w:r w:rsidR="00D7127A" w:rsidRPr="00857CDA">
        <w:rPr>
          <w:iCs/>
          <w:lang w:val="ro-RO"/>
        </w:rPr>
        <w:t xml:space="preserve">pilă sau </w:t>
      </w:r>
      <w:r w:rsidRPr="00857CDA">
        <w:rPr>
          <w:iCs/>
          <w:lang w:val="ro-RO"/>
        </w:rPr>
        <w:t xml:space="preserve">baterie </w:t>
      </w:r>
      <w:r w:rsidR="00D7127A" w:rsidRPr="00857CDA">
        <w:rPr>
          <w:iCs/>
          <w:lang w:val="ro-RO"/>
        </w:rPr>
        <w:t>cu</w:t>
      </w:r>
      <w:r w:rsidRPr="00857CDA">
        <w:rPr>
          <w:iCs/>
          <w:lang w:val="ro-RO"/>
        </w:rPr>
        <w:t xml:space="preserve"> litiu instalată într-un vehicul sau echipament este deteriorată sau defectă, vehiculul sau echipamentul trebuie transportat în condițiile definite</w:t>
      </w:r>
      <w:r w:rsidR="00D7127A" w:rsidRPr="00857CDA">
        <w:rPr>
          <w:iCs/>
          <w:lang w:val="ro-RO"/>
        </w:rPr>
        <w:t xml:space="preserve"> în dispoziția specială 667 </w:t>
      </w:r>
      <w:r w:rsidR="00CF3E49" w:rsidRPr="00857CDA">
        <w:rPr>
          <w:iCs/>
          <w:lang w:val="ro-RO"/>
        </w:rPr>
        <w:t>c)</w:t>
      </w:r>
      <w:r w:rsidR="00196C06" w:rsidRPr="00857CDA">
        <w:rPr>
          <w:iCs/>
          <w:lang w:val="ro-RO"/>
        </w:rPr>
        <w:t>.</w:t>
      </w:r>
      <w:r w:rsidR="00660131" w:rsidRPr="00857CDA">
        <w:rPr>
          <w:lang w:val="ro-RO"/>
        </w:rPr>
        <w:t>”</w:t>
      </w:r>
      <w:r w:rsidR="009F4509" w:rsidRPr="00857CDA">
        <w:rPr>
          <w:lang w:val="ro-RO"/>
        </w:rPr>
        <w:t>.</w:t>
      </w:r>
    </w:p>
    <w:p w:rsidR="00196C06" w:rsidRPr="00857CDA" w:rsidRDefault="00CD52C1" w:rsidP="00C16E6D">
      <w:pPr>
        <w:spacing w:before="120" w:after="120" w:line="240" w:lineRule="auto"/>
        <w:ind w:left="1134" w:right="1134"/>
        <w:jc w:val="both"/>
        <w:rPr>
          <w:lang w:val="ro-RO"/>
        </w:rPr>
      </w:pPr>
      <w:r w:rsidRPr="00857CDA">
        <w:rPr>
          <w:lang w:val="ro-RO"/>
        </w:rPr>
        <w:t>„</w:t>
      </w:r>
      <w:r w:rsidR="00196C06" w:rsidRPr="00857CDA">
        <w:rPr>
          <w:lang w:val="ro-RO"/>
        </w:rPr>
        <w:t>389</w:t>
      </w:r>
      <w:r w:rsidR="00196C06" w:rsidRPr="00857CDA">
        <w:rPr>
          <w:lang w:val="ro-RO"/>
        </w:rPr>
        <w:tab/>
      </w:r>
      <w:r w:rsidR="00D7127A" w:rsidRPr="00857CDA">
        <w:rPr>
          <w:lang w:val="ro-RO"/>
        </w:rPr>
        <w:t>Această rubrică se aplică numai unităților de transport marfă în care sunt instalate baterii cu litiu ion sau baterii cu litiu metal</w:t>
      </w:r>
      <w:r w:rsidR="00C16E6D" w:rsidRPr="00857CDA">
        <w:rPr>
          <w:lang w:val="ro-RO"/>
        </w:rPr>
        <w:t xml:space="preserve"> </w:t>
      </w:r>
      <w:r w:rsidR="00D7127A" w:rsidRPr="00857CDA">
        <w:rPr>
          <w:lang w:val="ro-RO"/>
        </w:rPr>
        <w:t>care sunt concepute exclusiv pentru a furniza energie</w:t>
      </w:r>
      <w:r w:rsidR="00C16E6D" w:rsidRPr="00857CDA">
        <w:rPr>
          <w:lang w:val="ro-RO"/>
        </w:rPr>
        <w:t xml:space="preserve"> unității</w:t>
      </w:r>
      <w:r w:rsidR="00D7127A" w:rsidRPr="00857CDA">
        <w:rPr>
          <w:lang w:val="ro-RO"/>
        </w:rPr>
        <w:t xml:space="preserve">. Bateriile cu litiu trebuie să îndeplinească </w:t>
      </w:r>
      <w:r w:rsidR="00C16E6D" w:rsidRPr="00857CDA">
        <w:rPr>
          <w:lang w:val="ro-RO"/>
        </w:rPr>
        <w:t>dispozițiile</w:t>
      </w:r>
      <w:r w:rsidR="00D7127A" w:rsidRPr="00857CDA">
        <w:rPr>
          <w:lang w:val="ro-RO"/>
        </w:rPr>
        <w:t xml:space="preserve"> de la 2.2.9.1.7 </w:t>
      </w:r>
      <w:r w:rsidR="00C16E6D" w:rsidRPr="00857CDA">
        <w:rPr>
          <w:lang w:val="ro-RO"/>
        </w:rPr>
        <w:t xml:space="preserve">de la </w:t>
      </w:r>
      <w:r w:rsidR="00D7127A" w:rsidRPr="00857CDA">
        <w:rPr>
          <w:lang w:val="ro-RO"/>
        </w:rPr>
        <w:t>(a) până la (g) și să conțină sistemele necesare pentru a preveni supraîncărcarea sau descărcarea excesivă a bateriilor</w:t>
      </w:r>
      <w:r w:rsidR="000200D8" w:rsidRPr="00857CDA">
        <w:rPr>
          <w:lang w:val="ro-RO"/>
        </w:rPr>
        <w:t>.</w:t>
      </w:r>
    </w:p>
    <w:p w:rsidR="00C16E6D" w:rsidRPr="00857CDA" w:rsidRDefault="00C16E6D" w:rsidP="00BA3214">
      <w:pPr>
        <w:pStyle w:val="SingleTxtG"/>
        <w:rPr>
          <w:lang w:val="ro-RO"/>
        </w:rPr>
      </w:pPr>
      <w:r w:rsidRPr="00857CDA">
        <w:rPr>
          <w:lang w:val="ro-RO"/>
        </w:rPr>
        <w:t xml:space="preserve">Bateriile trebuie să fie bine arimate de structura interioară a unității de transport marfă (de exemplu, prin plasarea pe rafturi sau în dulapuri), astfel încât să se prevină orice scurt-circuit, orice funcționare accidentală sau orice mișcare semnificativă atunci când unitatea de transport marfă este supusă unor șocuri, este manipulată sau este supusă vibrațiilor inerente transportului. Mărfurile periculoase necesare pentru buna funcționare a unității de transport marfă și pentru siguranța acesteia (de exemplu, sistemele de stingere a incendiilor și sisteme de climatizare) trebuie să fie </w:t>
      </w:r>
      <w:r w:rsidR="003F6E73" w:rsidRPr="00857CDA">
        <w:rPr>
          <w:lang w:val="ro-RO"/>
        </w:rPr>
        <w:t>fixate</w:t>
      </w:r>
      <w:r w:rsidRPr="00857CDA">
        <w:rPr>
          <w:lang w:val="ro-RO"/>
        </w:rPr>
        <w:t xml:space="preserve"> sau instalate corespunzător </w:t>
      </w:r>
      <w:r w:rsidR="003F6E73" w:rsidRPr="00857CDA">
        <w:rPr>
          <w:iCs/>
          <w:lang w:val="ro-RO"/>
        </w:rPr>
        <w:t>și nu sunt supuse altor prescripții din ADR</w:t>
      </w:r>
      <w:r w:rsidRPr="00857CDA">
        <w:rPr>
          <w:lang w:val="ro-RO"/>
        </w:rPr>
        <w:t xml:space="preserve">. </w:t>
      </w:r>
      <w:r w:rsidR="003F6E73" w:rsidRPr="00857CDA">
        <w:rPr>
          <w:lang w:val="ro-RO"/>
        </w:rPr>
        <w:t>Mărfurile</w:t>
      </w:r>
      <w:r w:rsidRPr="00857CDA">
        <w:rPr>
          <w:lang w:val="ro-RO"/>
        </w:rPr>
        <w:t xml:space="preserve"> periculoase </w:t>
      </w:r>
      <w:r w:rsidR="003F6E73" w:rsidRPr="00857CDA">
        <w:rPr>
          <w:lang w:val="ro-RO"/>
        </w:rPr>
        <w:t xml:space="preserve">care nu sunt </w:t>
      </w:r>
      <w:r w:rsidRPr="00857CDA">
        <w:rPr>
          <w:lang w:val="ro-RO"/>
        </w:rPr>
        <w:t xml:space="preserve">necesare pentru buna </w:t>
      </w:r>
      <w:r w:rsidR="003F6E73" w:rsidRPr="00857CDA">
        <w:rPr>
          <w:lang w:val="ro-RO"/>
        </w:rPr>
        <w:t xml:space="preserve">sa </w:t>
      </w:r>
      <w:r w:rsidRPr="00857CDA">
        <w:rPr>
          <w:lang w:val="ro-RO"/>
        </w:rPr>
        <w:t>funcționare și siguranț</w:t>
      </w:r>
      <w:r w:rsidR="003F6E73" w:rsidRPr="00857CDA">
        <w:rPr>
          <w:lang w:val="ro-RO"/>
        </w:rPr>
        <w:t>ă</w:t>
      </w:r>
      <w:r w:rsidRPr="00857CDA">
        <w:rPr>
          <w:lang w:val="ro-RO"/>
        </w:rPr>
        <w:t xml:space="preserve"> nu trebuie transportate în interiorul </w:t>
      </w:r>
      <w:r w:rsidR="003F6E73" w:rsidRPr="00857CDA">
        <w:rPr>
          <w:lang w:val="ro-RO"/>
        </w:rPr>
        <w:t>unității de transport marfă</w:t>
      </w:r>
      <w:r w:rsidRPr="00857CDA">
        <w:rPr>
          <w:lang w:val="ro-RO"/>
        </w:rPr>
        <w:t>.</w:t>
      </w:r>
    </w:p>
    <w:p w:rsidR="00196C06" w:rsidRPr="00857CDA" w:rsidRDefault="008E6528" w:rsidP="008E6528">
      <w:pPr>
        <w:pStyle w:val="SingleTxtG"/>
        <w:rPr>
          <w:lang w:val="ro-RO"/>
        </w:rPr>
      </w:pPr>
      <w:r w:rsidRPr="00857CDA">
        <w:rPr>
          <w:lang w:val="ro-RO"/>
        </w:rPr>
        <w:t>Bateriile din interiorul unității de transport marfă nu sunt supuse prescripțiilor de marcare sau de etichetare. Unitatea de transport marfă trebuie să poarte atât plăci de semnalizare portocalii în conformitate cu 5.3.2.2, cât și plăci-etichetă în conformitate cu 5.3.1.1, pe două laturi opuse</w:t>
      </w:r>
      <w:r w:rsidR="00196C06" w:rsidRPr="00857CDA">
        <w:rPr>
          <w:lang w:val="ro-RO"/>
        </w:rPr>
        <w:t>.</w:t>
      </w:r>
      <w:r w:rsidR="00660131" w:rsidRPr="00857CDA">
        <w:rPr>
          <w:lang w:val="ro-RO"/>
        </w:rPr>
        <w:t>”</w:t>
      </w:r>
      <w:r w:rsidR="00196C06" w:rsidRPr="00857CDA">
        <w:rPr>
          <w:lang w:val="ro-RO"/>
        </w:rPr>
        <w:t>.</w:t>
      </w:r>
    </w:p>
    <w:p w:rsidR="00BE6A49" w:rsidRPr="00857CDA" w:rsidRDefault="00CD52C1" w:rsidP="00D53F01">
      <w:pPr>
        <w:pStyle w:val="SingleTxtG"/>
        <w:rPr>
          <w:lang w:val="ro-RO"/>
        </w:rPr>
      </w:pPr>
      <w:r w:rsidRPr="00857CDA">
        <w:rPr>
          <w:lang w:val="ro-RO"/>
        </w:rPr>
        <w:t>„</w:t>
      </w:r>
      <w:r w:rsidR="00BE6A49" w:rsidRPr="00857CDA">
        <w:rPr>
          <w:lang w:val="ro-RO"/>
        </w:rPr>
        <w:t>391</w:t>
      </w:r>
      <w:r w:rsidR="00BE6A49" w:rsidRPr="00857CDA">
        <w:rPr>
          <w:lang w:val="ro-RO"/>
        </w:rPr>
        <w:tab/>
      </w:r>
      <w:r w:rsidR="00BC0C23" w:rsidRPr="00857CDA">
        <w:rPr>
          <w:i/>
          <w:lang w:val="ro-RO"/>
        </w:rPr>
        <w:t>(R</w:t>
      </w:r>
      <w:r w:rsidR="00E16E0D" w:rsidRPr="00857CDA">
        <w:rPr>
          <w:i/>
          <w:lang w:val="ro-RO"/>
        </w:rPr>
        <w:t>ez</w:t>
      </w:r>
      <w:r w:rsidR="00BC0C23" w:rsidRPr="00857CDA">
        <w:rPr>
          <w:i/>
          <w:lang w:val="ro-RO"/>
        </w:rPr>
        <w:t>erv</w:t>
      </w:r>
      <w:r w:rsidR="00E16E0D" w:rsidRPr="00857CDA">
        <w:rPr>
          <w:i/>
          <w:lang w:val="ro-RO"/>
        </w:rPr>
        <w:t>at</w:t>
      </w:r>
      <w:r w:rsidR="00BC0C23" w:rsidRPr="00857CDA">
        <w:rPr>
          <w:i/>
          <w:lang w:val="ro-RO"/>
        </w:rPr>
        <w:t>)</w:t>
      </w:r>
      <w:r w:rsidR="00660131" w:rsidRPr="00857CDA">
        <w:rPr>
          <w:lang w:val="ro-RO"/>
        </w:rPr>
        <w:t>”</w:t>
      </w:r>
      <w:r w:rsidR="00BE6A49" w:rsidRPr="00857CDA">
        <w:rPr>
          <w:lang w:val="ro-RO"/>
        </w:rPr>
        <w:t>.</w:t>
      </w:r>
    </w:p>
    <w:p w:rsidR="00113683" w:rsidRPr="00857CDA" w:rsidRDefault="00CD52C1" w:rsidP="0036054F">
      <w:pPr>
        <w:pStyle w:val="SingleTxtG"/>
        <w:rPr>
          <w:lang w:val="ro-RO"/>
        </w:rPr>
      </w:pPr>
      <w:r w:rsidRPr="00857CDA">
        <w:rPr>
          <w:lang w:val="ro-RO"/>
        </w:rPr>
        <w:t>„</w:t>
      </w:r>
      <w:r w:rsidR="00113683" w:rsidRPr="00857CDA">
        <w:rPr>
          <w:lang w:val="ro-RO"/>
        </w:rPr>
        <w:t>392</w:t>
      </w:r>
      <w:r w:rsidR="00113683" w:rsidRPr="00857CDA">
        <w:rPr>
          <w:lang w:val="ro-RO"/>
        </w:rPr>
        <w:tab/>
      </w:r>
      <w:r w:rsidR="0036054F" w:rsidRPr="00857CDA">
        <w:rPr>
          <w:lang w:val="ro-RO"/>
        </w:rPr>
        <w:t>Pentru transportul sistemelor de retenție a gazelor combustibile concepute pentru a fi instalate pe autovehicule și care sunt aprobate în acest scop și conțin aceste gaze, nu sunt aplicabile prevederile dispozițiilor de la 4.1.4.1 și de la capitolul 6.2 dacă sunt transportate în vederea eliminării, reciclării, reparației, inspecției sau întreținerii ori de la locul lor de producție la o secție de asamblare a vehiculelor, dacă sunt îndeplinite condițiile următoare</w:t>
      </w:r>
      <w:r w:rsidR="00113683" w:rsidRPr="00857CDA">
        <w:rPr>
          <w:lang w:val="ro-RO"/>
        </w:rPr>
        <w:t>:</w:t>
      </w:r>
    </w:p>
    <w:p w:rsidR="00F12C72" w:rsidRPr="00857CDA" w:rsidRDefault="00F12C72" w:rsidP="00A066CF">
      <w:pPr>
        <w:pStyle w:val="SingleTxtG"/>
        <w:rPr>
          <w:lang w:val="ro-RO"/>
        </w:rPr>
      </w:pPr>
      <w:r w:rsidRPr="00857CDA">
        <w:rPr>
          <w:lang w:val="ro-RO"/>
        </w:rPr>
        <w:t>a)</w:t>
      </w:r>
      <w:r w:rsidRPr="00857CDA">
        <w:rPr>
          <w:lang w:val="ro-RO"/>
        </w:rPr>
        <w:tab/>
      </w:r>
      <w:r w:rsidR="0036054F" w:rsidRPr="00857CDA">
        <w:rPr>
          <w:lang w:val="ro-RO"/>
        </w:rPr>
        <w:t>Sistemele de retenție a gazelor combustibile îndeplinesc prescripțiile standardelor sau reglementărilor aplicabile rezervoarelor de combustibil pentru auto</w:t>
      </w:r>
      <w:r w:rsidR="00A066CF" w:rsidRPr="00857CDA">
        <w:rPr>
          <w:lang w:val="ro-RO"/>
        </w:rPr>
        <w:t>vehicu</w:t>
      </w:r>
      <w:r w:rsidR="0036054F" w:rsidRPr="00857CDA">
        <w:rPr>
          <w:lang w:val="ro-RO"/>
        </w:rPr>
        <w:t xml:space="preserve">le, după caz. </w:t>
      </w:r>
      <w:r w:rsidR="00A066CF" w:rsidRPr="00857CDA">
        <w:rPr>
          <w:lang w:val="ro-RO"/>
        </w:rPr>
        <w:t>În continuare sunt prezentate e</w:t>
      </w:r>
      <w:r w:rsidR="0036054F" w:rsidRPr="00857CDA">
        <w:rPr>
          <w:lang w:val="ro-RO"/>
        </w:rPr>
        <w:t>xemple de standarde și reglementări aplicabile</w:t>
      </w:r>
      <w:r w:rsidRPr="00857CDA">
        <w:rPr>
          <w:lang w:val="ro-RO"/>
        </w:rPr>
        <w:t>:</w:t>
      </w:r>
    </w:p>
    <w:tbl>
      <w:tblPr>
        <w:tblW w:w="737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4110"/>
      </w:tblGrid>
      <w:tr w:rsidR="00A074FC" w:rsidRPr="00857CDA" w:rsidTr="00AF3F82">
        <w:trPr>
          <w:cantSplit/>
        </w:trPr>
        <w:tc>
          <w:tcPr>
            <w:tcW w:w="7376" w:type="dxa"/>
            <w:gridSpan w:val="2"/>
            <w:shd w:val="clear" w:color="auto" w:fill="auto"/>
          </w:tcPr>
          <w:p w:rsidR="00F12C72" w:rsidRPr="00857CDA" w:rsidRDefault="00F12C72" w:rsidP="00CD52C1">
            <w:pPr>
              <w:keepNext/>
              <w:spacing w:before="40" w:after="120"/>
              <w:ind w:left="113" w:right="113"/>
              <w:rPr>
                <w:lang w:val="ro-RO"/>
              </w:rPr>
            </w:pPr>
            <w:r w:rsidRPr="00857CDA">
              <w:rPr>
                <w:b/>
                <w:bCs/>
                <w:lang w:val="ro-RO" w:eastAsia="en-GB" w:bidi="en-GB"/>
              </w:rPr>
              <w:t>R</w:t>
            </w:r>
            <w:r w:rsidR="00CD52C1" w:rsidRPr="00857CDA">
              <w:rPr>
                <w:b/>
                <w:bCs/>
                <w:lang w:val="ro-RO" w:eastAsia="en-GB" w:bidi="en-GB"/>
              </w:rPr>
              <w:t>ezervoare de</w:t>
            </w:r>
            <w:r w:rsidRPr="00857CDA">
              <w:rPr>
                <w:b/>
                <w:bCs/>
                <w:lang w:val="ro-RO" w:eastAsia="en-GB" w:bidi="en-GB"/>
              </w:rPr>
              <w:t xml:space="preserve"> GPL</w:t>
            </w:r>
          </w:p>
        </w:tc>
      </w:tr>
      <w:tr w:rsidR="00A074FC" w:rsidRPr="00DF3A58" w:rsidTr="00AF3F82">
        <w:trPr>
          <w:cantSplit/>
        </w:trPr>
        <w:tc>
          <w:tcPr>
            <w:tcW w:w="3266" w:type="dxa"/>
            <w:shd w:val="clear" w:color="auto" w:fill="auto"/>
          </w:tcPr>
          <w:p w:rsidR="00F12C72" w:rsidRPr="00857CDA" w:rsidRDefault="00857CDA" w:rsidP="00E16E0D">
            <w:pPr>
              <w:spacing w:before="40" w:after="120"/>
              <w:ind w:left="113" w:right="113"/>
              <w:rPr>
                <w:lang w:val="ro-RO" w:eastAsia="en-GB" w:bidi="en-GB"/>
              </w:rPr>
            </w:pPr>
            <w:r w:rsidRPr="00857CDA">
              <w:rPr>
                <w:lang w:val="ro-RO"/>
              </w:rPr>
              <w:t>Regulamentul</w:t>
            </w:r>
            <w:r w:rsidR="00081D4A" w:rsidRPr="00857CDA">
              <w:rPr>
                <w:lang w:val="ro-RO"/>
              </w:rPr>
              <w:t xml:space="preserve"> CEE-ONU </w:t>
            </w:r>
            <w:r w:rsidR="00F12C72" w:rsidRPr="00857CDA">
              <w:rPr>
                <w:lang w:val="ro-RO"/>
              </w:rPr>
              <w:t>N</w:t>
            </w:r>
            <w:r w:rsidR="00E16E0D" w:rsidRPr="00857CDA">
              <w:rPr>
                <w:lang w:val="ro-RO"/>
              </w:rPr>
              <w:t>r.</w:t>
            </w:r>
            <w:r w:rsidR="00F12C72" w:rsidRPr="00857CDA">
              <w:rPr>
                <w:lang w:val="ro-RO"/>
              </w:rPr>
              <w:t xml:space="preserve"> 67, R</w:t>
            </w:r>
            <w:r w:rsidR="00E16E0D" w:rsidRPr="00857CDA">
              <w:rPr>
                <w:lang w:val="ro-RO"/>
              </w:rPr>
              <w:t>e</w:t>
            </w:r>
            <w:r w:rsidR="00F12C72" w:rsidRPr="00857CDA">
              <w:rPr>
                <w:lang w:val="ro-RO"/>
              </w:rPr>
              <w:t>vi</w:t>
            </w:r>
            <w:r w:rsidR="00E16E0D" w:rsidRPr="00857CDA">
              <w:rPr>
                <w:lang w:val="ro-RO"/>
              </w:rPr>
              <w:t>z</w:t>
            </w:r>
            <w:r w:rsidR="00F12C72" w:rsidRPr="00857CDA">
              <w:rPr>
                <w:lang w:val="ro-RO"/>
              </w:rPr>
              <w:t>i</w:t>
            </w:r>
            <w:r w:rsidR="00E16E0D" w:rsidRPr="00857CDA">
              <w:rPr>
                <w:lang w:val="ro-RO"/>
              </w:rPr>
              <w:t>a</w:t>
            </w:r>
            <w:r w:rsidR="00F12C72" w:rsidRPr="00857CDA">
              <w:rPr>
                <w:lang w:val="ro-RO"/>
              </w:rPr>
              <w:t xml:space="preserve"> 2</w:t>
            </w:r>
          </w:p>
        </w:tc>
        <w:tc>
          <w:tcPr>
            <w:tcW w:w="4110" w:type="dxa"/>
            <w:shd w:val="clear" w:color="auto" w:fill="auto"/>
          </w:tcPr>
          <w:p w:rsidR="00F12C72" w:rsidRPr="00857CDA" w:rsidRDefault="00947350" w:rsidP="00947350">
            <w:pPr>
              <w:spacing w:before="40" w:after="120"/>
              <w:ind w:left="113" w:right="113"/>
              <w:rPr>
                <w:lang w:val="ro-RO"/>
              </w:rPr>
            </w:pPr>
            <w:r w:rsidRPr="00857CDA">
              <w:rPr>
                <w:lang w:val="ro-RO"/>
              </w:rPr>
              <w:t>Dispoziții uniforme privind: I. Omologarea echipamentelor specifice ale vehiculelor din categoriile M și N care utilizează gaz petrolier lichefiat în sistemul lor de propulsie; II. Omologarea vehiculelor din categoriile M și N dotate cu echipamente specifice pentru utilizarea gazului petrolier lichefiat în sistemul lor de propulsie în ceea ce privește instalarea unor astfel de echipamente</w:t>
            </w:r>
          </w:p>
        </w:tc>
      </w:tr>
      <w:tr w:rsidR="00A074FC" w:rsidRPr="00DF3A58" w:rsidTr="00AF3F82">
        <w:trPr>
          <w:cantSplit/>
        </w:trPr>
        <w:tc>
          <w:tcPr>
            <w:tcW w:w="3266" w:type="dxa"/>
            <w:shd w:val="clear" w:color="auto" w:fill="auto"/>
          </w:tcPr>
          <w:p w:rsidR="00F12C72" w:rsidRPr="00857CDA" w:rsidRDefault="00857CDA" w:rsidP="008B7736">
            <w:pPr>
              <w:spacing w:before="40" w:after="120"/>
              <w:ind w:left="113" w:right="113"/>
              <w:rPr>
                <w:lang w:val="ro-RO" w:eastAsia="en-GB" w:bidi="en-GB"/>
              </w:rPr>
            </w:pPr>
            <w:r w:rsidRPr="00857CDA">
              <w:rPr>
                <w:lang w:val="ro-RO"/>
              </w:rPr>
              <w:lastRenderedPageBreak/>
              <w:t>Regulamentul</w:t>
            </w:r>
            <w:r w:rsidR="00081D4A" w:rsidRPr="00857CDA">
              <w:rPr>
                <w:lang w:val="ro-RO"/>
              </w:rPr>
              <w:t xml:space="preserve"> CEE-ONU </w:t>
            </w:r>
            <w:r w:rsidR="00E16E0D" w:rsidRPr="00857CDA">
              <w:rPr>
                <w:lang w:val="ro-RO"/>
              </w:rPr>
              <w:t>Nr.</w:t>
            </w:r>
            <w:r w:rsidR="00F12C72" w:rsidRPr="00857CDA">
              <w:rPr>
                <w:lang w:val="ro-RO"/>
              </w:rPr>
              <w:t xml:space="preserve"> 115</w:t>
            </w:r>
          </w:p>
        </w:tc>
        <w:tc>
          <w:tcPr>
            <w:tcW w:w="4110" w:type="dxa"/>
            <w:shd w:val="clear" w:color="auto" w:fill="auto"/>
          </w:tcPr>
          <w:p w:rsidR="00F12C72" w:rsidRPr="00857CDA" w:rsidRDefault="00947350" w:rsidP="00E26848">
            <w:pPr>
              <w:spacing w:before="40" w:after="120"/>
              <w:ind w:left="113" w:right="113"/>
              <w:rPr>
                <w:lang w:val="ro-RO"/>
              </w:rPr>
            </w:pPr>
            <w:r w:rsidRPr="00857CDA">
              <w:rPr>
                <w:lang w:val="ro-RO"/>
              </w:rPr>
              <w:t xml:space="preserve">Dispoziții uniforme privind omologarea: I. sistemelor specifice de adaptare în vederea utilizării GPL (gaze petroliere lichefiate) care se instalează în vehiculele cu motor pentru utilizarea GPL în sistemul de propulsie II. sistemelor specifice de adaptare în vederea utilizării GNC (gaze naturale comprimate) care se instalează în vehiculele cu motor pentru utilizarea GNC în sistemul de propulsie </w:t>
            </w:r>
          </w:p>
        </w:tc>
      </w:tr>
      <w:tr w:rsidR="00A074FC" w:rsidRPr="00857CDA" w:rsidTr="00AF3F82">
        <w:trPr>
          <w:cantSplit/>
        </w:trPr>
        <w:tc>
          <w:tcPr>
            <w:tcW w:w="7376" w:type="dxa"/>
            <w:gridSpan w:val="2"/>
            <w:shd w:val="clear" w:color="auto" w:fill="auto"/>
          </w:tcPr>
          <w:p w:rsidR="00F12C72" w:rsidRPr="00857CDA" w:rsidRDefault="00F12C72" w:rsidP="00CD52C1">
            <w:pPr>
              <w:spacing w:before="40" w:after="120"/>
              <w:ind w:left="113" w:right="113"/>
              <w:rPr>
                <w:lang w:val="ro-RO"/>
              </w:rPr>
            </w:pPr>
            <w:r w:rsidRPr="00857CDA">
              <w:rPr>
                <w:b/>
                <w:bCs/>
                <w:lang w:val="ro-RO" w:eastAsia="en-GB" w:bidi="en-GB"/>
              </w:rPr>
              <w:t>R</w:t>
            </w:r>
            <w:r w:rsidR="00CD52C1" w:rsidRPr="00857CDA">
              <w:rPr>
                <w:b/>
                <w:bCs/>
                <w:lang w:val="ro-RO" w:eastAsia="en-GB" w:bidi="en-GB"/>
              </w:rPr>
              <w:t>ezervoare de</w:t>
            </w:r>
            <w:r w:rsidRPr="00857CDA">
              <w:rPr>
                <w:b/>
                <w:bCs/>
                <w:lang w:val="ro-RO" w:eastAsia="en-GB" w:bidi="en-GB"/>
              </w:rPr>
              <w:t xml:space="preserve"> GNC</w:t>
            </w:r>
            <w:r w:rsidR="004C27AD" w:rsidRPr="00857CDA">
              <w:rPr>
                <w:b/>
                <w:bCs/>
                <w:lang w:val="ro-RO" w:eastAsia="en-GB" w:bidi="en-GB"/>
              </w:rPr>
              <w:t xml:space="preserve"> și </w:t>
            </w:r>
            <w:r w:rsidR="00850374" w:rsidRPr="00857CDA">
              <w:rPr>
                <w:b/>
                <w:bCs/>
                <w:lang w:val="ro-RO" w:eastAsia="en-GB" w:bidi="en-GB"/>
              </w:rPr>
              <w:t>GNL</w:t>
            </w:r>
          </w:p>
        </w:tc>
      </w:tr>
      <w:tr w:rsidR="00A074FC" w:rsidRPr="0079052F" w:rsidTr="00AF3F82">
        <w:trPr>
          <w:cantSplit/>
        </w:trPr>
        <w:tc>
          <w:tcPr>
            <w:tcW w:w="3266" w:type="dxa"/>
            <w:shd w:val="clear" w:color="auto" w:fill="auto"/>
          </w:tcPr>
          <w:p w:rsidR="00F12C72" w:rsidRPr="00857CDA" w:rsidRDefault="00857CDA" w:rsidP="008B7736">
            <w:pPr>
              <w:spacing w:before="40" w:after="120"/>
              <w:ind w:left="113" w:right="113"/>
              <w:rPr>
                <w:lang w:val="ro-RO" w:eastAsia="en-GB" w:bidi="en-GB"/>
              </w:rPr>
            </w:pPr>
            <w:r w:rsidRPr="00857CDA">
              <w:rPr>
                <w:lang w:val="ro-RO"/>
              </w:rPr>
              <w:t>Regulamentul</w:t>
            </w:r>
            <w:r w:rsidR="00081D4A" w:rsidRPr="00857CDA">
              <w:rPr>
                <w:lang w:val="ro-RO"/>
              </w:rPr>
              <w:t xml:space="preserve"> CEE-ONU </w:t>
            </w:r>
            <w:r w:rsidR="00E16E0D" w:rsidRPr="00857CDA">
              <w:rPr>
                <w:lang w:val="ro-RO"/>
              </w:rPr>
              <w:t>Nr.</w:t>
            </w:r>
            <w:r w:rsidR="00F12C72" w:rsidRPr="00857CDA">
              <w:rPr>
                <w:lang w:val="ro-RO"/>
              </w:rPr>
              <w:t xml:space="preserve"> 110</w:t>
            </w:r>
          </w:p>
        </w:tc>
        <w:tc>
          <w:tcPr>
            <w:tcW w:w="4110" w:type="dxa"/>
            <w:shd w:val="clear" w:color="auto" w:fill="auto"/>
          </w:tcPr>
          <w:p w:rsidR="00F12C72" w:rsidRPr="00857CDA" w:rsidRDefault="008F3E66" w:rsidP="008F3E66">
            <w:pPr>
              <w:spacing w:before="40" w:after="120"/>
              <w:ind w:left="113" w:right="113"/>
              <w:rPr>
                <w:lang w:val="ro-RO"/>
              </w:rPr>
            </w:pPr>
            <w:r w:rsidRPr="00857CDA">
              <w:rPr>
                <w:lang w:val="ro-RO"/>
              </w:rPr>
              <w:t>Dispoziții uniforme privind omologarea: I. Componentelor specifice ale autovehiculelor care utilizează gaz natural comprimat (GNC) și/sau gaz natural lichefiat (GNL) în sistemul lor de propulsie II. Vehiculelor în ceea ce privește instalarea unor componente specifice de tip omologat pentru utilizarea gazului natural comprimat (GNC) și/sau a gazului natural lichefiat (GNL) în sistemul lor de propulsie</w:t>
            </w:r>
          </w:p>
        </w:tc>
      </w:tr>
      <w:tr w:rsidR="00A074FC" w:rsidRPr="00DF3A58" w:rsidTr="00AF3F82">
        <w:trPr>
          <w:cantSplit/>
        </w:trPr>
        <w:tc>
          <w:tcPr>
            <w:tcW w:w="3266" w:type="dxa"/>
            <w:shd w:val="clear" w:color="auto" w:fill="auto"/>
          </w:tcPr>
          <w:p w:rsidR="00F12C72" w:rsidRPr="00857CDA" w:rsidRDefault="00857CDA" w:rsidP="008B7736">
            <w:pPr>
              <w:spacing w:before="40" w:after="120"/>
              <w:ind w:left="113" w:right="113"/>
              <w:rPr>
                <w:lang w:val="ro-RO" w:eastAsia="en-GB" w:bidi="en-GB"/>
              </w:rPr>
            </w:pPr>
            <w:r w:rsidRPr="00857CDA">
              <w:rPr>
                <w:lang w:val="ro-RO"/>
              </w:rPr>
              <w:t>Regulamentul</w:t>
            </w:r>
            <w:r w:rsidR="00081D4A" w:rsidRPr="00857CDA">
              <w:rPr>
                <w:lang w:val="ro-RO"/>
              </w:rPr>
              <w:t xml:space="preserve"> CEE-ONU </w:t>
            </w:r>
            <w:r w:rsidR="00E16E0D" w:rsidRPr="00857CDA">
              <w:rPr>
                <w:lang w:val="ro-RO"/>
              </w:rPr>
              <w:t>Nr.</w:t>
            </w:r>
            <w:r w:rsidR="00F12C72" w:rsidRPr="00857CDA">
              <w:rPr>
                <w:lang w:val="ro-RO"/>
              </w:rPr>
              <w:t xml:space="preserve"> 115</w:t>
            </w:r>
          </w:p>
        </w:tc>
        <w:tc>
          <w:tcPr>
            <w:tcW w:w="4110" w:type="dxa"/>
            <w:shd w:val="clear" w:color="auto" w:fill="auto"/>
          </w:tcPr>
          <w:p w:rsidR="00F12C72" w:rsidRPr="00857CDA" w:rsidRDefault="008F3E66" w:rsidP="00EE2281">
            <w:pPr>
              <w:spacing w:before="40" w:after="120"/>
              <w:ind w:left="134" w:right="113"/>
              <w:rPr>
                <w:lang w:val="ro-RO" w:eastAsia="en-GB" w:bidi="en-GB"/>
              </w:rPr>
            </w:pPr>
            <w:r w:rsidRPr="00857CDA">
              <w:rPr>
                <w:lang w:val="ro-RO"/>
              </w:rPr>
              <w:t>Dispoziții uniforme privind omologarea: I. sistemelor specifice de adaptare în vederea utilizării GPL (gaze petroliere lichefiate) care se instalează în vehiculele cu motor pentru utilizarea GPL în sistemul de propulsie II. sistemelor specifice de adaptare în vederea utilizării GNC (gaze naturale comprimate) care se instalează în vehiculele cu motor pentru utilizarea GNC în sistemul de propulsie</w:t>
            </w:r>
          </w:p>
        </w:tc>
      </w:tr>
      <w:tr w:rsidR="00A074FC" w:rsidRPr="0079052F" w:rsidTr="00AF3F82">
        <w:trPr>
          <w:cantSplit/>
        </w:trPr>
        <w:tc>
          <w:tcPr>
            <w:tcW w:w="3266" w:type="dxa"/>
            <w:shd w:val="clear" w:color="auto" w:fill="auto"/>
          </w:tcPr>
          <w:p w:rsidR="00F12C72" w:rsidRPr="00857CDA" w:rsidRDefault="00F12C72" w:rsidP="008B7736">
            <w:pPr>
              <w:spacing w:before="40" w:after="120"/>
              <w:ind w:left="113" w:right="113"/>
              <w:rPr>
                <w:lang w:val="ro-RO" w:eastAsia="en-GB" w:bidi="en-GB"/>
              </w:rPr>
            </w:pPr>
            <w:r w:rsidRPr="00857CDA">
              <w:rPr>
                <w:lang w:val="ro-RO"/>
              </w:rPr>
              <w:t xml:space="preserve">ISO 11439:2013 </w:t>
            </w:r>
          </w:p>
        </w:tc>
        <w:tc>
          <w:tcPr>
            <w:tcW w:w="4110" w:type="dxa"/>
            <w:shd w:val="clear" w:color="auto" w:fill="auto"/>
          </w:tcPr>
          <w:p w:rsidR="00F12C72" w:rsidRPr="00857CDA" w:rsidRDefault="008F3E66" w:rsidP="008F3E66">
            <w:pPr>
              <w:spacing w:before="40" w:after="120"/>
              <w:ind w:left="113" w:right="113"/>
              <w:rPr>
                <w:lang w:val="ro-RO"/>
              </w:rPr>
            </w:pPr>
            <w:r w:rsidRPr="00857CDA">
              <w:rPr>
                <w:lang w:val="ro-RO"/>
              </w:rPr>
              <w:t>Butelii pentru gaz - Butelii de înaltă presiune pentru depozitarea gazelor naturale utilizate drept combustibil la bordul autovehiculelor</w:t>
            </w:r>
          </w:p>
        </w:tc>
      </w:tr>
      <w:tr w:rsidR="00A074FC" w:rsidRPr="00857CDA" w:rsidTr="00AF3F82">
        <w:trPr>
          <w:cantSplit/>
        </w:trPr>
        <w:tc>
          <w:tcPr>
            <w:tcW w:w="3266" w:type="dxa"/>
            <w:shd w:val="clear" w:color="auto" w:fill="auto"/>
          </w:tcPr>
          <w:p w:rsidR="00F12C72" w:rsidRPr="00857CDA" w:rsidRDefault="00F12C72" w:rsidP="00857CDA">
            <w:pPr>
              <w:spacing w:before="40" w:after="120"/>
              <w:ind w:left="113" w:right="113"/>
              <w:rPr>
                <w:lang w:val="ro-RO" w:eastAsia="en-GB" w:bidi="en-GB"/>
              </w:rPr>
            </w:pPr>
            <w:r w:rsidRPr="00857CDA">
              <w:rPr>
                <w:lang w:val="ro-RO"/>
              </w:rPr>
              <w:t>S</w:t>
            </w:r>
            <w:r w:rsidR="00857CDA">
              <w:rPr>
                <w:lang w:val="ro-RO"/>
              </w:rPr>
              <w:t>eria de standarde</w:t>
            </w:r>
            <w:r w:rsidRPr="00857CDA">
              <w:rPr>
                <w:lang w:val="ro-RO"/>
              </w:rPr>
              <w:t xml:space="preserve"> ISO 15500 </w:t>
            </w:r>
          </w:p>
        </w:tc>
        <w:tc>
          <w:tcPr>
            <w:tcW w:w="4110" w:type="dxa"/>
            <w:shd w:val="clear" w:color="auto" w:fill="auto"/>
          </w:tcPr>
          <w:p w:rsidR="00F12C72" w:rsidRPr="00857CDA" w:rsidRDefault="008F3E66" w:rsidP="008F3E66">
            <w:pPr>
              <w:spacing w:before="40" w:after="120"/>
              <w:ind w:left="113" w:right="113"/>
              <w:rPr>
                <w:lang w:val="ro-RO"/>
              </w:rPr>
            </w:pPr>
            <w:r w:rsidRPr="00857CDA">
              <w:rPr>
                <w:lang w:val="ro-RO"/>
              </w:rPr>
              <w:t>Vehicule rutiere - Componente ale sistemului de combustie cu gaz natural comprimat (GNC) - Diferite părți aplicabile</w:t>
            </w:r>
          </w:p>
        </w:tc>
      </w:tr>
      <w:tr w:rsidR="00A074FC" w:rsidRPr="00DF3A58" w:rsidTr="00AF3F82">
        <w:trPr>
          <w:cantSplit/>
        </w:trPr>
        <w:tc>
          <w:tcPr>
            <w:tcW w:w="3266" w:type="dxa"/>
            <w:shd w:val="clear" w:color="auto" w:fill="auto"/>
          </w:tcPr>
          <w:p w:rsidR="00F12C72" w:rsidRPr="00857CDA" w:rsidRDefault="00F12C72" w:rsidP="008B7736">
            <w:pPr>
              <w:spacing w:before="40" w:after="120"/>
              <w:ind w:left="113" w:right="113"/>
              <w:rPr>
                <w:lang w:val="ro-RO" w:eastAsia="en-GB" w:bidi="en-GB"/>
              </w:rPr>
            </w:pPr>
            <w:r w:rsidRPr="00857CDA">
              <w:rPr>
                <w:lang w:val="ro-RO"/>
              </w:rPr>
              <w:t>ANSI NGV 2</w:t>
            </w:r>
          </w:p>
        </w:tc>
        <w:tc>
          <w:tcPr>
            <w:tcW w:w="4110" w:type="dxa"/>
            <w:shd w:val="clear" w:color="auto" w:fill="auto"/>
          </w:tcPr>
          <w:p w:rsidR="00F12C72" w:rsidRPr="00857CDA" w:rsidRDefault="00F12C72" w:rsidP="008B7736">
            <w:pPr>
              <w:spacing w:before="40" w:after="120"/>
              <w:ind w:left="113" w:right="113"/>
              <w:rPr>
                <w:i/>
                <w:lang w:val="ro-RO" w:eastAsia="en-GB" w:bidi="en-GB"/>
              </w:rPr>
            </w:pPr>
            <w:r w:rsidRPr="00857CDA">
              <w:rPr>
                <w:i/>
                <w:lang w:val="ro-RO"/>
              </w:rPr>
              <w:t>Compressed natural gas vehicle fuel containers</w:t>
            </w:r>
          </w:p>
        </w:tc>
      </w:tr>
      <w:tr w:rsidR="00A074FC" w:rsidRPr="00DF3A58" w:rsidTr="00AF3F82">
        <w:trPr>
          <w:cantSplit/>
        </w:trPr>
        <w:tc>
          <w:tcPr>
            <w:tcW w:w="3266" w:type="dxa"/>
            <w:shd w:val="clear" w:color="auto" w:fill="auto"/>
          </w:tcPr>
          <w:p w:rsidR="00F12C72" w:rsidRPr="00857CDA" w:rsidRDefault="00F12C72" w:rsidP="005E2ED8">
            <w:pPr>
              <w:spacing w:before="40" w:after="120"/>
              <w:ind w:left="113" w:right="113"/>
              <w:rPr>
                <w:lang w:val="ro-RO" w:eastAsia="en-GB" w:bidi="en-GB"/>
              </w:rPr>
            </w:pPr>
            <w:r w:rsidRPr="00857CDA">
              <w:rPr>
                <w:lang w:val="ro-RO"/>
              </w:rPr>
              <w:t xml:space="preserve">CSA B51− </w:t>
            </w:r>
            <w:r w:rsidR="005E2ED8" w:rsidRPr="00857CDA">
              <w:rPr>
                <w:lang w:val="ro-RO"/>
              </w:rPr>
              <w:t>Partea a 2-a</w:t>
            </w:r>
            <w:r w:rsidRPr="00857CDA">
              <w:rPr>
                <w:lang w:val="ro-RO"/>
              </w:rPr>
              <w:t>:</w:t>
            </w:r>
            <w:r w:rsidR="005E2ED8" w:rsidRPr="00857CDA">
              <w:rPr>
                <w:lang w:val="ro-RO"/>
              </w:rPr>
              <w:t xml:space="preserve"> </w:t>
            </w:r>
            <w:r w:rsidRPr="00857CDA">
              <w:rPr>
                <w:lang w:val="ro-RO"/>
              </w:rPr>
              <w:t>2014</w:t>
            </w:r>
          </w:p>
        </w:tc>
        <w:tc>
          <w:tcPr>
            <w:tcW w:w="4110" w:type="dxa"/>
            <w:shd w:val="clear" w:color="auto" w:fill="auto"/>
          </w:tcPr>
          <w:p w:rsidR="00F12C72" w:rsidRPr="00857CDA" w:rsidRDefault="005E2ED8" w:rsidP="005E2ED8">
            <w:pPr>
              <w:spacing w:before="40" w:after="120"/>
              <w:ind w:left="113" w:right="113"/>
              <w:rPr>
                <w:lang w:val="ro-RO"/>
              </w:rPr>
            </w:pPr>
            <w:r w:rsidRPr="00857CDA">
              <w:rPr>
                <w:lang w:val="ro-RO"/>
              </w:rPr>
              <w:t>Codul boilerelor, recipientelor sub presiune și conductelor de presiune. Partea 2: Cerințe pentru butelii de înaltă presiune pentru depozitarea combustibilului la bordul autovehiculelor</w:t>
            </w:r>
          </w:p>
        </w:tc>
      </w:tr>
      <w:tr w:rsidR="00A074FC" w:rsidRPr="00857CDA" w:rsidTr="00AF3F82">
        <w:trPr>
          <w:cantSplit/>
        </w:trPr>
        <w:tc>
          <w:tcPr>
            <w:tcW w:w="7376" w:type="dxa"/>
            <w:gridSpan w:val="2"/>
            <w:shd w:val="clear" w:color="auto" w:fill="auto"/>
          </w:tcPr>
          <w:p w:rsidR="00F12C72" w:rsidRPr="00857CDA" w:rsidRDefault="00F12C72" w:rsidP="00CD52C1">
            <w:pPr>
              <w:spacing w:before="40" w:after="120"/>
              <w:ind w:left="113" w:right="113"/>
              <w:rPr>
                <w:b/>
                <w:szCs w:val="24"/>
                <w:lang w:val="ro-RO"/>
              </w:rPr>
            </w:pPr>
            <w:r w:rsidRPr="00857CDA">
              <w:rPr>
                <w:b/>
                <w:szCs w:val="24"/>
                <w:lang w:val="ro-RO" w:eastAsia="en-GB" w:bidi="en-GB"/>
              </w:rPr>
              <w:t>R</w:t>
            </w:r>
            <w:r w:rsidR="00CD52C1" w:rsidRPr="00857CDA">
              <w:rPr>
                <w:b/>
                <w:szCs w:val="24"/>
                <w:lang w:val="ro-RO" w:eastAsia="en-GB" w:bidi="en-GB"/>
              </w:rPr>
              <w:t>ezervoare de</w:t>
            </w:r>
            <w:r w:rsidRPr="00857CDA">
              <w:rPr>
                <w:b/>
                <w:szCs w:val="24"/>
                <w:lang w:val="ro-RO" w:eastAsia="en-GB" w:bidi="en-GB"/>
              </w:rPr>
              <w:t xml:space="preserve"> h</w:t>
            </w:r>
            <w:r w:rsidR="00CD52C1" w:rsidRPr="00857CDA">
              <w:rPr>
                <w:b/>
                <w:szCs w:val="24"/>
                <w:lang w:val="ro-RO" w:eastAsia="en-GB" w:bidi="en-GB"/>
              </w:rPr>
              <w:t>i</w:t>
            </w:r>
            <w:r w:rsidRPr="00857CDA">
              <w:rPr>
                <w:b/>
                <w:szCs w:val="24"/>
                <w:lang w:val="ro-RO" w:eastAsia="en-GB" w:bidi="en-GB"/>
              </w:rPr>
              <w:t>droge</w:t>
            </w:r>
            <w:r w:rsidR="00CD52C1" w:rsidRPr="00857CDA">
              <w:rPr>
                <w:b/>
                <w:szCs w:val="24"/>
                <w:lang w:val="ro-RO" w:eastAsia="en-GB" w:bidi="en-GB"/>
              </w:rPr>
              <w:t>n</w:t>
            </w:r>
            <w:r w:rsidRPr="00857CDA">
              <w:rPr>
                <w:b/>
                <w:szCs w:val="24"/>
                <w:lang w:val="ro-RO" w:eastAsia="en-GB" w:bidi="en-GB"/>
              </w:rPr>
              <w:t xml:space="preserve"> su</w:t>
            </w:r>
            <w:r w:rsidR="00CD52C1" w:rsidRPr="00857CDA">
              <w:rPr>
                <w:b/>
                <w:szCs w:val="24"/>
                <w:lang w:val="ro-RO" w:eastAsia="en-GB" w:bidi="en-GB"/>
              </w:rPr>
              <w:t>b</w:t>
            </w:r>
            <w:r w:rsidRPr="00857CDA">
              <w:rPr>
                <w:b/>
                <w:szCs w:val="24"/>
                <w:lang w:val="ro-RO" w:eastAsia="en-GB" w:bidi="en-GB"/>
              </w:rPr>
              <w:t xml:space="preserve"> presi</w:t>
            </w:r>
            <w:r w:rsidR="00CD52C1" w:rsidRPr="00857CDA">
              <w:rPr>
                <w:b/>
                <w:szCs w:val="24"/>
                <w:lang w:val="ro-RO" w:eastAsia="en-GB" w:bidi="en-GB"/>
              </w:rPr>
              <w:t>u</w:t>
            </w:r>
            <w:r w:rsidRPr="00857CDA">
              <w:rPr>
                <w:b/>
                <w:szCs w:val="24"/>
                <w:lang w:val="ro-RO" w:eastAsia="en-GB" w:bidi="en-GB"/>
              </w:rPr>
              <w:t>n</w:t>
            </w:r>
            <w:r w:rsidR="00CD52C1" w:rsidRPr="00857CDA">
              <w:rPr>
                <w:b/>
                <w:szCs w:val="24"/>
                <w:lang w:val="ro-RO" w:eastAsia="en-GB" w:bidi="en-GB"/>
              </w:rPr>
              <w:t>e</w:t>
            </w:r>
          </w:p>
        </w:tc>
      </w:tr>
      <w:tr w:rsidR="00A074FC" w:rsidRPr="00857CDA" w:rsidTr="00AF3F82">
        <w:trPr>
          <w:cantSplit/>
        </w:trPr>
        <w:tc>
          <w:tcPr>
            <w:tcW w:w="3266" w:type="dxa"/>
            <w:shd w:val="clear" w:color="auto" w:fill="auto"/>
          </w:tcPr>
          <w:p w:rsidR="00F12C72" w:rsidRPr="00857CDA" w:rsidRDefault="00F12C72" w:rsidP="005E2ED8">
            <w:pPr>
              <w:spacing w:before="40" w:after="120"/>
              <w:ind w:left="113" w:right="113"/>
              <w:rPr>
                <w:lang w:val="ro-RO" w:eastAsia="en-GB" w:bidi="en-GB"/>
              </w:rPr>
            </w:pPr>
            <w:r w:rsidRPr="00857CDA">
              <w:rPr>
                <w:lang w:val="ro-RO"/>
              </w:rPr>
              <w:t>R</w:t>
            </w:r>
            <w:r w:rsidR="005E2ED8" w:rsidRPr="00857CDA">
              <w:rPr>
                <w:lang w:val="ro-RO"/>
              </w:rPr>
              <w:t>e</w:t>
            </w:r>
            <w:r w:rsidRPr="00857CDA">
              <w:rPr>
                <w:lang w:val="ro-RO"/>
              </w:rPr>
              <w:t>g</w:t>
            </w:r>
            <w:r w:rsidR="005E2ED8" w:rsidRPr="00857CDA">
              <w:rPr>
                <w:lang w:val="ro-RO"/>
              </w:rPr>
              <w:t>u</w:t>
            </w:r>
            <w:r w:rsidRPr="00857CDA">
              <w:rPr>
                <w:lang w:val="ro-RO"/>
              </w:rPr>
              <w:t>l</w:t>
            </w:r>
            <w:r w:rsidR="005E2ED8" w:rsidRPr="00857CDA">
              <w:rPr>
                <w:lang w:val="ro-RO"/>
              </w:rPr>
              <w:t>a</w:t>
            </w:r>
            <w:r w:rsidRPr="00857CDA">
              <w:rPr>
                <w:lang w:val="ro-RO"/>
              </w:rPr>
              <w:t>ment tehni</w:t>
            </w:r>
            <w:r w:rsidR="005E2ED8" w:rsidRPr="00857CDA">
              <w:rPr>
                <w:lang w:val="ro-RO"/>
              </w:rPr>
              <w:t>c</w:t>
            </w:r>
            <w:r w:rsidRPr="00857CDA">
              <w:rPr>
                <w:lang w:val="ro-RO"/>
              </w:rPr>
              <w:t xml:space="preserve"> mondial n</w:t>
            </w:r>
            <w:r w:rsidR="005E2ED8" w:rsidRPr="00857CDA">
              <w:rPr>
                <w:lang w:val="ro-RO"/>
              </w:rPr>
              <w:t>r.</w:t>
            </w:r>
            <w:r w:rsidRPr="00857CDA">
              <w:rPr>
                <w:lang w:val="ro-RO"/>
              </w:rPr>
              <w:t> 13</w:t>
            </w:r>
            <w:r w:rsidR="00DF57AC" w:rsidRPr="00857CDA">
              <w:rPr>
                <w:lang w:val="ro-RO"/>
              </w:rPr>
              <w:t xml:space="preserve"> (RTM)</w:t>
            </w:r>
          </w:p>
        </w:tc>
        <w:tc>
          <w:tcPr>
            <w:tcW w:w="4110" w:type="dxa"/>
            <w:shd w:val="clear" w:color="auto" w:fill="auto"/>
          </w:tcPr>
          <w:p w:rsidR="00F12C72" w:rsidRPr="00857CDA" w:rsidRDefault="00F12C72" w:rsidP="00065E92">
            <w:pPr>
              <w:spacing w:before="40" w:after="120"/>
              <w:ind w:left="113" w:right="113"/>
              <w:rPr>
                <w:lang w:val="ro-RO" w:eastAsia="en-GB" w:bidi="en-GB"/>
              </w:rPr>
            </w:pPr>
            <w:r w:rsidRPr="00857CDA">
              <w:rPr>
                <w:lang w:val="ro-RO"/>
              </w:rPr>
              <w:t>R</w:t>
            </w:r>
            <w:r w:rsidR="005E2ED8" w:rsidRPr="00857CDA">
              <w:rPr>
                <w:lang w:val="ro-RO"/>
              </w:rPr>
              <w:t>e</w:t>
            </w:r>
            <w:r w:rsidRPr="00857CDA">
              <w:rPr>
                <w:lang w:val="ro-RO"/>
              </w:rPr>
              <w:t>g</w:t>
            </w:r>
            <w:r w:rsidR="005E2ED8" w:rsidRPr="00857CDA">
              <w:rPr>
                <w:lang w:val="ro-RO"/>
              </w:rPr>
              <w:t>ula</w:t>
            </w:r>
            <w:r w:rsidRPr="00857CDA">
              <w:rPr>
                <w:lang w:val="ro-RO"/>
              </w:rPr>
              <w:t>ment tehni</w:t>
            </w:r>
            <w:r w:rsidR="005E2ED8" w:rsidRPr="00857CDA">
              <w:rPr>
                <w:lang w:val="ro-RO"/>
              </w:rPr>
              <w:t>c</w:t>
            </w:r>
            <w:r w:rsidRPr="00857CDA">
              <w:rPr>
                <w:lang w:val="ro-RO"/>
              </w:rPr>
              <w:t xml:space="preserve"> mondial </w:t>
            </w:r>
            <w:r w:rsidR="005E2ED8" w:rsidRPr="00857CDA">
              <w:rPr>
                <w:lang w:val="ro-RO"/>
              </w:rPr>
              <w:t>cu privire la</w:t>
            </w:r>
            <w:r w:rsidRPr="00857CDA">
              <w:rPr>
                <w:lang w:val="ro-RO"/>
              </w:rPr>
              <w:t xml:space="preserve"> v</w:t>
            </w:r>
            <w:r w:rsidR="005E2ED8" w:rsidRPr="00857CDA">
              <w:rPr>
                <w:lang w:val="ro-RO"/>
              </w:rPr>
              <w:t>e</w:t>
            </w:r>
            <w:r w:rsidRPr="00857CDA">
              <w:rPr>
                <w:lang w:val="ro-RO"/>
              </w:rPr>
              <w:t>hicule</w:t>
            </w:r>
            <w:r w:rsidR="005E2ED8" w:rsidRPr="00857CDA">
              <w:rPr>
                <w:lang w:val="ro-RO"/>
              </w:rPr>
              <w:t xml:space="preserve">le cu </w:t>
            </w:r>
            <w:r w:rsidR="00065E92" w:rsidRPr="00857CDA">
              <w:rPr>
                <w:lang w:val="ro-RO"/>
              </w:rPr>
              <w:t xml:space="preserve">hidrogen și cu </w:t>
            </w:r>
            <w:r w:rsidR="005E2ED8" w:rsidRPr="00857CDA">
              <w:rPr>
                <w:lang w:val="ro-RO"/>
              </w:rPr>
              <w:t>pilă de combustie</w:t>
            </w:r>
            <w:r w:rsidRPr="00857CDA">
              <w:rPr>
                <w:lang w:val="ro-RO"/>
              </w:rPr>
              <w:t xml:space="preserve"> (ECE/TRANS/180/Add.13)</w:t>
            </w:r>
          </w:p>
        </w:tc>
      </w:tr>
      <w:tr w:rsidR="00A074FC" w:rsidRPr="0079052F" w:rsidTr="00AF3F82">
        <w:trPr>
          <w:cantSplit/>
        </w:trPr>
        <w:tc>
          <w:tcPr>
            <w:tcW w:w="3266" w:type="dxa"/>
            <w:shd w:val="clear" w:color="auto" w:fill="auto"/>
          </w:tcPr>
          <w:p w:rsidR="00F12C72" w:rsidRPr="00857CDA" w:rsidRDefault="00F12C72" w:rsidP="008B7736">
            <w:pPr>
              <w:spacing w:before="40" w:after="120"/>
              <w:ind w:left="113" w:right="113"/>
              <w:rPr>
                <w:lang w:val="ro-RO" w:eastAsia="en-GB" w:bidi="en-GB"/>
              </w:rPr>
            </w:pPr>
            <w:r w:rsidRPr="00857CDA">
              <w:rPr>
                <w:lang w:val="ro-RO"/>
              </w:rPr>
              <w:lastRenderedPageBreak/>
              <w:t xml:space="preserve">ISO/TS 15869:2009 </w:t>
            </w:r>
          </w:p>
        </w:tc>
        <w:tc>
          <w:tcPr>
            <w:tcW w:w="4110" w:type="dxa"/>
            <w:shd w:val="clear" w:color="auto" w:fill="auto"/>
          </w:tcPr>
          <w:p w:rsidR="00F12C72" w:rsidRPr="00857CDA" w:rsidRDefault="00F12C72" w:rsidP="00065E92">
            <w:pPr>
              <w:spacing w:before="40" w:after="120"/>
              <w:ind w:left="113" w:right="113"/>
              <w:rPr>
                <w:lang w:val="ro-RO" w:eastAsia="en-GB" w:bidi="en-GB"/>
              </w:rPr>
            </w:pPr>
            <w:r w:rsidRPr="00857CDA">
              <w:rPr>
                <w:lang w:val="ro-RO"/>
              </w:rPr>
              <w:t>H</w:t>
            </w:r>
            <w:r w:rsidR="005E2ED8" w:rsidRPr="00857CDA">
              <w:rPr>
                <w:lang w:val="ro-RO"/>
              </w:rPr>
              <w:t>i</w:t>
            </w:r>
            <w:r w:rsidRPr="00857CDA">
              <w:rPr>
                <w:lang w:val="ro-RO"/>
              </w:rPr>
              <w:t>droge</w:t>
            </w:r>
            <w:r w:rsidR="005E2ED8" w:rsidRPr="00857CDA">
              <w:rPr>
                <w:lang w:val="ro-RO"/>
              </w:rPr>
              <w:t>n</w:t>
            </w:r>
            <w:r w:rsidRPr="00857CDA">
              <w:rPr>
                <w:lang w:val="ro-RO"/>
              </w:rPr>
              <w:t xml:space="preserve"> gaz</w:t>
            </w:r>
            <w:r w:rsidR="005E2ED8" w:rsidRPr="00857CDA">
              <w:rPr>
                <w:lang w:val="ro-RO"/>
              </w:rPr>
              <w:t>os</w:t>
            </w:r>
            <w:r w:rsidR="004C27AD" w:rsidRPr="00857CDA">
              <w:rPr>
                <w:lang w:val="ro-RO"/>
              </w:rPr>
              <w:t xml:space="preserve"> și </w:t>
            </w:r>
            <w:r w:rsidR="005E2ED8" w:rsidRPr="00857CDA">
              <w:rPr>
                <w:lang w:val="ro-RO"/>
              </w:rPr>
              <w:t xml:space="preserve">amestecuri </w:t>
            </w:r>
            <w:r w:rsidR="00065E92" w:rsidRPr="00857CDA">
              <w:rPr>
                <w:lang w:val="ro-RO"/>
              </w:rPr>
              <w:t xml:space="preserve">pe bază </w:t>
            </w:r>
            <w:r w:rsidR="005E2ED8" w:rsidRPr="00857CDA">
              <w:rPr>
                <w:lang w:val="ro-RO"/>
              </w:rPr>
              <w:t xml:space="preserve">de </w:t>
            </w:r>
            <w:r w:rsidRPr="00857CDA">
              <w:rPr>
                <w:lang w:val="ro-RO"/>
              </w:rPr>
              <w:t>h</w:t>
            </w:r>
            <w:r w:rsidR="005E2ED8" w:rsidRPr="00857CDA">
              <w:rPr>
                <w:lang w:val="ro-RO"/>
              </w:rPr>
              <w:t>i</w:t>
            </w:r>
            <w:r w:rsidRPr="00857CDA">
              <w:rPr>
                <w:lang w:val="ro-RO"/>
              </w:rPr>
              <w:t>droge</w:t>
            </w:r>
            <w:r w:rsidR="005E2ED8" w:rsidRPr="00857CDA">
              <w:rPr>
                <w:lang w:val="ro-RO"/>
              </w:rPr>
              <w:t>n</w:t>
            </w:r>
            <w:r w:rsidRPr="00857CDA">
              <w:rPr>
                <w:lang w:val="ro-RO"/>
              </w:rPr>
              <w:t xml:space="preserve"> − </w:t>
            </w:r>
            <w:r w:rsidR="005E2ED8" w:rsidRPr="00857CDA">
              <w:rPr>
                <w:lang w:val="ro-RO"/>
              </w:rPr>
              <w:t>Rezervoare</w:t>
            </w:r>
            <w:r w:rsidRPr="00857CDA">
              <w:rPr>
                <w:lang w:val="ro-RO"/>
              </w:rPr>
              <w:t xml:space="preserve"> de carburant </w:t>
            </w:r>
            <w:r w:rsidR="00991390" w:rsidRPr="00857CDA">
              <w:rPr>
                <w:lang w:val="ro-RO"/>
              </w:rPr>
              <w:t>pentru</w:t>
            </w:r>
            <w:r w:rsidRPr="00857CDA">
              <w:rPr>
                <w:lang w:val="ro-RO"/>
              </w:rPr>
              <w:t xml:space="preserve"> v</w:t>
            </w:r>
            <w:r w:rsidR="005E2ED8" w:rsidRPr="00857CDA">
              <w:rPr>
                <w:lang w:val="ro-RO"/>
              </w:rPr>
              <w:t>e</w:t>
            </w:r>
            <w:r w:rsidRPr="00857CDA">
              <w:rPr>
                <w:lang w:val="ro-RO"/>
              </w:rPr>
              <w:t xml:space="preserve">hicule terestre </w:t>
            </w:r>
          </w:p>
        </w:tc>
      </w:tr>
      <w:tr w:rsidR="00A074FC" w:rsidRPr="0079052F" w:rsidTr="00AF3F82">
        <w:trPr>
          <w:cantSplit/>
        </w:trPr>
        <w:tc>
          <w:tcPr>
            <w:tcW w:w="3266" w:type="dxa"/>
            <w:shd w:val="clear" w:color="auto" w:fill="auto"/>
          </w:tcPr>
          <w:p w:rsidR="00F12C72" w:rsidRPr="00857CDA" w:rsidRDefault="00F12C72" w:rsidP="00065E92">
            <w:pPr>
              <w:spacing w:before="40" w:after="120"/>
              <w:ind w:left="113" w:right="113"/>
              <w:rPr>
                <w:lang w:val="ro-RO" w:eastAsia="en-GB" w:bidi="en-GB"/>
              </w:rPr>
            </w:pPr>
            <w:r w:rsidRPr="00857CDA">
              <w:rPr>
                <w:lang w:val="ro-RO"/>
              </w:rPr>
              <w:t>R</w:t>
            </w:r>
            <w:r w:rsidR="00065E92" w:rsidRPr="00857CDA">
              <w:rPr>
                <w:lang w:val="ro-RO"/>
              </w:rPr>
              <w:t>e</w:t>
            </w:r>
            <w:r w:rsidRPr="00857CDA">
              <w:rPr>
                <w:lang w:val="ro-RO"/>
              </w:rPr>
              <w:t>g</w:t>
            </w:r>
            <w:r w:rsidR="00065E92" w:rsidRPr="00857CDA">
              <w:rPr>
                <w:lang w:val="ro-RO"/>
              </w:rPr>
              <w:t>u</w:t>
            </w:r>
            <w:r w:rsidRPr="00857CDA">
              <w:rPr>
                <w:lang w:val="ro-RO"/>
              </w:rPr>
              <w:t>l</w:t>
            </w:r>
            <w:r w:rsidR="00065E92" w:rsidRPr="00857CDA">
              <w:rPr>
                <w:lang w:val="ro-RO"/>
              </w:rPr>
              <w:t>a</w:t>
            </w:r>
            <w:r w:rsidRPr="00857CDA">
              <w:rPr>
                <w:lang w:val="ro-RO"/>
              </w:rPr>
              <w:t>ment (CE) N</w:t>
            </w:r>
            <w:r w:rsidR="00065E92" w:rsidRPr="00857CDA">
              <w:rPr>
                <w:lang w:val="ro-RO"/>
              </w:rPr>
              <w:t>r.</w:t>
            </w:r>
            <w:r w:rsidRPr="00857CDA">
              <w:rPr>
                <w:lang w:val="ro-RO"/>
              </w:rPr>
              <w:t xml:space="preserve"> 79/2009 </w:t>
            </w:r>
          </w:p>
        </w:tc>
        <w:tc>
          <w:tcPr>
            <w:tcW w:w="4110" w:type="dxa"/>
            <w:shd w:val="clear" w:color="auto" w:fill="auto"/>
          </w:tcPr>
          <w:p w:rsidR="00F12C72" w:rsidRPr="00857CDA" w:rsidRDefault="00065E92" w:rsidP="00065E92">
            <w:pPr>
              <w:spacing w:before="40" w:after="120"/>
              <w:ind w:left="113" w:right="113"/>
              <w:rPr>
                <w:lang w:val="ro-RO" w:eastAsia="en-GB" w:bidi="en-GB"/>
              </w:rPr>
            </w:pPr>
            <w:r w:rsidRPr="00857CDA">
              <w:rPr>
                <w:lang w:val="ro-RO"/>
              </w:rPr>
              <w:t>Regulamentul (CE) nr. 79/2009 al Parlamentului european și al Consiliului din 14 ianuarie 2009 privind omologarea de tip a autovehiculelor pe bază de hidrogen și de modificare a Directivei 2007/46/CE</w:t>
            </w:r>
          </w:p>
        </w:tc>
      </w:tr>
      <w:tr w:rsidR="00A074FC" w:rsidRPr="0079052F" w:rsidTr="00AF3F82">
        <w:trPr>
          <w:cantSplit/>
        </w:trPr>
        <w:tc>
          <w:tcPr>
            <w:tcW w:w="3266" w:type="dxa"/>
            <w:shd w:val="clear" w:color="auto" w:fill="auto"/>
          </w:tcPr>
          <w:p w:rsidR="00F12C72" w:rsidRPr="00857CDA" w:rsidRDefault="00F12C72" w:rsidP="00065E92">
            <w:pPr>
              <w:spacing w:before="40" w:after="120"/>
              <w:ind w:left="113" w:right="113"/>
              <w:rPr>
                <w:lang w:val="ro-RO" w:eastAsia="en-GB" w:bidi="en-GB"/>
              </w:rPr>
            </w:pPr>
            <w:r w:rsidRPr="00857CDA">
              <w:rPr>
                <w:lang w:val="ro-RO"/>
              </w:rPr>
              <w:t>R</w:t>
            </w:r>
            <w:r w:rsidR="00065E92" w:rsidRPr="00857CDA">
              <w:rPr>
                <w:lang w:val="ro-RO"/>
              </w:rPr>
              <w:t>e</w:t>
            </w:r>
            <w:r w:rsidRPr="00857CDA">
              <w:rPr>
                <w:lang w:val="ro-RO"/>
              </w:rPr>
              <w:t>g</w:t>
            </w:r>
            <w:r w:rsidR="00065E92" w:rsidRPr="00857CDA">
              <w:rPr>
                <w:lang w:val="ro-RO"/>
              </w:rPr>
              <w:t>u</w:t>
            </w:r>
            <w:r w:rsidRPr="00857CDA">
              <w:rPr>
                <w:lang w:val="ro-RO"/>
              </w:rPr>
              <w:t>l</w:t>
            </w:r>
            <w:r w:rsidR="00065E92" w:rsidRPr="00857CDA">
              <w:rPr>
                <w:lang w:val="ro-RO"/>
              </w:rPr>
              <w:t>a</w:t>
            </w:r>
            <w:r w:rsidRPr="00857CDA">
              <w:rPr>
                <w:lang w:val="ro-RO"/>
              </w:rPr>
              <w:t>ment (UE) N</w:t>
            </w:r>
            <w:r w:rsidR="00065E92" w:rsidRPr="00857CDA">
              <w:rPr>
                <w:lang w:val="ro-RO"/>
              </w:rPr>
              <w:t>r.</w:t>
            </w:r>
            <w:r w:rsidRPr="00857CDA">
              <w:rPr>
                <w:lang w:val="ro-RO"/>
              </w:rPr>
              <w:t xml:space="preserve"> 406/2010 </w:t>
            </w:r>
          </w:p>
        </w:tc>
        <w:tc>
          <w:tcPr>
            <w:tcW w:w="4110" w:type="dxa"/>
            <w:shd w:val="clear" w:color="auto" w:fill="auto"/>
          </w:tcPr>
          <w:p w:rsidR="00F12C72" w:rsidRPr="00857CDA" w:rsidRDefault="00065E92" w:rsidP="00065E92">
            <w:pPr>
              <w:spacing w:before="40" w:after="120"/>
              <w:ind w:left="113" w:right="113"/>
              <w:rPr>
                <w:lang w:val="ro-RO"/>
              </w:rPr>
            </w:pPr>
            <w:r w:rsidRPr="00857CDA">
              <w:rPr>
                <w:lang w:val="ro-RO"/>
              </w:rPr>
              <w:t>Regulamentul (UE) nr. 406/2010 al Comisiei din 26 aprilie 2010 de punere în aplicare a Regulamentului (CE) nr. 79/2009 al Parlamentului European și al Consiliului privind omologarea de tip a autovehiculelor pe bază de hidrogen</w:t>
            </w:r>
          </w:p>
        </w:tc>
      </w:tr>
      <w:tr w:rsidR="00A074FC" w:rsidRPr="00DF3A58" w:rsidTr="00AF3F82">
        <w:trPr>
          <w:cantSplit/>
        </w:trPr>
        <w:tc>
          <w:tcPr>
            <w:tcW w:w="3266" w:type="dxa"/>
            <w:shd w:val="clear" w:color="auto" w:fill="auto"/>
          </w:tcPr>
          <w:p w:rsidR="00F12C72" w:rsidRPr="00857CDA" w:rsidRDefault="00065E92" w:rsidP="008B7736">
            <w:pPr>
              <w:spacing w:before="40" w:after="120"/>
              <w:ind w:left="113" w:right="113"/>
              <w:rPr>
                <w:lang w:val="ro-RO" w:eastAsia="en-GB" w:bidi="en-GB"/>
              </w:rPr>
            </w:pPr>
            <w:r w:rsidRPr="00857CDA">
              <w:rPr>
                <w:lang w:val="ro-RO" w:eastAsia="en-GB" w:bidi="en-GB"/>
              </w:rPr>
              <w:t>Regula</w:t>
            </w:r>
            <w:r w:rsidR="00E16E0D" w:rsidRPr="00857CDA">
              <w:rPr>
                <w:lang w:val="ro-RO" w:eastAsia="en-GB" w:bidi="en-GB"/>
              </w:rPr>
              <w:t>mentul</w:t>
            </w:r>
            <w:r w:rsidR="00081D4A" w:rsidRPr="00857CDA">
              <w:rPr>
                <w:lang w:val="ro-RO" w:eastAsia="en-GB" w:bidi="en-GB"/>
              </w:rPr>
              <w:t xml:space="preserve"> CEE-ONU </w:t>
            </w:r>
            <w:r w:rsidR="00E16E0D" w:rsidRPr="00857CDA">
              <w:rPr>
                <w:lang w:val="ro-RO" w:eastAsia="en-GB" w:bidi="en-GB"/>
              </w:rPr>
              <w:t>Nr.</w:t>
            </w:r>
            <w:r w:rsidR="00F12C72" w:rsidRPr="00857CDA">
              <w:rPr>
                <w:lang w:val="ro-RO"/>
              </w:rPr>
              <w:t xml:space="preserve"> </w:t>
            </w:r>
            <w:r w:rsidR="00F12C72" w:rsidRPr="00857CDA">
              <w:rPr>
                <w:lang w:val="ro-RO" w:eastAsia="en-GB" w:bidi="en-GB"/>
              </w:rPr>
              <w:t xml:space="preserve">134 </w:t>
            </w:r>
          </w:p>
        </w:tc>
        <w:tc>
          <w:tcPr>
            <w:tcW w:w="4110" w:type="dxa"/>
            <w:shd w:val="clear" w:color="auto" w:fill="auto"/>
          </w:tcPr>
          <w:p w:rsidR="00F12C72" w:rsidRPr="00857CDA" w:rsidRDefault="00E16E0D" w:rsidP="00065E92">
            <w:pPr>
              <w:spacing w:before="40" w:after="120"/>
              <w:ind w:left="113" w:right="113"/>
              <w:rPr>
                <w:lang w:val="ro-RO" w:eastAsia="en-GB" w:bidi="en-GB"/>
              </w:rPr>
            </w:pPr>
            <w:r w:rsidRPr="00857CDA">
              <w:rPr>
                <w:lang w:val="ro-RO"/>
              </w:rPr>
              <w:t>Regul</w:t>
            </w:r>
            <w:r w:rsidR="00065E92" w:rsidRPr="00857CDA">
              <w:rPr>
                <w:lang w:val="ro-RO"/>
              </w:rPr>
              <w:t>a</w:t>
            </w:r>
            <w:r w:rsidRPr="00857CDA">
              <w:rPr>
                <w:lang w:val="ro-RO"/>
              </w:rPr>
              <w:t>mentul</w:t>
            </w:r>
            <w:r w:rsidR="00081D4A" w:rsidRPr="00857CDA">
              <w:rPr>
                <w:lang w:val="ro-RO"/>
              </w:rPr>
              <w:t xml:space="preserve"> CEE-ONU </w:t>
            </w:r>
            <w:r w:rsidRPr="00857CDA">
              <w:rPr>
                <w:lang w:val="ro-RO"/>
              </w:rPr>
              <w:t>Nr.</w:t>
            </w:r>
            <w:r w:rsidR="00F12C72" w:rsidRPr="00857CDA">
              <w:rPr>
                <w:lang w:val="ro-RO"/>
              </w:rPr>
              <w:t xml:space="preserve"> 134 (</w:t>
            </w:r>
            <w:r w:rsidR="00065E92" w:rsidRPr="00857CDA">
              <w:rPr>
                <w:lang w:val="ro-RO"/>
              </w:rPr>
              <w:t>Vehicule cu hidrogen și cu pilă de combustie</w:t>
            </w:r>
            <w:r w:rsidR="00F12C72" w:rsidRPr="00857CDA">
              <w:rPr>
                <w:lang w:val="ro-RO"/>
              </w:rPr>
              <w:t xml:space="preserve"> (HFCV))</w:t>
            </w:r>
          </w:p>
        </w:tc>
      </w:tr>
      <w:tr w:rsidR="00A074FC" w:rsidRPr="00DF3A58" w:rsidTr="00AF3F82">
        <w:trPr>
          <w:cantSplit/>
        </w:trPr>
        <w:tc>
          <w:tcPr>
            <w:tcW w:w="3266" w:type="dxa"/>
            <w:shd w:val="clear" w:color="auto" w:fill="auto"/>
          </w:tcPr>
          <w:p w:rsidR="00F12C72" w:rsidRPr="00857CDA" w:rsidRDefault="00F12C72" w:rsidP="00857CDA">
            <w:pPr>
              <w:spacing w:before="40" w:after="120"/>
              <w:ind w:left="113" w:right="113"/>
              <w:rPr>
                <w:lang w:val="ro-RO" w:eastAsia="en-GB" w:bidi="en-GB"/>
              </w:rPr>
            </w:pPr>
            <w:r w:rsidRPr="00857CDA">
              <w:rPr>
                <w:lang w:val="ro-RO"/>
              </w:rPr>
              <w:t xml:space="preserve">CSA B51− </w:t>
            </w:r>
            <w:r w:rsidR="00857CDA">
              <w:rPr>
                <w:lang w:val="ro-RO"/>
              </w:rPr>
              <w:t>Partea a 2-a</w:t>
            </w:r>
            <w:r w:rsidRPr="00857CDA">
              <w:rPr>
                <w:lang w:val="ro-RO"/>
              </w:rPr>
              <w:t>:2014</w:t>
            </w:r>
          </w:p>
        </w:tc>
        <w:tc>
          <w:tcPr>
            <w:tcW w:w="4110" w:type="dxa"/>
            <w:shd w:val="clear" w:color="auto" w:fill="auto"/>
          </w:tcPr>
          <w:p w:rsidR="00F12C72" w:rsidRPr="00857CDA" w:rsidRDefault="00065E92" w:rsidP="008B7736">
            <w:pPr>
              <w:spacing w:before="40" w:after="120"/>
              <w:ind w:left="113" w:right="113"/>
              <w:rPr>
                <w:lang w:val="ro-RO" w:eastAsia="en-GB" w:bidi="en-GB"/>
              </w:rPr>
            </w:pPr>
            <w:r w:rsidRPr="00857CDA">
              <w:rPr>
                <w:lang w:val="ro-RO"/>
              </w:rPr>
              <w:t>Codul boilerelor, recipientelor sub presiune și conductelor de presiune. Partea 2: Cerințe pentru butelii de înaltă presiune pentru depozitarea combustibilului la bordul autovehiculelor</w:t>
            </w:r>
          </w:p>
        </w:tc>
      </w:tr>
    </w:tbl>
    <w:p w:rsidR="00AE4126" w:rsidRPr="00857CDA" w:rsidRDefault="00AE4126" w:rsidP="00F12C72">
      <w:pPr>
        <w:pStyle w:val="SingleTxtG"/>
        <w:spacing w:before="120"/>
        <w:ind w:left="1138" w:right="1138" w:firstLine="562"/>
        <w:rPr>
          <w:lang w:val="ro-RO"/>
        </w:rPr>
      </w:pPr>
      <w:r w:rsidRPr="00857CDA">
        <w:rPr>
          <w:lang w:val="ro-RO"/>
        </w:rPr>
        <w:t xml:space="preserve">Transportul rezervoarelor de gaze concepute și fabricate în conformitate cu versiunile anterioare ale standardelor sau regulamentelor relevante, aplicabile rezervoarelor de gaz destinate autovehiculelor, în vigoare la data omologării vehiculelor pentru care astfel de rezervoare au fost concepute și construite, </w:t>
      </w:r>
      <w:r w:rsidR="00391330" w:rsidRPr="00857CDA">
        <w:rPr>
          <w:lang w:val="ro-RO"/>
        </w:rPr>
        <w:t>rămâne</w:t>
      </w:r>
      <w:r w:rsidRPr="00857CDA">
        <w:rPr>
          <w:lang w:val="ro-RO"/>
        </w:rPr>
        <w:t xml:space="preserve"> autorizat</w:t>
      </w:r>
      <w:r w:rsidR="00391330" w:rsidRPr="00857CDA">
        <w:rPr>
          <w:lang w:val="ro-RO"/>
        </w:rPr>
        <w:t xml:space="preserve"> în continuare</w:t>
      </w:r>
      <w:r w:rsidRPr="00857CDA">
        <w:rPr>
          <w:lang w:val="ro-RO"/>
        </w:rPr>
        <w:t>;</w:t>
      </w:r>
    </w:p>
    <w:p w:rsidR="00F12C72" w:rsidRPr="00857CDA" w:rsidRDefault="00F12C72" w:rsidP="00391330">
      <w:pPr>
        <w:pStyle w:val="SingleTxtG"/>
        <w:rPr>
          <w:lang w:val="ro-RO"/>
        </w:rPr>
      </w:pPr>
      <w:r w:rsidRPr="00857CDA">
        <w:rPr>
          <w:lang w:val="ro-RO"/>
        </w:rPr>
        <w:t>b)</w:t>
      </w:r>
      <w:r w:rsidRPr="00857CDA">
        <w:rPr>
          <w:lang w:val="ro-RO"/>
        </w:rPr>
        <w:tab/>
      </w:r>
      <w:r w:rsidR="00391330" w:rsidRPr="00857CDA">
        <w:rPr>
          <w:lang w:val="ro-RO"/>
        </w:rPr>
        <w:t>Sistemele de retenție a gazelor combustibile trebuie să fie etanșe și să nu prezinte niciun semn de deteriorare exterioară care ar putea afecta siguranța acestora</w:t>
      </w:r>
      <w:r w:rsidR="007075CD" w:rsidRPr="00857CDA">
        <w:rPr>
          <w:lang w:val="ro-RO"/>
        </w:rPr>
        <w:t>;</w:t>
      </w:r>
    </w:p>
    <w:p w:rsidR="00F12C72" w:rsidRPr="00857CDA" w:rsidRDefault="00F12C72" w:rsidP="00144762">
      <w:pPr>
        <w:pStyle w:val="SingleTxtG"/>
        <w:rPr>
          <w:i/>
          <w:lang w:val="ro-RO"/>
        </w:rPr>
      </w:pPr>
      <w:r w:rsidRPr="00857CDA">
        <w:rPr>
          <w:b/>
          <w:i/>
          <w:lang w:val="ro-RO"/>
        </w:rPr>
        <w:t>NOTA 1:</w:t>
      </w:r>
      <w:r w:rsidRPr="00857CDA">
        <w:rPr>
          <w:i/>
          <w:lang w:val="ro-RO"/>
        </w:rPr>
        <w:t xml:space="preserve"> </w:t>
      </w:r>
      <w:r w:rsidR="00391330" w:rsidRPr="00857CDA">
        <w:rPr>
          <w:i/>
          <w:lang w:val="ro-RO"/>
        </w:rPr>
        <w:t xml:space="preserve">Criteriile sunt stabilite în ISO 11623: 2015 Butelii transportabile de gaz – Inspecție și încercare periodică a buteliilor de gaz din material compozit (sau ISO 19078: 2013 Butelii de gaz </w:t>
      </w:r>
      <w:r w:rsidR="00144762" w:rsidRPr="00857CDA">
        <w:rPr>
          <w:i/>
          <w:lang w:val="ro-RO"/>
        </w:rPr>
        <w:t>–</w:t>
      </w:r>
      <w:r w:rsidR="00391330" w:rsidRPr="00857CDA">
        <w:rPr>
          <w:i/>
          <w:lang w:val="ro-RO"/>
        </w:rPr>
        <w:t xml:space="preserve"> Inspec</w:t>
      </w:r>
      <w:r w:rsidR="00144762" w:rsidRPr="00857CDA">
        <w:rPr>
          <w:i/>
          <w:lang w:val="ro-RO"/>
        </w:rPr>
        <w:t>ția</w:t>
      </w:r>
      <w:r w:rsidR="00391330" w:rsidRPr="00857CDA">
        <w:rPr>
          <w:i/>
          <w:lang w:val="ro-RO"/>
        </w:rPr>
        <w:t xml:space="preserve"> instalării </w:t>
      </w:r>
      <w:r w:rsidR="00144762" w:rsidRPr="00857CDA">
        <w:rPr>
          <w:i/>
          <w:lang w:val="ro-RO"/>
        </w:rPr>
        <w:t>buteliilor</w:t>
      </w:r>
      <w:r w:rsidR="00391330" w:rsidRPr="00857CDA">
        <w:rPr>
          <w:i/>
          <w:lang w:val="ro-RO"/>
        </w:rPr>
        <w:t xml:space="preserve"> și recalificarea buteliilor de înaltă presiune pentru </w:t>
      </w:r>
      <w:r w:rsidR="00144762" w:rsidRPr="00857CDA">
        <w:rPr>
          <w:i/>
          <w:lang w:val="ro-RO"/>
        </w:rPr>
        <w:t>depozitarea</w:t>
      </w:r>
      <w:r w:rsidR="00391330" w:rsidRPr="00857CDA">
        <w:rPr>
          <w:i/>
          <w:lang w:val="ro-RO"/>
        </w:rPr>
        <w:t xml:space="preserve"> gazelor naturale, utilizate ca </w:t>
      </w:r>
      <w:r w:rsidR="00144762" w:rsidRPr="00857CDA">
        <w:rPr>
          <w:i/>
          <w:lang w:val="ro-RO"/>
        </w:rPr>
        <w:t xml:space="preserve">și </w:t>
      </w:r>
      <w:r w:rsidR="00391330" w:rsidRPr="00857CDA">
        <w:rPr>
          <w:i/>
          <w:lang w:val="ro-RO"/>
        </w:rPr>
        <w:t>c</w:t>
      </w:r>
      <w:r w:rsidR="00144762" w:rsidRPr="00857CDA">
        <w:rPr>
          <w:i/>
          <w:lang w:val="ro-RO"/>
        </w:rPr>
        <w:t>arburant, la bordul autovehiculelor</w:t>
      </w:r>
      <w:r w:rsidRPr="00857CDA">
        <w:rPr>
          <w:i/>
          <w:lang w:val="ro-RO"/>
        </w:rPr>
        <w:t>).</w:t>
      </w:r>
    </w:p>
    <w:p w:rsidR="00F12C72" w:rsidRPr="00857CDA" w:rsidRDefault="00391330" w:rsidP="00144762">
      <w:pPr>
        <w:pStyle w:val="SingleTxtG"/>
        <w:rPr>
          <w:i/>
          <w:lang w:val="ro-RO"/>
        </w:rPr>
      </w:pPr>
      <w:r w:rsidRPr="00857CDA">
        <w:rPr>
          <w:b/>
          <w:i/>
          <w:lang w:val="ro-RO"/>
        </w:rPr>
        <w:t xml:space="preserve">NOTA </w:t>
      </w:r>
      <w:r w:rsidR="00F12C72" w:rsidRPr="00857CDA">
        <w:rPr>
          <w:b/>
          <w:i/>
          <w:lang w:val="ro-RO"/>
        </w:rPr>
        <w:t>2:</w:t>
      </w:r>
      <w:r w:rsidR="00F12C72" w:rsidRPr="00857CDA">
        <w:rPr>
          <w:i/>
          <w:lang w:val="ro-RO"/>
        </w:rPr>
        <w:t xml:space="preserve"> </w:t>
      </w:r>
      <w:r w:rsidR="00144762" w:rsidRPr="00857CDA">
        <w:rPr>
          <w:i/>
          <w:lang w:val="ro-RO"/>
        </w:rPr>
        <w:t>Dacă sistemele de retenție a gazelor combustibil</w:t>
      </w:r>
      <w:r w:rsidR="00FE1CED" w:rsidRPr="00857CDA">
        <w:rPr>
          <w:i/>
          <w:lang w:val="ro-RO"/>
        </w:rPr>
        <w:t>e</w:t>
      </w:r>
      <w:r w:rsidR="00144762" w:rsidRPr="00857CDA">
        <w:rPr>
          <w:i/>
          <w:lang w:val="ro-RO"/>
        </w:rPr>
        <w:t xml:space="preserve"> nu sunt etanșe sau dacă sunt prea pline ori prezintă deteriorări care le-ar putea afecta siguranța (de exemplu, în cazul unei rechemări în service pe motive de siguranță), acestea pot fi transportate numai în recipiente sub presiune de siguranță conforme cu ADR</w:t>
      </w:r>
      <w:r w:rsidR="00F12C72" w:rsidRPr="00857CDA">
        <w:rPr>
          <w:i/>
          <w:lang w:val="ro-RO"/>
        </w:rPr>
        <w:t>.</w:t>
      </w:r>
    </w:p>
    <w:p w:rsidR="00F12C72" w:rsidRPr="00857CDA" w:rsidRDefault="00F12C72" w:rsidP="00B536C0">
      <w:pPr>
        <w:pStyle w:val="SingleTxtG"/>
        <w:rPr>
          <w:lang w:val="ro-RO"/>
        </w:rPr>
      </w:pPr>
      <w:r w:rsidRPr="00857CDA">
        <w:rPr>
          <w:lang w:val="ro-RO"/>
        </w:rPr>
        <w:t>c)</w:t>
      </w:r>
      <w:r w:rsidRPr="00857CDA">
        <w:rPr>
          <w:lang w:val="ro-RO"/>
        </w:rPr>
        <w:tab/>
      </w:r>
      <w:r w:rsidR="00B536C0" w:rsidRPr="00857CDA">
        <w:rPr>
          <w:lang w:val="ro-RO"/>
        </w:rPr>
        <w:t>Dacă sistemul de retenție a gazelor este echipat cu cel puțin doi robinete montați în serie, ambele robinete trebuie închise astfel încât să fie etanșe la gaz în condiții normale de transport. Dacă există sau funcționează corect un singur robinet, toate deschiderile, cu excepția deschiderii dispozitivului de decompresiune, trebuie închise astfel încât să fie etanșe la gaz în condiții normale de transport</w:t>
      </w:r>
      <w:r w:rsidR="007075CD" w:rsidRPr="00857CDA">
        <w:rPr>
          <w:lang w:val="ro-RO"/>
        </w:rPr>
        <w:t>;</w:t>
      </w:r>
    </w:p>
    <w:p w:rsidR="00F12C72" w:rsidRPr="00857CDA" w:rsidRDefault="00F12C72" w:rsidP="00FE1CED">
      <w:pPr>
        <w:pStyle w:val="SingleTxtG"/>
        <w:rPr>
          <w:lang w:val="ro-RO"/>
        </w:rPr>
      </w:pPr>
      <w:r w:rsidRPr="00857CDA">
        <w:rPr>
          <w:lang w:val="ro-RO"/>
        </w:rPr>
        <w:t>d)</w:t>
      </w:r>
      <w:r w:rsidRPr="00857CDA">
        <w:rPr>
          <w:lang w:val="ro-RO"/>
        </w:rPr>
        <w:tab/>
      </w:r>
      <w:r w:rsidR="00B536C0" w:rsidRPr="00857CDA">
        <w:rPr>
          <w:lang w:val="ro-RO"/>
        </w:rPr>
        <w:t>Sistemele de retenție a gazelor combustibil</w:t>
      </w:r>
      <w:r w:rsidR="00FE1CED" w:rsidRPr="00857CDA">
        <w:rPr>
          <w:lang w:val="ro-RO"/>
        </w:rPr>
        <w:t>e</w:t>
      </w:r>
      <w:r w:rsidR="00B536C0" w:rsidRPr="00857CDA">
        <w:rPr>
          <w:lang w:val="ro-RO"/>
        </w:rPr>
        <w:t xml:space="preserve"> trebuie să fie transportate astfel încât să se evite orice obstrucți</w:t>
      </w:r>
      <w:r w:rsidR="00FE1CED" w:rsidRPr="00857CDA">
        <w:rPr>
          <w:lang w:val="ro-RO"/>
        </w:rPr>
        <w:t>onar</w:t>
      </w:r>
      <w:r w:rsidR="00B536C0" w:rsidRPr="00857CDA">
        <w:rPr>
          <w:lang w:val="ro-RO"/>
        </w:rPr>
        <w:t xml:space="preserve">e a dispozitivului de decompresiune și orice deteriorare a </w:t>
      </w:r>
      <w:r w:rsidR="00FE1CED" w:rsidRPr="00857CDA">
        <w:rPr>
          <w:lang w:val="ro-RO"/>
        </w:rPr>
        <w:t>robinetelor</w:t>
      </w:r>
      <w:r w:rsidR="00B536C0" w:rsidRPr="00857CDA">
        <w:rPr>
          <w:lang w:val="ro-RO"/>
        </w:rPr>
        <w:t xml:space="preserve"> și a altor părți sub presiune ale sistemelor de re</w:t>
      </w:r>
      <w:r w:rsidR="00FE1CED" w:rsidRPr="00857CDA">
        <w:rPr>
          <w:lang w:val="ro-RO"/>
        </w:rPr>
        <w:t>ten</w:t>
      </w:r>
      <w:r w:rsidR="00B536C0" w:rsidRPr="00857CDA">
        <w:rPr>
          <w:lang w:val="ro-RO"/>
        </w:rPr>
        <w:t>ție a gazelor combustibile</w:t>
      </w:r>
      <w:r w:rsidR="00FE1CED" w:rsidRPr="00857CDA">
        <w:rPr>
          <w:lang w:val="ro-RO"/>
        </w:rPr>
        <w:t>, precum</w:t>
      </w:r>
      <w:r w:rsidR="00B536C0" w:rsidRPr="00857CDA">
        <w:rPr>
          <w:lang w:val="ro-RO"/>
        </w:rPr>
        <w:t xml:space="preserve"> și orice eliberare accidentală de gaze în condiții normale de transport. Sistemul de re</w:t>
      </w:r>
      <w:r w:rsidR="00FE1CED" w:rsidRPr="00857CDA">
        <w:rPr>
          <w:lang w:val="ro-RO"/>
        </w:rPr>
        <w:t>ten</w:t>
      </w:r>
      <w:r w:rsidR="00B536C0" w:rsidRPr="00857CDA">
        <w:rPr>
          <w:lang w:val="ro-RO"/>
        </w:rPr>
        <w:t xml:space="preserve">ție a gazelor combustibile trebuie fixat astfel încât să nu alunece, să </w:t>
      </w:r>
      <w:r w:rsidR="00FE1CED" w:rsidRPr="00857CDA">
        <w:rPr>
          <w:lang w:val="ro-RO"/>
        </w:rPr>
        <w:t xml:space="preserve">nu </w:t>
      </w:r>
      <w:r w:rsidR="00B536C0" w:rsidRPr="00857CDA">
        <w:rPr>
          <w:lang w:val="ro-RO"/>
        </w:rPr>
        <w:t xml:space="preserve">se rostogolească sau să </w:t>
      </w:r>
      <w:r w:rsidR="00FE1CED" w:rsidRPr="00857CDA">
        <w:rPr>
          <w:lang w:val="ro-RO"/>
        </w:rPr>
        <w:t xml:space="preserve">nu </w:t>
      </w:r>
      <w:r w:rsidR="00B536C0" w:rsidRPr="00857CDA">
        <w:rPr>
          <w:lang w:val="ro-RO"/>
        </w:rPr>
        <w:t>se</w:t>
      </w:r>
      <w:r w:rsidR="00FE1CED" w:rsidRPr="00857CDA">
        <w:rPr>
          <w:lang w:val="ro-RO"/>
        </w:rPr>
        <w:t xml:space="preserve"> </w:t>
      </w:r>
      <w:r w:rsidR="00857CDA" w:rsidRPr="00857CDA">
        <w:rPr>
          <w:lang w:val="ro-RO"/>
        </w:rPr>
        <w:t>deplaseze</w:t>
      </w:r>
      <w:r w:rsidR="00FE1CED" w:rsidRPr="00857CDA">
        <w:rPr>
          <w:lang w:val="ro-RO"/>
        </w:rPr>
        <w:t xml:space="preserve"> pe</w:t>
      </w:r>
      <w:r w:rsidR="00B536C0" w:rsidRPr="00857CDA">
        <w:rPr>
          <w:lang w:val="ro-RO"/>
        </w:rPr>
        <w:t xml:space="preserve"> vertical</w:t>
      </w:r>
      <w:r w:rsidR="00FE1CED" w:rsidRPr="00857CDA">
        <w:rPr>
          <w:lang w:val="ro-RO"/>
        </w:rPr>
        <w:t>ă</w:t>
      </w:r>
      <w:r w:rsidR="007075CD" w:rsidRPr="00857CDA">
        <w:rPr>
          <w:lang w:val="ro-RO"/>
        </w:rPr>
        <w:t>;</w:t>
      </w:r>
    </w:p>
    <w:p w:rsidR="00F12C72" w:rsidRPr="00857CDA" w:rsidRDefault="00F12C72" w:rsidP="00F12C72">
      <w:pPr>
        <w:pStyle w:val="SingleTxtG"/>
        <w:rPr>
          <w:lang w:val="ro-RO"/>
        </w:rPr>
      </w:pPr>
      <w:r w:rsidRPr="00857CDA">
        <w:rPr>
          <w:lang w:val="ro-RO"/>
        </w:rPr>
        <w:lastRenderedPageBreak/>
        <w:t>e)</w:t>
      </w:r>
      <w:r w:rsidRPr="00857CDA">
        <w:rPr>
          <w:lang w:val="ro-RO"/>
        </w:rPr>
        <w:tab/>
      </w:r>
      <w:r w:rsidR="00FE1CED" w:rsidRPr="00857CDA">
        <w:rPr>
          <w:lang w:val="ro-RO"/>
        </w:rPr>
        <w:t xml:space="preserve">Robinetele trebuie să fie protejate printr-una </w:t>
      </w:r>
      <w:r w:rsidR="00857CDA" w:rsidRPr="00857CDA">
        <w:rPr>
          <w:lang w:val="ro-RO"/>
        </w:rPr>
        <w:t>din</w:t>
      </w:r>
      <w:r w:rsidR="00FE1CED" w:rsidRPr="00857CDA">
        <w:rPr>
          <w:lang w:val="ro-RO"/>
        </w:rPr>
        <w:t xml:space="preserve"> metodele descrise la</w:t>
      </w:r>
      <w:r w:rsidRPr="00857CDA">
        <w:rPr>
          <w:lang w:val="ro-RO"/>
        </w:rPr>
        <w:t xml:space="preserve"> </w:t>
      </w:r>
      <w:r w:rsidR="0087537E" w:rsidRPr="00857CDA">
        <w:rPr>
          <w:lang w:val="ro-RO"/>
        </w:rPr>
        <w:t>4.1.6.8</w:t>
      </w:r>
      <w:r w:rsidRPr="00857CDA">
        <w:rPr>
          <w:lang w:val="ro-RO"/>
        </w:rPr>
        <w:t>, alin</w:t>
      </w:r>
      <w:r w:rsidR="00FE1CED" w:rsidRPr="00857CDA">
        <w:rPr>
          <w:lang w:val="ro-RO"/>
        </w:rPr>
        <w:t>e</w:t>
      </w:r>
      <w:r w:rsidRPr="00857CDA">
        <w:rPr>
          <w:lang w:val="ro-RO"/>
        </w:rPr>
        <w:t>a</w:t>
      </w:r>
      <w:r w:rsidR="00FE1CED" w:rsidRPr="00857CDA">
        <w:rPr>
          <w:lang w:val="ro-RO"/>
        </w:rPr>
        <w:t>tele de la</w:t>
      </w:r>
      <w:r w:rsidRPr="00857CDA">
        <w:rPr>
          <w:lang w:val="ro-RO"/>
        </w:rPr>
        <w:t xml:space="preserve"> a) </w:t>
      </w:r>
      <w:r w:rsidR="00FE1CED" w:rsidRPr="00857CDA">
        <w:rPr>
          <w:lang w:val="ro-RO"/>
        </w:rPr>
        <w:t>la</w:t>
      </w:r>
      <w:r w:rsidRPr="00857CDA">
        <w:rPr>
          <w:lang w:val="ro-RO"/>
        </w:rPr>
        <w:t> e)</w:t>
      </w:r>
      <w:r w:rsidR="007075CD" w:rsidRPr="00857CDA">
        <w:rPr>
          <w:lang w:val="ro-RO"/>
        </w:rPr>
        <w:t>;</w:t>
      </w:r>
    </w:p>
    <w:p w:rsidR="00113683" w:rsidRPr="00857CDA" w:rsidRDefault="00113683" w:rsidP="009E02D7">
      <w:pPr>
        <w:pStyle w:val="SingleTxtG"/>
        <w:rPr>
          <w:lang w:val="ro-RO"/>
        </w:rPr>
      </w:pPr>
      <w:r w:rsidRPr="00857CDA">
        <w:rPr>
          <w:lang w:val="ro-RO"/>
        </w:rPr>
        <w:t>f)</w:t>
      </w:r>
      <w:r w:rsidRPr="00857CDA">
        <w:rPr>
          <w:lang w:val="ro-RO"/>
        </w:rPr>
        <w:tab/>
      </w:r>
      <w:r w:rsidR="00340E33" w:rsidRPr="00857CDA">
        <w:rPr>
          <w:lang w:val="ro-RO"/>
        </w:rPr>
        <w:t xml:space="preserve">Cu excepția cazului sistemelor de retenție a gazelor combustibile transportate în vederea eliminării, reciclării, reparației, inspecției sau întreținerii, sistemele de retenție a gazelor combustibile nu trebuie să fie umplute la mai mult de 20% din gradul de umplere nominal sau din presiunea de </w:t>
      </w:r>
      <w:r w:rsidR="009E02D7" w:rsidRPr="00857CDA">
        <w:rPr>
          <w:lang w:val="ro-RO"/>
        </w:rPr>
        <w:t>operare nominală, după caz</w:t>
      </w:r>
      <w:r w:rsidRPr="00857CDA">
        <w:rPr>
          <w:lang w:val="ro-RO"/>
        </w:rPr>
        <w:t>;</w:t>
      </w:r>
    </w:p>
    <w:p w:rsidR="0026239B" w:rsidRPr="00857CDA" w:rsidRDefault="00F12C72" w:rsidP="00F12C72">
      <w:pPr>
        <w:pStyle w:val="SingleTxtG"/>
        <w:rPr>
          <w:lang w:val="ro-RO"/>
        </w:rPr>
      </w:pPr>
      <w:r w:rsidRPr="00857CDA">
        <w:rPr>
          <w:lang w:val="ro-RO"/>
        </w:rPr>
        <w:t>g)</w:t>
      </w:r>
      <w:r w:rsidRPr="00857CDA">
        <w:rPr>
          <w:lang w:val="ro-RO"/>
        </w:rPr>
        <w:tab/>
      </w:r>
      <w:r w:rsidR="006D5179" w:rsidRPr="00857CDA">
        <w:rPr>
          <w:lang w:val="ro-RO"/>
        </w:rPr>
        <w:t>În pofida</w:t>
      </w:r>
      <w:r w:rsidR="0026239B" w:rsidRPr="00857CDA">
        <w:rPr>
          <w:lang w:val="ro-RO"/>
        </w:rPr>
        <w:t xml:space="preserve"> dispozițiilor capitolului 5.2, atunci când sistemele de retenție a gazelor combustibile sunt expediate într-un dispozitiv care poate fi manipulat, mărcile și etichetele pot fi aplicate pe respectivul dispozitiv; și</w:t>
      </w:r>
    </w:p>
    <w:p w:rsidR="00F12C72" w:rsidRPr="00857CDA" w:rsidRDefault="00F12C72" w:rsidP="006D5179">
      <w:pPr>
        <w:pStyle w:val="SingleTxtG"/>
        <w:rPr>
          <w:lang w:val="ro-RO"/>
        </w:rPr>
      </w:pPr>
      <w:r w:rsidRPr="00857CDA">
        <w:rPr>
          <w:lang w:val="ro-RO"/>
        </w:rPr>
        <w:t>h)</w:t>
      </w:r>
      <w:r w:rsidRPr="00857CDA">
        <w:rPr>
          <w:lang w:val="ro-RO"/>
        </w:rPr>
        <w:tab/>
      </w:r>
      <w:r w:rsidR="006D5179" w:rsidRPr="00857CDA">
        <w:rPr>
          <w:lang w:val="ro-RO"/>
        </w:rPr>
        <w:t>În pofida</w:t>
      </w:r>
      <w:r w:rsidR="0026239B" w:rsidRPr="00857CDA">
        <w:rPr>
          <w:lang w:val="ro-RO"/>
        </w:rPr>
        <w:t xml:space="preserve"> dispozițiilor de la 5.4.1.1.1 litera (f), informațiile privind cantitatea totală de mărfuri periculoase pot fi înlocuit</w:t>
      </w:r>
      <w:r w:rsidR="006D5179" w:rsidRPr="00857CDA">
        <w:rPr>
          <w:lang w:val="ro-RO"/>
        </w:rPr>
        <w:t>e cu următoarele informații</w:t>
      </w:r>
      <w:r w:rsidRPr="00857CDA">
        <w:rPr>
          <w:lang w:val="ro-RO"/>
        </w:rPr>
        <w:t>:</w:t>
      </w:r>
    </w:p>
    <w:p w:rsidR="00F12C72" w:rsidRPr="00857CDA" w:rsidRDefault="00F12C72" w:rsidP="0086151F">
      <w:pPr>
        <w:pStyle w:val="SingleTxtG"/>
        <w:ind w:firstLine="567"/>
        <w:rPr>
          <w:lang w:val="ro-RO"/>
        </w:rPr>
      </w:pPr>
      <w:r w:rsidRPr="00857CDA">
        <w:rPr>
          <w:lang w:val="ro-RO"/>
        </w:rPr>
        <w:t>i)</w:t>
      </w:r>
      <w:r w:rsidRPr="00857CDA">
        <w:rPr>
          <w:lang w:val="ro-RO"/>
        </w:rPr>
        <w:tab/>
      </w:r>
      <w:r w:rsidR="006D5179" w:rsidRPr="00857CDA">
        <w:rPr>
          <w:lang w:val="ro-RO"/>
        </w:rPr>
        <w:t>Numărul</w:t>
      </w:r>
      <w:r w:rsidRPr="00857CDA">
        <w:rPr>
          <w:lang w:val="ro-RO"/>
        </w:rPr>
        <w:t xml:space="preserve"> s</w:t>
      </w:r>
      <w:r w:rsidR="006D5179" w:rsidRPr="00857CDA">
        <w:rPr>
          <w:lang w:val="ro-RO"/>
        </w:rPr>
        <w:t>i</w:t>
      </w:r>
      <w:r w:rsidRPr="00857CDA">
        <w:rPr>
          <w:lang w:val="ro-RO"/>
        </w:rPr>
        <w:t>st</w:t>
      </w:r>
      <w:r w:rsidR="006D5179" w:rsidRPr="00857CDA">
        <w:rPr>
          <w:lang w:val="ro-RO"/>
        </w:rPr>
        <w:t>e</w:t>
      </w:r>
      <w:r w:rsidRPr="00857CDA">
        <w:rPr>
          <w:lang w:val="ro-RO"/>
        </w:rPr>
        <w:t>me</w:t>
      </w:r>
      <w:r w:rsidR="006D5179" w:rsidRPr="00857CDA">
        <w:rPr>
          <w:lang w:val="ro-RO"/>
        </w:rPr>
        <w:t>lor de retenție a</w:t>
      </w:r>
      <w:r w:rsidR="00A97522" w:rsidRPr="00857CDA">
        <w:rPr>
          <w:lang w:val="ro-RO"/>
        </w:rPr>
        <w:t xml:space="preserve"> gaz</w:t>
      </w:r>
      <w:r w:rsidR="006D5179" w:rsidRPr="00857CDA">
        <w:rPr>
          <w:lang w:val="ro-RO"/>
        </w:rPr>
        <w:t>elor</w:t>
      </w:r>
      <w:r w:rsidR="00A97522" w:rsidRPr="00857CDA">
        <w:rPr>
          <w:lang w:val="ro-RO"/>
        </w:rPr>
        <w:t xml:space="preserve"> combustib</w:t>
      </w:r>
      <w:r w:rsidR="006D5179" w:rsidRPr="00857CDA">
        <w:rPr>
          <w:lang w:val="ro-RO"/>
        </w:rPr>
        <w:t>i</w:t>
      </w:r>
      <w:r w:rsidR="00A97522" w:rsidRPr="00857CDA">
        <w:rPr>
          <w:lang w:val="ro-RO"/>
        </w:rPr>
        <w:t>le</w:t>
      </w:r>
      <w:r w:rsidRPr="00857CDA">
        <w:rPr>
          <w:lang w:val="ro-RO"/>
        </w:rPr>
        <w:t>;</w:t>
      </w:r>
      <w:r w:rsidR="006D5179" w:rsidRPr="00857CDA">
        <w:rPr>
          <w:lang w:val="ro-RO"/>
        </w:rPr>
        <w:t xml:space="preserve"> și</w:t>
      </w:r>
    </w:p>
    <w:p w:rsidR="00F12C72" w:rsidRPr="00857CDA" w:rsidRDefault="00F12C72" w:rsidP="00A7254B">
      <w:pPr>
        <w:pStyle w:val="SingleTxtG"/>
        <w:ind w:left="1701"/>
        <w:rPr>
          <w:lang w:val="ro-RO"/>
        </w:rPr>
      </w:pPr>
      <w:r w:rsidRPr="00857CDA">
        <w:rPr>
          <w:lang w:val="ro-RO"/>
        </w:rPr>
        <w:t>ii)</w:t>
      </w:r>
      <w:r w:rsidRPr="00857CDA">
        <w:rPr>
          <w:lang w:val="ro-RO"/>
        </w:rPr>
        <w:tab/>
      </w:r>
      <w:r w:rsidR="00902C44" w:rsidRPr="00857CDA">
        <w:rPr>
          <w:lang w:val="ro-RO"/>
        </w:rPr>
        <w:t xml:space="preserve">În </w:t>
      </w:r>
      <w:r w:rsidRPr="00857CDA">
        <w:rPr>
          <w:lang w:val="ro-RO"/>
        </w:rPr>
        <w:t>ca</w:t>
      </w:r>
      <w:r w:rsidR="006D5179" w:rsidRPr="00857CDA">
        <w:rPr>
          <w:lang w:val="ro-RO"/>
        </w:rPr>
        <w:t>zul</w:t>
      </w:r>
      <w:r w:rsidRPr="00857CDA">
        <w:rPr>
          <w:lang w:val="ro-RO"/>
        </w:rPr>
        <w:t xml:space="preserve"> gaz</w:t>
      </w:r>
      <w:r w:rsidR="006D5179" w:rsidRPr="00857CDA">
        <w:rPr>
          <w:lang w:val="ro-RO"/>
        </w:rPr>
        <w:t>elor</w:t>
      </w:r>
      <w:r w:rsidRPr="00857CDA">
        <w:rPr>
          <w:lang w:val="ro-RO"/>
        </w:rPr>
        <w:t xml:space="preserve"> li</w:t>
      </w:r>
      <w:r w:rsidR="006D5179" w:rsidRPr="00857CDA">
        <w:rPr>
          <w:lang w:val="ro-RO"/>
        </w:rPr>
        <w:t>chefiate</w:t>
      </w:r>
      <w:r w:rsidRPr="00857CDA">
        <w:rPr>
          <w:lang w:val="ro-RO"/>
        </w:rPr>
        <w:t>, mas</w:t>
      </w:r>
      <w:r w:rsidR="006D5179" w:rsidRPr="00857CDA">
        <w:rPr>
          <w:lang w:val="ro-RO"/>
        </w:rPr>
        <w:t>a</w:t>
      </w:r>
      <w:r w:rsidRPr="00857CDA">
        <w:rPr>
          <w:lang w:val="ro-RO"/>
        </w:rPr>
        <w:t xml:space="preserve"> net</w:t>
      </w:r>
      <w:r w:rsidR="006D5179" w:rsidRPr="00857CDA">
        <w:rPr>
          <w:lang w:val="ro-RO"/>
        </w:rPr>
        <w:t>ă</w:t>
      </w:r>
      <w:r w:rsidRPr="00857CDA">
        <w:rPr>
          <w:lang w:val="ro-RO"/>
        </w:rPr>
        <w:t xml:space="preserve"> total</w:t>
      </w:r>
      <w:r w:rsidR="006D5179" w:rsidRPr="00857CDA">
        <w:rPr>
          <w:lang w:val="ro-RO"/>
        </w:rPr>
        <w:t>ă</w:t>
      </w:r>
      <w:r w:rsidRPr="00857CDA">
        <w:rPr>
          <w:lang w:val="ro-RO"/>
        </w:rPr>
        <w:t xml:space="preserve"> (kg) </w:t>
      </w:r>
      <w:r w:rsidR="006D5179" w:rsidRPr="00857CDA">
        <w:rPr>
          <w:lang w:val="ro-RO"/>
        </w:rPr>
        <w:t>a</w:t>
      </w:r>
      <w:r w:rsidRPr="00857CDA">
        <w:rPr>
          <w:lang w:val="ro-RO"/>
        </w:rPr>
        <w:t xml:space="preserve"> gaz</w:t>
      </w:r>
      <w:r w:rsidR="006D5179" w:rsidRPr="00857CDA">
        <w:rPr>
          <w:lang w:val="ro-RO"/>
        </w:rPr>
        <w:t>ului</w:t>
      </w:r>
      <w:r w:rsidRPr="00857CDA">
        <w:rPr>
          <w:lang w:val="ro-RO"/>
        </w:rPr>
        <w:t xml:space="preserve"> </w:t>
      </w:r>
      <w:r w:rsidR="00991390" w:rsidRPr="00857CDA">
        <w:rPr>
          <w:lang w:val="ro-RO"/>
        </w:rPr>
        <w:t>pentru</w:t>
      </w:r>
      <w:r w:rsidRPr="00857CDA">
        <w:rPr>
          <w:lang w:val="ro-RO"/>
        </w:rPr>
        <w:t xml:space="preserve"> </w:t>
      </w:r>
      <w:r w:rsidR="006D5179" w:rsidRPr="00857CDA">
        <w:rPr>
          <w:lang w:val="ro-RO"/>
        </w:rPr>
        <w:t>fiecare sistem de retenție a</w:t>
      </w:r>
      <w:r w:rsidRPr="00857CDA">
        <w:rPr>
          <w:lang w:val="ro-RO"/>
        </w:rPr>
        <w:t xml:space="preserve"> gaz</w:t>
      </w:r>
      <w:r w:rsidR="006D5179" w:rsidRPr="00857CDA">
        <w:rPr>
          <w:lang w:val="ro-RO"/>
        </w:rPr>
        <w:t>elor</w:t>
      </w:r>
      <w:r w:rsidRPr="00857CDA">
        <w:rPr>
          <w:lang w:val="ro-RO"/>
        </w:rPr>
        <w:t xml:space="preserve"> combustib</w:t>
      </w:r>
      <w:r w:rsidR="006D5179" w:rsidRPr="00857CDA">
        <w:rPr>
          <w:lang w:val="ro-RO"/>
        </w:rPr>
        <w:t>ile, iar</w:t>
      </w:r>
      <w:r w:rsidRPr="00857CDA">
        <w:rPr>
          <w:lang w:val="ro-RO"/>
        </w:rPr>
        <w:t xml:space="preserve"> </w:t>
      </w:r>
      <w:r w:rsidR="006D5179" w:rsidRPr="00857CDA">
        <w:rPr>
          <w:lang w:val="ro-RO"/>
        </w:rPr>
        <w:t>î</w:t>
      </w:r>
      <w:r w:rsidR="00902C44" w:rsidRPr="00857CDA">
        <w:rPr>
          <w:lang w:val="ro-RO"/>
        </w:rPr>
        <w:t xml:space="preserve">n </w:t>
      </w:r>
      <w:r w:rsidRPr="00857CDA">
        <w:rPr>
          <w:lang w:val="ro-RO"/>
        </w:rPr>
        <w:t>ca</w:t>
      </w:r>
      <w:r w:rsidR="006D5179" w:rsidRPr="00857CDA">
        <w:rPr>
          <w:lang w:val="ro-RO"/>
        </w:rPr>
        <w:t>zul</w:t>
      </w:r>
      <w:r w:rsidRPr="00857CDA">
        <w:rPr>
          <w:lang w:val="ro-RO"/>
        </w:rPr>
        <w:t xml:space="preserve"> gaz</w:t>
      </w:r>
      <w:r w:rsidR="006D5179" w:rsidRPr="00857CDA">
        <w:rPr>
          <w:lang w:val="ro-RO"/>
        </w:rPr>
        <w:t>elor</w:t>
      </w:r>
      <w:r w:rsidRPr="00857CDA">
        <w:rPr>
          <w:lang w:val="ro-RO"/>
        </w:rPr>
        <w:t xml:space="preserve"> comprim</w:t>
      </w:r>
      <w:r w:rsidR="006D5179" w:rsidRPr="00857CDA">
        <w:rPr>
          <w:lang w:val="ro-RO"/>
        </w:rPr>
        <w:t>ate</w:t>
      </w:r>
      <w:r w:rsidRPr="00857CDA">
        <w:rPr>
          <w:lang w:val="ro-RO"/>
        </w:rPr>
        <w:t>, capacit</w:t>
      </w:r>
      <w:r w:rsidR="006D5179" w:rsidRPr="00857CDA">
        <w:rPr>
          <w:lang w:val="ro-RO"/>
        </w:rPr>
        <w:t>atea</w:t>
      </w:r>
      <w:r w:rsidRPr="00857CDA">
        <w:rPr>
          <w:lang w:val="ro-RO"/>
        </w:rPr>
        <w:t xml:space="preserve"> total</w:t>
      </w:r>
      <w:r w:rsidR="006D5179" w:rsidRPr="00857CDA">
        <w:rPr>
          <w:lang w:val="ro-RO"/>
        </w:rPr>
        <w:t>ă în apă</w:t>
      </w:r>
      <w:r w:rsidRPr="00857CDA">
        <w:rPr>
          <w:lang w:val="ro-RO"/>
        </w:rPr>
        <w:t xml:space="preserve"> (</w:t>
      </w:r>
      <w:r w:rsidRPr="00857CDA">
        <w:rPr>
          <w:i/>
          <w:lang w:val="ro-RO"/>
        </w:rPr>
        <w:t>l</w:t>
      </w:r>
      <w:r w:rsidRPr="00857CDA">
        <w:rPr>
          <w:lang w:val="ro-RO"/>
        </w:rPr>
        <w:t xml:space="preserve">) </w:t>
      </w:r>
      <w:r w:rsidR="006D5179" w:rsidRPr="00857CDA">
        <w:rPr>
          <w:lang w:val="ro-RO"/>
        </w:rPr>
        <w:t>a fiecărui sistem de retenție a gazelor combustibile</w:t>
      </w:r>
      <w:r w:rsidRPr="00857CDA">
        <w:rPr>
          <w:lang w:val="ro-RO"/>
        </w:rPr>
        <w:t xml:space="preserve">, </w:t>
      </w:r>
      <w:r w:rsidR="006D5179" w:rsidRPr="00857CDA">
        <w:rPr>
          <w:lang w:val="ro-RO"/>
        </w:rPr>
        <w:t>urmată de presiunea de operare nominală</w:t>
      </w:r>
      <w:r w:rsidR="007D761B" w:rsidRPr="00857CDA">
        <w:rPr>
          <w:lang w:val="ro-RO"/>
        </w:rPr>
        <w:t>.</w:t>
      </w:r>
    </w:p>
    <w:p w:rsidR="006D5179" w:rsidRPr="00857CDA" w:rsidRDefault="006D5179" w:rsidP="006D5179">
      <w:pPr>
        <w:pStyle w:val="SingleTxtG"/>
        <w:ind w:firstLine="567"/>
        <w:rPr>
          <w:lang w:val="ro-RO"/>
        </w:rPr>
      </w:pPr>
      <w:r w:rsidRPr="00857CDA">
        <w:rPr>
          <w:lang w:val="ro-RO"/>
        </w:rPr>
        <w:t>Exemple de informații care trebuie menționate în documentul de transport:</w:t>
      </w:r>
    </w:p>
    <w:p w:rsidR="006D5179" w:rsidRPr="00857CDA" w:rsidRDefault="006D5179" w:rsidP="006D5179">
      <w:pPr>
        <w:pStyle w:val="SingleTxtG"/>
        <w:ind w:firstLine="567"/>
        <w:rPr>
          <w:lang w:val="ro-RO"/>
        </w:rPr>
      </w:pPr>
      <w:r w:rsidRPr="00857CDA">
        <w:rPr>
          <w:lang w:val="ro-RO"/>
        </w:rPr>
        <w:t xml:space="preserve">Exemplul 1: </w:t>
      </w:r>
      <w:r w:rsidR="00675179" w:rsidRPr="00857CDA">
        <w:rPr>
          <w:lang w:val="ro-RO"/>
        </w:rPr>
        <w:t>“</w:t>
      </w:r>
      <w:r w:rsidR="00633316" w:rsidRPr="00857CDA">
        <w:rPr>
          <w:lang w:val="ro-RO"/>
        </w:rPr>
        <w:t>Nr. ONU</w:t>
      </w:r>
      <w:r w:rsidRPr="00857CDA">
        <w:rPr>
          <w:lang w:val="ro-RO"/>
        </w:rPr>
        <w:t xml:space="preserve"> 1971, Gaz natural comprimat, 2.1, un dispozitiv de </w:t>
      </w:r>
      <w:r w:rsidR="00675179" w:rsidRPr="00857CDA">
        <w:rPr>
          <w:lang w:val="ro-RO"/>
        </w:rPr>
        <w:t>depozitare</w:t>
      </w:r>
      <w:r w:rsidRPr="00857CDA">
        <w:rPr>
          <w:lang w:val="ro-RO"/>
        </w:rPr>
        <w:t xml:space="preserve"> a gazelor combustibil</w:t>
      </w:r>
      <w:r w:rsidR="00675179" w:rsidRPr="00857CDA">
        <w:rPr>
          <w:lang w:val="ro-RO"/>
        </w:rPr>
        <w:t>e</w:t>
      </w:r>
      <w:r w:rsidRPr="00857CDA">
        <w:rPr>
          <w:lang w:val="ro-RO"/>
        </w:rPr>
        <w:t xml:space="preserve"> cu o capacitate totală de 50 l, 200 bar</w:t>
      </w:r>
      <w:r w:rsidR="00675179" w:rsidRPr="00857CDA">
        <w:rPr>
          <w:lang w:val="ro-RO"/>
        </w:rPr>
        <w:t>”</w:t>
      </w:r>
      <w:r w:rsidRPr="00857CDA">
        <w:rPr>
          <w:lang w:val="ro-RO"/>
        </w:rPr>
        <w:t>.</w:t>
      </w:r>
    </w:p>
    <w:p w:rsidR="00F12C72" w:rsidRPr="00857CDA" w:rsidRDefault="006D5179" w:rsidP="00675179">
      <w:pPr>
        <w:pStyle w:val="SingleTxtG"/>
        <w:ind w:firstLine="567"/>
        <w:rPr>
          <w:lang w:val="ro-RO"/>
        </w:rPr>
      </w:pPr>
      <w:r w:rsidRPr="00857CDA">
        <w:rPr>
          <w:lang w:val="ro-RO"/>
        </w:rPr>
        <w:t xml:space="preserve">Exemplul 2: </w:t>
      </w:r>
      <w:r w:rsidR="00675179" w:rsidRPr="00857CDA">
        <w:rPr>
          <w:lang w:val="ro-RO"/>
        </w:rPr>
        <w:t>“</w:t>
      </w:r>
      <w:r w:rsidR="00633316" w:rsidRPr="00857CDA">
        <w:rPr>
          <w:lang w:val="ro-RO"/>
        </w:rPr>
        <w:t>Nr. ONU</w:t>
      </w:r>
      <w:r w:rsidRPr="00857CDA">
        <w:rPr>
          <w:lang w:val="ro-RO"/>
        </w:rPr>
        <w:t xml:space="preserve"> 1965 </w:t>
      </w:r>
      <w:r w:rsidR="00675179" w:rsidRPr="00857CDA">
        <w:rPr>
          <w:lang w:val="ro-RO"/>
        </w:rPr>
        <w:t>Hidrocarburi gazoase în amestec lichefiat, N.S.A.</w:t>
      </w:r>
      <w:r w:rsidRPr="00857CDA">
        <w:rPr>
          <w:lang w:val="ro-RO"/>
        </w:rPr>
        <w:t xml:space="preserve">, 2.1, trei dispozitive de </w:t>
      </w:r>
      <w:r w:rsidR="00675179" w:rsidRPr="00857CDA">
        <w:rPr>
          <w:lang w:val="ro-RO"/>
        </w:rPr>
        <w:t>depozitare</w:t>
      </w:r>
      <w:r w:rsidRPr="00857CDA">
        <w:rPr>
          <w:lang w:val="ro-RO"/>
        </w:rPr>
        <w:t xml:space="preserve"> a gaz</w:t>
      </w:r>
      <w:r w:rsidR="00675179" w:rsidRPr="00857CDA">
        <w:rPr>
          <w:lang w:val="ro-RO"/>
        </w:rPr>
        <w:t>elor</w:t>
      </w:r>
      <w:r w:rsidRPr="00857CDA">
        <w:rPr>
          <w:lang w:val="ro-RO"/>
        </w:rPr>
        <w:t xml:space="preserve"> combustibil</w:t>
      </w:r>
      <w:r w:rsidR="00675179" w:rsidRPr="00857CDA">
        <w:rPr>
          <w:lang w:val="ro-RO"/>
        </w:rPr>
        <w:t>e</w:t>
      </w:r>
      <w:r w:rsidRPr="00857CDA">
        <w:rPr>
          <w:lang w:val="ro-RO"/>
        </w:rPr>
        <w:t xml:space="preserve">, masa gazului pentru fiecare </w:t>
      </w:r>
      <w:r w:rsidR="00675179" w:rsidRPr="00857CDA">
        <w:rPr>
          <w:lang w:val="ro-RO"/>
        </w:rPr>
        <w:t xml:space="preserve">este de </w:t>
      </w:r>
      <w:r w:rsidRPr="00857CDA">
        <w:rPr>
          <w:lang w:val="ro-RO"/>
        </w:rPr>
        <w:t>15 kg</w:t>
      </w:r>
      <w:r w:rsidR="00675179" w:rsidRPr="00857CDA">
        <w:rPr>
          <w:lang w:val="ro-RO"/>
        </w:rPr>
        <w:t>”</w:t>
      </w:r>
      <w:r w:rsidR="00F12C72" w:rsidRPr="00857CDA">
        <w:rPr>
          <w:lang w:val="ro-RO"/>
        </w:rPr>
        <w:t>.</w:t>
      </w:r>
      <w:r w:rsidR="00660131" w:rsidRPr="00857CDA">
        <w:rPr>
          <w:lang w:val="ro-RO"/>
        </w:rPr>
        <w:t>”</w:t>
      </w:r>
      <w:r w:rsidR="00F12C72" w:rsidRPr="00857CDA">
        <w:rPr>
          <w:lang w:val="ro-RO"/>
        </w:rPr>
        <w:t>.</w:t>
      </w:r>
    </w:p>
    <w:p w:rsidR="00DE6591" w:rsidRPr="00857CDA" w:rsidRDefault="00CD52C1" w:rsidP="00DE6591">
      <w:pPr>
        <w:pStyle w:val="SingleTxtG"/>
        <w:rPr>
          <w:lang w:val="ro-RO"/>
        </w:rPr>
      </w:pPr>
      <w:r w:rsidRPr="00857CDA">
        <w:rPr>
          <w:lang w:val="ro-RO"/>
        </w:rPr>
        <w:t>„</w:t>
      </w:r>
      <w:r w:rsidR="008C6783" w:rsidRPr="00857CDA">
        <w:rPr>
          <w:rFonts w:eastAsia="MS Mincho"/>
          <w:lang w:val="ro-RO" w:eastAsia="nl-NL"/>
        </w:rPr>
        <w:t>670</w:t>
      </w:r>
      <w:r w:rsidR="008C6783" w:rsidRPr="00857CDA">
        <w:rPr>
          <w:rFonts w:eastAsia="MS Mincho"/>
          <w:lang w:val="ro-RO" w:eastAsia="nl-NL"/>
        </w:rPr>
        <w:tab/>
        <w:t>a)</w:t>
      </w:r>
      <w:r w:rsidR="008C6783" w:rsidRPr="00857CDA">
        <w:rPr>
          <w:rFonts w:eastAsia="MS Mincho"/>
          <w:lang w:val="ro-RO" w:eastAsia="nl-NL"/>
        </w:rPr>
        <w:tab/>
      </w:r>
      <w:r w:rsidR="00DE6591" w:rsidRPr="00857CDA">
        <w:rPr>
          <w:lang w:val="ro-RO"/>
        </w:rPr>
        <w:t>Pilele și bateriile cu litiu conținute în echipamente provenite de la gospodării, colectate și prezentate la transport în vederea depoluării, dezmembrării, eliminării sau reciclării lor nu sunt supuse altor dispoziții ale ADR, incluzând aici dispoziția specială 376 și paragraful 2.2.9.1.7, dacă îndeplinesc condițiile următoare:</w:t>
      </w:r>
    </w:p>
    <w:p w:rsidR="00DE6591" w:rsidRPr="00857CDA" w:rsidRDefault="00DE6591" w:rsidP="00DE6591">
      <w:pPr>
        <w:pStyle w:val="SingleTxtG"/>
        <w:rPr>
          <w:rFonts w:eastAsia="MS Mincho"/>
          <w:lang w:val="ro-RO" w:eastAsia="nl-NL"/>
        </w:rPr>
      </w:pPr>
      <w:r w:rsidRPr="00857CDA">
        <w:rPr>
          <w:rFonts w:eastAsia="MS Mincho"/>
          <w:lang w:val="ro-RO" w:eastAsia="nl-NL"/>
        </w:rPr>
        <w:t xml:space="preserve">i) </w:t>
      </w:r>
      <w:r w:rsidRPr="00857CDA">
        <w:rPr>
          <w:rFonts w:eastAsia="MS Mincho"/>
          <w:lang w:val="ro-RO" w:eastAsia="nl-NL"/>
        </w:rPr>
        <w:tab/>
        <w:t>Acestea nu sunt principala sursă de alimentare pentru funcționarea aparatului în care sunt conținute;</w:t>
      </w:r>
    </w:p>
    <w:p w:rsidR="00DE6591" w:rsidRPr="00857CDA" w:rsidRDefault="00DE6591" w:rsidP="00DE6591">
      <w:pPr>
        <w:pStyle w:val="SingleTxtG"/>
        <w:rPr>
          <w:rFonts w:eastAsia="MS Mincho"/>
          <w:lang w:val="ro-RO" w:eastAsia="nl-NL"/>
        </w:rPr>
      </w:pPr>
      <w:r w:rsidRPr="00857CDA">
        <w:rPr>
          <w:rFonts w:eastAsia="MS Mincho"/>
          <w:lang w:val="ro-RO" w:eastAsia="nl-NL"/>
        </w:rPr>
        <w:t xml:space="preserve">ii) </w:t>
      </w:r>
      <w:r w:rsidRPr="00857CDA">
        <w:rPr>
          <w:rFonts w:eastAsia="MS Mincho"/>
          <w:lang w:val="ro-RO" w:eastAsia="nl-NL"/>
        </w:rPr>
        <w:tab/>
        <w:t>Echipamentele în care sunt conținute nu conțin nicio altă pilă sau baterie cu litiu ca sursă principală de energie; și</w:t>
      </w:r>
    </w:p>
    <w:p w:rsidR="00DE6591" w:rsidRPr="00857CDA" w:rsidRDefault="00DE6591" w:rsidP="00DE6591">
      <w:pPr>
        <w:pStyle w:val="SingleTxtG"/>
        <w:rPr>
          <w:rFonts w:eastAsia="MS Mincho"/>
          <w:lang w:val="ro-RO" w:eastAsia="nl-NL"/>
        </w:rPr>
      </w:pPr>
      <w:r w:rsidRPr="00857CDA">
        <w:rPr>
          <w:rFonts w:eastAsia="MS Mincho"/>
          <w:lang w:val="ro-RO" w:eastAsia="nl-NL"/>
        </w:rPr>
        <w:t xml:space="preserve">iii) </w:t>
      </w:r>
      <w:r w:rsidRPr="00857CDA">
        <w:rPr>
          <w:rFonts w:eastAsia="MS Mincho"/>
          <w:lang w:val="ro-RO" w:eastAsia="nl-NL"/>
        </w:rPr>
        <w:tab/>
        <w:t>Sunt protejate de către echipamentul în care sunt conținute.</w:t>
      </w:r>
    </w:p>
    <w:p w:rsidR="00DE6591" w:rsidRPr="00857CDA" w:rsidRDefault="00DE6591" w:rsidP="00DE6591">
      <w:pPr>
        <w:pStyle w:val="SingleTxtG"/>
        <w:rPr>
          <w:rFonts w:eastAsia="MS Mincho"/>
          <w:lang w:val="ro-RO" w:eastAsia="nl-NL"/>
        </w:rPr>
      </w:pPr>
      <w:r w:rsidRPr="00857CDA">
        <w:rPr>
          <w:rFonts w:eastAsia="MS Mincho"/>
          <w:lang w:val="ro-RO" w:eastAsia="nl-NL"/>
        </w:rPr>
        <w:t>Exemple de pile și baterii acoperite de acest paragraf sunt pilele buton utilizate pentru integritatea datelor în aparatele de uz casnic (de exemplu, frigidere, mașini de spălat, mașini de spălat vase) sau alte echipamente electrice sau electronice;</w:t>
      </w:r>
    </w:p>
    <w:p w:rsidR="008C6783" w:rsidRPr="00857CDA" w:rsidRDefault="008C6783" w:rsidP="003C098E">
      <w:pPr>
        <w:pStyle w:val="SingleTxtG"/>
        <w:rPr>
          <w:rFonts w:eastAsia="MS Mincho"/>
          <w:lang w:val="ro-RO" w:eastAsia="nl-NL"/>
        </w:rPr>
      </w:pPr>
      <w:r w:rsidRPr="00857CDA">
        <w:rPr>
          <w:rFonts w:eastAsia="MS Mincho"/>
          <w:lang w:val="ro-RO" w:eastAsia="nl-NL"/>
        </w:rPr>
        <w:tab/>
        <w:t>b)</w:t>
      </w:r>
      <w:r w:rsidRPr="00857CDA">
        <w:rPr>
          <w:rFonts w:eastAsia="MS Mincho"/>
          <w:lang w:val="ro-RO" w:eastAsia="nl-NL"/>
        </w:rPr>
        <w:tab/>
      </w:r>
      <w:r w:rsidR="003C098E" w:rsidRPr="00857CDA">
        <w:rPr>
          <w:rFonts w:eastAsia="MS Mincho"/>
          <w:lang w:val="ro-RO" w:eastAsia="nl-NL"/>
        </w:rPr>
        <w:t xml:space="preserve">Atunci când sunt transportate la locuri de procesare intermediară, pilele și bateriile cu litiu care nu îndeplinesc prescripțiile de la litera a), conținute în echipamente de uz casnic, colectate și </w:t>
      </w:r>
      <w:r w:rsidR="003C098E" w:rsidRPr="00857CDA">
        <w:rPr>
          <w:lang w:val="ro-RO"/>
        </w:rPr>
        <w:t>prezentate la transport în vederea depoluării, dezmembrării, eliminării sau reciclării lor nu sunt supuse altor dispoziții ale ADR, incluzând aici dispoziția specială 376 și paragraful 2.2.9.1.7, dacă îndeplinesc condițiile următoare</w:t>
      </w:r>
      <w:r w:rsidRPr="00857CDA">
        <w:rPr>
          <w:rFonts w:eastAsia="MS Mincho"/>
          <w:lang w:val="ro-RO" w:eastAsia="nl-NL"/>
        </w:rPr>
        <w:t>:</w:t>
      </w:r>
    </w:p>
    <w:p w:rsidR="008C6783" w:rsidRPr="00857CDA" w:rsidRDefault="00AE3FF6" w:rsidP="00AE3FF6">
      <w:pPr>
        <w:pStyle w:val="SingleTxtG"/>
        <w:numPr>
          <w:ilvl w:val="0"/>
          <w:numId w:val="15"/>
        </w:numPr>
        <w:ind w:left="2552" w:hanging="284"/>
        <w:rPr>
          <w:rFonts w:eastAsia="MS Mincho"/>
          <w:lang w:val="ro-RO" w:eastAsia="nl-NL"/>
        </w:rPr>
      </w:pPr>
      <w:r w:rsidRPr="00857CDA">
        <w:rPr>
          <w:rFonts w:eastAsia="MS Mincho"/>
          <w:lang w:val="ro-RO" w:eastAsia="nl-NL"/>
        </w:rPr>
        <w:t>Echipamentele sunt ambalate în conformitate cu dispozițiile</w:t>
      </w:r>
      <w:r w:rsidR="003C098E" w:rsidRPr="00857CDA">
        <w:rPr>
          <w:rFonts w:eastAsia="MS Mincho"/>
          <w:lang w:val="ro-RO" w:eastAsia="nl-NL"/>
        </w:rPr>
        <w:t xml:space="preserve"> instrucţiunii de ambalare P909 din 4.1.4.1, cu excepţia dispoziţiilor suplimentare 1 şi 2;</w:t>
      </w:r>
      <w:r w:rsidRPr="00857CDA">
        <w:rPr>
          <w:rFonts w:eastAsia="MS Mincho"/>
          <w:lang w:val="ro-RO" w:eastAsia="nl-NL"/>
        </w:rPr>
        <w:t xml:space="preserve"> sau sunt ambalate în ambalaje exterioare robuste cum ar fi recipiente de colectare special concepute, care îndeplinesc următoarele condiții</w:t>
      </w:r>
      <w:r w:rsidR="008C6783" w:rsidRPr="00857CDA">
        <w:rPr>
          <w:rFonts w:eastAsia="MS Mincho"/>
          <w:lang w:val="ro-RO" w:eastAsia="nl-NL"/>
        </w:rPr>
        <w:t xml:space="preserve">: </w:t>
      </w:r>
    </w:p>
    <w:p w:rsidR="006762F1" w:rsidRPr="00857CDA" w:rsidRDefault="006762F1" w:rsidP="006762F1">
      <w:pPr>
        <w:pStyle w:val="SingleTxtG"/>
        <w:ind w:left="2835"/>
        <w:rPr>
          <w:rFonts w:eastAsia="MS Mincho"/>
          <w:lang w:val="ro-RO" w:eastAsia="nl-NL"/>
        </w:rPr>
      </w:pPr>
      <w:r w:rsidRPr="00857CDA">
        <w:rPr>
          <w:rFonts w:eastAsia="MS Mincho"/>
          <w:lang w:val="ro-RO" w:eastAsia="nl-NL"/>
        </w:rPr>
        <w:tab/>
        <w:t xml:space="preserve">- </w:t>
      </w:r>
      <w:r w:rsidRPr="00857CDA">
        <w:rPr>
          <w:rFonts w:eastAsia="MS Mincho"/>
          <w:lang w:val="ro-RO" w:eastAsia="nl-NL"/>
        </w:rPr>
        <w:tab/>
        <w:t xml:space="preserve">Ambalajele trebuie să fie fabricate din materiale adecvate, suficient de rezistente și concepute în funcție de capacitatea și </w:t>
      </w:r>
      <w:r w:rsidRPr="00857CDA">
        <w:rPr>
          <w:rFonts w:eastAsia="MS Mincho"/>
          <w:lang w:val="ro-RO" w:eastAsia="nl-NL"/>
        </w:rPr>
        <w:lastRenderedPageBreak/>
        <w:t>destinația lor. Nu este necesar ca ambalajele să îndeplinească prescripțiile de la 4.1.1.3;</w:t>
      </w:r>
    </w:p>
    <w:p w:rsidR="006762F1" w:rsidRPr="00857CDA" w:rsidRDefault="006762F1" w:rsidP="006762F1">
      <w:pPr>
        <w:pStyle w:val="SingleTxtG"/>
        <w:ind w:left="2835"/>
        <w:rPr>
          <w:rFonts w:eastAsia="MS Mincho"/>
          <w:lang w:val="ro-RO" w:eastAsia="nl-NL"/>
        </w:rPr>
      </w:pPr>
      <w:r w:rsidRPr="00857CDA">
        <w:rPr>
          <w:rFonts w:eastAsia="MS Mincho"/>
          <w:lang w:val="ro-RO" w:eastAsia="nl-NL"/>
        </w:rPr>
        <w:t xml:space="preserve">- </w:t>
      </w:r>
      <w:r w:rsidRPr="00857CDA">
        <w:rPr>
          <w:rFonts w:eastAsia="MS Mincho"/>
          <w:lang w:val="ro-RO" w:eastAsia="nl-NL"/>
        </w:rPr>
        <w:tab/>
        <w:t>Trebuie luate măsuri adecvate pentru a reduce la minimum deteriorarea echipamentelor atunci când sunt introduse în ambalaje și când se manipulează ambalajele, de exemplu prin utilizarea covorașelor din cauciuc; și</w:t>
      </w:r>
    </w:p>
    <w:p w:rsidR="008C6783" w:rsidRPr="00857CDA" w:rsidRDefault="006762F1" w:rsidP="008D0607">
      <w:pPr>
        <w:pStyle w:val="SingleTxtG"/>
        <w:ind w:left="2835"/>
        <w:rPr>
          <w:rFonts w:eastAsia="MS Mincho"/>
          <w:lang w:val="ro-RO" w:eastAsia="nl-NL"/>
        </w:rPr>
      </w:pPr>
      <w:r w:rsidRPr="00857CDA">
        <w:rPr>
          <w:rFonts w:eastAsia="MS Mincho"/>
          <w:lang w:val="ro-RO" w:eastAsia="nl-NL"/>
        </w:rPr>
        <w:t xml:space="preserve">- </w:t>
      </w:r>
      <w:r w:rsidRPr="00857CDA">
        <w:rPr>
          <w:rFonts w:eastAsia="MS Mincho"/>
          <w:lang w:val="ro-RO" w:eastAsia="nl-NL"/>
        </w:rPr>
        <w:tab/>
      </w:r>
      <w:r w:rsidR="008D0607" w:rsidRPr="00857CDA">
        <w:rPr>
          <w:rFonts w:eastAsia="MS Mincho"/>
          <w:lang w:val="ro-RO" w:eastAsia="nl-NL"/>
        </w:rPr>
        <w:t>Ambalajele trebuie să fie fabricate și închise astfel încât să se evite orice pierdere a conținutului în timpul transportului, de exemplu prin capace, căptușeli interioare puternice, huse pentru transport. Deschiderile concepute pentru umplere sunt acceptabile dacă sunt construite astfel încât să prevină pierderea conținutului</w:t>
      </w:r>
      <w:r w:rsidR="008C6783" w:rsidRPr="00857CDA">
        <w:rPr>
          <w:rFonts w:eastAsia="MS Mincho"/>
          <w:szCs w:val="24"/>
          <w:lang w:val="ro-RO" w:eastAsia="nl-NL"/>
        </w:rPr>
        <w:t>;</w:t>
      </w:r>
    </w:p>
    <w:p w:rsidR="008C6783" w:rsidRPr="00857CDA" w:rsidRDefault="008C6783" w:rsidP="008C6783">
      <w:pPr>
        <w:pStyle w:val="SingleTxtG"/>
        <w:ind w:left="2268"/>
        <w:rPr>
          <w:rFonts w:eastAsia="MS Mincho"/>
          <w:lang w:val="ro-RO" w:eastAsia="nl-NL"/>
        </w:rPr>
      </w:pPr>
      <w:r w:rsidRPr="00857CDA">
        <w:rPr>
          <w:rFonts w:eastAsia="MS Mincho"/>
          <w:lang w:val="ro-RO" w:eastAsia="nl-NL"/>
        </w:rPr>
        <w:tab/>
        <w:t>ii)</w:t>
      </w:r>
      <w:r w:rsidRPr="00857CDA">
        <w:rPr>
          <w:rFonts w:eastAsia="MS Mincho"/>
          <w:lang w:val="ro-RO" w:eastAsia="nl-NL"/>
        </w:rPr>
        <w:tab/>
      </w:r>
      <w:r w:rsidR="006460F4" w:rsidRPr="00857CDA">
        <w:rPr>
          <w:lang w:val="ro-RO"/>
        </w:rPr>
        <w:t>Există un sistem de asigurare a calităţii pentru a garanta că întreaga cantitate de pile şi baterii pe unitate de transport nu este mai mare de 333 kg</w:t>
      </w:r>
      <w:r w:rsidRPr="00857CDA">
        <w:rPr>
          <w:lang w:val="ro-RO"/>
        </w:rPr>
        <w:t>;</w:t>
      </w:r>
    </w:p>
    <w:p w:rsidR="008C6783" w:rsidRPr="00857CDA" w:rsidRDefault="003C098E" w:rsidP="00AE3FF6">
      <w:pPr>
        <w:pStyle w:val="SingleTxtG"/>
        <w:ind w:left="2835"/>
        <w:rPr>
          <w:rFonts w:eastAsia="MS Mincho"/>
          <w:lang w:val="ro-RO" w:eastAsia="nl-NL"/>
        </w:rPr>
      </w:pPr>
      <w:r w:rsidRPr="00857CDA">
        <w:rPr>
          <w:rFonts w:eastAsia="MS Mincho"/>
          <w:b/>
          <w:i/>
          <w:lang w:val="ro-RO" w:eastAsia="nl-NL"/>
        </w:rPr>
        <w:t>NOTĂ:</w:t>
      </w:r>
      <w:r w:rsidRPr="00857CDA">
        <w:rPr>
          <w:rFonts w:eastAsia="MS Mincho"/>
          <w:i/>
          <w:lang w:val="ro-RO" w:eastAsia="nl-NL"/>
        </w:rPr>
        <w:t xml:space="preserve"> Cantitatea totală de pile şi baterii cu litiu dintr-un din echipamentele provenite din gospod</w:t>
      </w:r>
      <w:r w:rsidR="00AE3FF6" w:rsidRPr="00857CDA">
        <w:rPr>
          <w:rFonts w:eastAsia="MS Mincho"/>
          <w:i/>
          <w:lang w:val="ro-RO" w:eastAsia="nl-NL"/>
        </w:rPr>
        <w:t>ă</w:t>
      </w:r>
      <w:r w:rsidRPr="00857CDA">
        <w:rPr>
          <w:rFonts w:eastAsia="MS Mincho"/>
          <w:i/>
          <w:lang w:val="ro-RO" w:eastAsia="nl-NL"/>
        </w:rPr>
        <w:t xml:space="preserve">rii poate fi determinată printr-o metodă statistică inclusă în sistemul de asigurare a calităţii. O copie a înregistrărilor </w:t>
      </w:r>
      <w:r w:rsidR="00AE3FF6" w:rsidRPr="00857CDA">
        <w:rPr>
          <w:rFonts w:eastAsia="MS Mincho"/>
          <w:i/>
          <w:lang w:val="ro-RO" w:eastAsia="nl-NL"/>
        </w:rPr>
        <w:t>efectuate în cadrul sistemului de</w:t>
      </w:r>
      <w:r w:rsidRPr="00857CDA">
        <w:rPr>
          <w:rFonts w:eastAsia="MS Mincho"/>
          <w:i/>
          <w:lang w:val="ro-RO" w:eastAsia="nl-NL"/>
        </w:rPr>
        <w:t xml:space="preserve"> asigurare a calităţii trebuie să fie pusă la dispoziţia autorităţii competente la cerere</w:t>
      </w:r>
      <w:r w:rsidR="008C6783" w:rsidRPr="00857CDA">
        <w:rPr>
          <w:i/>
          <w:lang w:val="ro-RO"/>
        </w:rPr>
        <w:t>.</w:t>
      </w:r>
    </w:p>
    <w:p w:rsidR="00C364DA" w:rsidRPr="00857CDA" w:rsidRDefault="008C6783" w:rsidP="00C364DA">
      <w:pPr>
        <w:widowControl w:val="0"/>
        <w:tabs>
          <w:tab w:val="left" w:pos="-3261"/>
          <w:tab w:val="left" w:pos="-2977"/>
          <w:tab w:val="left" w:pos="-2835"/>
          <w:tab w:val="left" w:pos="-1985"/>
        </w:tabs>
        <w:suppressAutoHyphens w:val="0"/>
        <w:autoSpaceDE w:val="0"/>
        <w:autoSpaceDN w:val="0"/>
        <w:adjustRightInd w:val="0"/>
        <w:spacing w:before="80" w:line="240" w:lineRule="auto"/>
        <w:ind w:left="2268" w:right="1134"/>
        <w:jc w:val="both"/>
        <w:rPr>
          <w:snapToGrid w:val="0"/>
          <w:lang w:val="ro-RO" w:eastAsia="ro-RO"/>
        </w:rPr>
      </w:pPr>
      <w:r w:rsidRPr="00857CDA">
        <w:rPr>
          <w:rFonts w:eastAsia="MS Mincho"/>
          <w:lang w:val="ro-RO" w:eastAsia="nl-NL"/>
        </w:rPr>
        <w:t>iii)</w:t>
      </w:r>
      <w:r w:rsidRPr="00857CDA">
        <w:rPr>
          <w:rFonts w:eastAsia="MS Mincho"/>
          <w:lang w:val="ro-RO" w:eastAsia="nl-NL"/>
        </w:rPr>
        <w:tab/>
      </w:r>
      <w:r w:rsidR="00C364DA" w:rsidRPr="00857CDA">
        <w:rPr>
          <w:rFonts w:eastAsia="MS Mincho"/>
          <w:lang w:val="ro-RO" w:eastAsia="nl-NL"/>
        </w:rPr>
        <w:t xml:space="preserve">Coletele </w:t>
      </w:r>
      <w:r w:rsidR="00C364DA" w:rsidRPr="00857CDA">
        <w:rPr>
          <w:lang w:val="ro-RO"/>
        </w:rPr>
        <w:t>trebuie să fie marcate „PILE CU LITIU PENTRU ELIMINARE” sau „PILE CU LITIU PENTRU RECICLARE”, după caz. Dacă echipamentele care conțin pile sau baterii cu litiu sunt transportate neambalate sau pe palete conform instrucțiunii de ambalare P909 3) de la 4.1.4.1, această marcă poate fi aplicată pe suprafaţa exterioară a vehiculelor sau containerelor.</w:t>
      </w:r>
    </w:p>
    <w:p w:rsidR="008C6783" w:rsidRPr="00857CDA" w:rsidRDefault="008C6783" w:rsidP="00430A12">
      <w:pPr>
        <w:pStyle w:val="SingleTxtG"/>
        <w:ind w:left="2268"/>
        <w:rPr>
          <w:rFonts w:eastAsia="MS Mincho"/>
          <w:i/>
          <w:lang w:val="ro-RO" w:eastAsia="nl-NL"/>
        </w:rPr>
      </w:pPr>
      <w:r w:rsidRPr="00857CDA">
        <w:rPr>
          <w:rFonts w:eastAsia="MS Mincho"/>
          <w:b/>
          <w:i/>
          <w:lang w:val="ro-RO" w:eastAsia="nl-NL"/>
        </w:rPr>
        <w:t>NOT</w:t>
      </w:r>
      <w:r w:rsidR="00C364DA" w:rsidRPr="00857CDA">
        <w:rPr>
          <w:rFonts w:eastAsia="MS Mincho"/>
          <w:b/>
          <w:i/>
          <w:lang w:val="ro-RO" w:eastAsia="nl-NL"/>
        </w:rPr>
        <w:t>Ă</w:t>
      </w:r>
      <w:r w:rsidRPr="00857CDA">
        <w:rPr>
          <w:rFonts w:eastAsia="MS Mincho"/>
          <w:b/>
          <w:i/>
          <w:lang w:val="ro-RO" w:eastAsia="nl-NL"/>
        </w:rPr>
        <w:t>:</w:t>
      </w:r>
      <w:r w:rsidR="00902C44" w:rsidRPr="00857CDA">
        <w:rPr>
          <w:rFonts w:eastAsia="MS Mincho"/>
          <w:i/>
          <w:lang w:val="ro-RO" w:eastAsia="nl-NL"/>
        </w:rPr>
        <w:t xml:space="preserve"> </w:t>
      </w:r>
      <w:r w:rsidR="00C364DA" w:rsidRPr="00857CDA">
        <w:rPr>
          <w:rFonts w:eastAsia="MS Mincho"/>
          <w:i/>
          <w:lang w:val="ro-RO" w:eastAsia="nl-NL"/>
        </w:rPr>
        <w:t>Prin „Echipamente provenite de la gospodării” se înțelege echipamentele provenite din gospodării şi echipamentele de origine comercială, industrială, instituţională şi altele care, datorită naturii și cantității lor, sunt similare celor din gospodării. Echipamentele susceptibile de a fi utilizate la un moment dat în gospodării şi de alți utilizatori decât gospodăriile trebuie să fie considerate, în orice caz</w:t>
      </w:r>
      <w:r w:rsidR="00430A12" w:rsidRPr="00857CDA">
        <w:rPr>
          <w:rFonts w:eastAsia="MS Mincho"/>
          <w:i/>
          <w:lang w:val="ro-RO" w:eastAsia="nl-NL"/>
        </w:rPr>
        <w:t>, ca echipamente din gospodării</w:t>
      </w:r>
      <w:r w:rsidRPr="00857CDA">
        <w:rPr>
          <w:rFonts w:eastAsia="MS Mincho"/>
          <w:i/>
          <w:lang w:val="ro-RO" w:eastAsia="nl-NL"/>
        </w:rPr>
        <w:t>.</w:t>
      </w:r>
      <w:r w:rsidR="00660131" w:rsidRPr="00857CDA">
        <w:rPr>
          <w:rFonts w:eastAsia="MS Mincho"/>
          <w:i/>
          <w:lang w:val="ro-RO" w:eastAsia="nl-NL"/>
        </w:rPr>
        <w:t>”</w:t>
      </w:r>
      <w:r w:rsidRPr="00857CDA">
        <w:rPr>
          <w:rFonts w:eastAsia="MS Mincho"/>
          <w:i/>
          <w:lang w:val="ro-RO" w:eastAsia="nl-NL"/>
        </w:rPr>
        <w:t>.</w:t>
      </w:r>
    </w:p>
    <w:p w:rsidR="000200D8" w:rsidRPr="00857CDA" w:rsidRDefault="00CD52C1" w:rsidP="00A710D7">
      <w:pPr>
        <w:pStyle w:val="SingleTxtG"/>
        <w:rPr>
          <w:lang w:val="ro-RO"/>
        </w:rPr>
      </w:pPr>
      <w:r w:rsidRPr="00857CDA">
        <w:rPr>
          <w:lang w:val="ro-RO"/>
        </w:rPr>
        <w:t>„</w:t>
      </w:r>
      <w:r w:rsidR="000200D8" w:rsidRPr="00857CDA">
        <w:rPr>
          <w:lang w:val="ro-RO"/>
        </w:rPr>
        <w:t>671</w:t>
      </w:r>
      <w:r w:rsidR="000200D8" w:rsidRPr="00857CDA">
        <w:rPr>
          <w:lang w:val="ro-RO"/>
        </w:rPr>
        <w:tab/>
      </w:r>
      <w:r w:rsidR="00A710D7" w:rsidRPr="00857CDA">
        <w:rPr>
          <w:lang w:val="ro-RO"/>
        </w:rPr>
        <w:t>În scopul exceptării legate de cantităţile transportate pe unitatea de transport (a se vedea 1.1.3.6), categoria de transport trebuie să fie determinată în funcție de grupa de ambalare (a se vedea al treilea paragraf din dispoziția specială 251)</w:t>
      </w:r>
      <w:r w:rsidR="000200D8" w:rsidRPr="00857CDA">
        <w:rPr>
          <w:lang w:val="ro-RO"/>
        </w:rPr>
        <w:t>:</w:t>
      </w:r>
    </w:p>
    <w:p w:rsidR="000200D8" w:rsidRPr="00857CDA" w:rsidRDefault="000200D8" w:rsidP="000200D8">
      <w:pPr>
        <w:pStyle w:val="SingleTxtG"/>
        <w:rPr>
          <w:lang w:val="ro-RO"/>
        </w:rPr>
      </w:pPr>
      <w:r w:rsidRPr="00857CDA">
        <w:rPr>
          <w:lang w:val="ro-RO"/>
        </w:rPr>
        <w:t>-</w:t>
      </w:r>
      <w:r w:rsidRPr="00857CDA">
        <w:rPr>
          <w:lang w:val="ro-RO"/>
        </w:rPr>
        <w:tab/>
        <w:t>cat</w:t>
      </w:r>
      <w:r w:rsidR="00A710D7" w:rsidRPr="00857CDA">
        <w:rPr>
          <w:lang w:val="ro-RO"/>
        </w:rPr>
        <w:t>e</w:t>
      </w:r>
      <w:r w:rsidRPr="00857CDA">
        <w:rPr>
          <w:lang w:val="ro-RO"/>
        </w:rPr>
        <w:t>gori</w:t>
      </w:r>
      <w:r w:rsidR="00A710D7" w:rsidRPr="00857CDA">
        <w:rPr>
          <w:lang w:val="ro-RO"/>
        </w:rPr>
        <w:t>a</w:t>
      </w:r>
      <w:r w:rsidRPr="00857CDA">
        <w:rPr>
          <w:lang w:val="ro-RO"/>
        </w:rPr>
        <w:t xml:space="preserve"> de transport 3 </w:t>
      </w:r>
      <w:r w:rsidR="00991390" w:rsidRPr="00857CDA">
        <w:rPr>
          <w:lang w:val="ro-RO"/>
        </w:rPr>
        <w:t>pentru</w:t>
      </w:r>
      <w:r w:rsidRPr="00857CDA">
        <w:rPr>
          <w:lang w:val="ro-RO"/>
        </w:rPr>
        <w:t xml:space="preserve"> truse</w:t>
      </w:r>
      <w:r w:rsidR="00A710D7" w:rsidRPr="00857CDA">
        <w:rPr>
          <w:lang w:val="ro-RO"/>
        </w:rPr>
        <w:t>le</w:t>
      </w:r>
      <w:r w:rsidRPr="00857CDA">
        <w:rPr>
          <w:lang w:val="ro-RO"/>
        </w:rPr>
        <w:t xml:space="preserve"> </w:t>
      </w:r>
      <w:r w:rsidR="00A710D7" w:rsidRPr="00857CDA">
        <w:rPr>
          <w:lang w:val="ro-RO"/>
        </w:rPr>
        <w:t>alocate</w:t>
      </w:r>
      <w:r w:rsidR="007D761B" w:rsidRPr="00857CDA">
        <w:rPr>
          <w:lang w:val="ro-RO"/>
        </w:rPr>
        <w:t xml:space="preserve"> </w:t>
      </w:r>
      <w:r w:rsidR="00217674" w:rsidRPr="00857CDA">
        <w:rPr>
          <w:lang w:val="ro-RO"/>
        </w:rPr>
        <w:t>grup</w:t>
      </w:r>
      <w:r w:rsidR="00A710D7" w:rsidRPr="00857CDA">
        <w:rPr>
          <w:lang w:val="ro-RO"/>
        </w:rPr>
        <w:t>ei</w:t>
      </w:r>
      <w:r w:rsidR="00217674" w:rsidRPr="00857CDA">
        <w:rPr>
          <w:lang w:val="ro-RO"/>
        </w:rPr>
        <w:t xml:space="preserve"> de ambalare</w:t>
      </w:r>
      <w:r w:rsidR="007D761B" w:rsidRPr="00857CDA">
        <w:rPr>
          <w:lang w:val="ro-RO"/>
        </w:rPr>
        <w:t xml:space="preserve"> III</w:t>
      </w:r>
      <w:r w:rsidRPr="00857CDA">
        <w:rPr>
          <w:lang w:val="ro-RO"/>
        </w:rPr>
        <w:t>;</w:t>
      </w:r>
    </w:p>
    <w:p w:rsidR="000200D8" w:rsidRPr="00857CDA" w:rsidRDefault="000200D8" w:rsidP="000200D8">
      <w:pPr>
        <w:pStyle w:val="SingleTxtG"/>
        <w:rPr>
          <w:lang w:val="ro-RO"/>
        </w:rPr>
      </w:pPr>
      <w:r w:rsidRPr="00857CDA">
        <w:rPr>
          <w:lang w:val="ro-RO"/>
        </w:rPr>
        <w:t>-</w:t>
      </w:r>
      <w:r w:rsidRPr="00857CDA">
        <w:rPr>
          <w:lang w:val="ro-RO"/>
        </w:rPr>
        <w:tab/>
        <w:t>cat</w:t>
      </w:r>
      <w:r w:rsidR="00A710D7" w:rsidRPr="00857CDA">
        <w:rPr>
          <w:lang w:val="ro-RO"/>
        </w:rPr>
        <w:t>e</w:t>
      </w:r>
      <w:r w:rsidRPr="00857CDA">
        <w:rPr>
          <w:lang w:val="ro-RO"/>
        </w:rPr>
        <w:t>gori</w:t>
      </w:r>
      <w:r w:rsidR="00A710D7" w:rsidRPr="00857CDA">
        <w:rPr>
          <w:lang w:val="ro-RO"/>
        </w:rPr>
        <w:t>a</w:t>
      </w:r>
      <w:r w:rsidRPr="00857CDA">
        <w:rPr>
          <w:lang w:val="ro-RO"/>
        </w:rPr>
        <w:t xml:space="preserve"> de transport 2 </w:t>
      </w:r>
      <w:r w:rsidR="00A710D7" w:rsidRPr="00857CDA">
        <w:rPr>
          <w:lang w:val="ro-RO"/>
        </w:rPr>
        <w:t xml:space="preserve">pentru trusele alocate grupei de ambalare </w:t>
      </w:r>
      <w:r w:rsidR="007D761B" w:rsidRPr="00857CDA">
        <w:rPr>
          <w:lang w:val="ro-RO"/>
        </w:rPr>
        <w:t>II</w:t>
      </w:r>
      <w:r w:rsidRPr="00857CDA">
        <w:rPr>
          <w:lang w:val="ro-RO"/>
        </w:rPr>
        <w:t>;</w:t>
      </w:r>
    </w:p>
    <w:p w:rsidR="000200D8" w:rsidRPr="00857CDA" w:rsidRDefault="00E93FDF" w:rsidP="000200D8">
      <w:pPr>
        <w:pStyle w:val="SingleTxtG"/>
        <w:rPr>
          <w:lang w:val="ro-RO"/>
        </w:rPr>
      </w:pPr>
      <w:r w:rsidRPr="00857CDA">
        <w:rPr>
          <w:lang w:val="ro-RO"/>
        </w:rPr>
        <w:t>-</w:t>
      </w:r>
      <w:r w:rsidR="000200D8" w:rsidRPr="00857CDA">
        <w:rPr>
          <w:lang w:val="ro-RO"/>
        </w:rPr>
        <w:tab/>
        <w:t>cat</w:t>
      </w:r>
      <w:r w:rsidR="00A710D7" w:rsidRPr="00857CDA">
        <w:rPr>
          <w:lang w:val="ro-RO"/>
        </w:rPr>
        <w:t>e</w:t>
      </w:r>
      <w:r w:rsidR="000200D8" w:rsidRPr="00857CDA">
        <w:rPr>
          <w:lang w:val="ro-RO"/>
        </w:rPr>
        <w:t>gori</w:t>
      </w:r>
      <w:r w:rsidR="00A710D7" w:rsidRPr="00857CDA">
        <w:rPr>
          <w:lang w:val="ro-RO"/>
        </w:rPr>
        <w:t>a</w:t>
      </w:r>
      <w:r w:rsidR="000200D8" w:rsidRPr="00857CDA">
        <w:rPr>
          <w:lang w:val="ro-RO"/>
        </w:rPr>
        <w:t xml:space="preserve"> de transport 1 </w:t>
      </w:r>
      <w:r w:rsidR="00A710D7" w:rsidRPr="00857CDA">
        <w:rPr>
          <w:lang w:val="ro-RO"/>
        </w:rPr>
        <w:t xml:space="preserve">pentru trusele alocate grupei de ambalare </w:t>
      </w:r>
      <w:r w:rsidR="000200D8" w:rsidRPr="00857CDA">
        <w:rPr>
          <w:lang w:val="ro-RO"/>
        </w:rPr>
        <w:t>I.</w:t>
      </w:r>
      <w:r w:rsidR="00660131" w:rsidRPr="00857CDA">
        <w:rPr>
          <w:lang w:val="ro-RO"/>
        </w:rPr>
        <w:t>”</w:t>
      </w:r>
      <w:r w:rsidR="000200D8" w:rsidRPr="00857CDA">
        <w:rPr>
          <w:lang w:val="ro-RO"/>
        </w:rPr>
        <w:t>.</w:t>
      </w:r>
    </w:p>
    <w:p w:rsidR="003241D0" w:rsidRPr="00857CDA" w:rsidRDefault="00CD52C1" w:rsidP="00D53F01">
      <w:pPr>
        <w:pStyle w:val="SingleTxtG"/>
        <w:rPr>
          <w:lang w:val="ro-RO"/>
        </w:rPr>
      </w:pPr>
      <w:r w:rsidRPr="00857CDA">
        <w:rPr>
          <w:lang w:val="ro-RO"/>
        </w:rPr>
        <w:t>„</w:t>
      </w:r>
      <w:r w:rsidR="0087537E" w:rsidRPr="00857CDA">
        <w:rPr>
          <w:lang w:val="ro-RO"/>
        </w:rPr>
        <w:t>672</w:t>
      </w:r>
      <w:r w:rsidR="0087537E" w:rsidRPr="00857CDA">
        <w:rPr>
          <w:lang w:val="ro-RO"/>
        </w:rPr>
        <w:tab/>
      </w:r>
      <w:r w:rsidR="003241D0" w:rsidRPr="00857CDA">
        <w:rPr>
          <w:lang w:val="ro-RO"/>
        </w:rPr>
        <w:t xml:space="preserve">Utilajele și aparatele transportate </w:t>
      </w:r>
      <w:r w:rsidR="00D906B0" w:rsidRPr="00857CDA">
        <w:rPr>
          <w:lang w:val="ro-RO"/>
        </w:rPr>
        <w:t>în baza</w:t>
      </w:r>
      <w:r w:rsidR="003241D0" w:rsidRPr="00857CDA">
        <w:rPr>
          <w:lang w:val="ro-RO"/>
        </w:rPr>
        <w:t xml:space="preserve"> acestei rubrici și în conformitate cu dispoziția specială 301 nu sunt supuse altor dispoziții ale </w:t>
      </w:r>
      <w:r w:rsidR="00D906B0" w:rsidRPr="00857CDA">
        <w:rPr>
          <w:lang w:val="ro-RO"/>
        </w:rPr>
        <w:t>ADR, cu condiția</w:t>
      </w:r>
      <w:r w:rsidR="003241D0" w:rsidRPr="00857CDA">
        <w:rPr>
          <w:lang w:val="ro-RO"/>
        </w:rPr>
        <w:t>:</w:t>
      </w:r>
    </w:p>
    <w:p w:rsidR="008D38B8" w:rsidRPr="00857CDA" w:rsidRDefault="0087537E" w:rsidP="008D38B8">
      <w:pPr>
        <w:pStyle w:val="SingleTxtG"/>
        <w:rPr>
          <w:lang w:val="ro-RO"/>
        </w:rPr>
      </w:pPr>
      <w:r w:rsidRPr="00857CDA">
        <w:rPr>
          <w:lang w:val="ro-RO"/>
        </w:rPr>
        <w:t xml:space="preserve">- </w:t>
      </w:r>
      <w:r w:rsidRPr="00857CDA">
        <w:rPr>
          <w:lang w:val="ro-RO"/>
        </w:rPr>
        <w:tab/>
      </w:r>
      <w:r w:rsidR="008D38B8" w:rsidRPr="00857CDA">
        <w:rPr>
          <w:lang w:val="ro-RO"/>
        </w:rPr>
        <w:t xml:space="preserve">să fie ambalate într-un ambalaj exterior robust, </w:t>
      </w:r>
      <w:r w:rsidR="00D906B0" w:rsidRPr="00857CDA">
        <w:rPr>
          <w:rFonts w:eastAsia="MS Mincho"/>
          <w:lang w:val="ro-RO" w:eastAsia="nl-NL"/>
        </w:rPr>
        <w:t>fabricat din</w:t>
      </w:r>
      <w:r w:rsidR="00DC76EC" w:rsidRPr="00857CDA">
        <w:rPr>
          <w:rFonts w:eastAsia="MS Mincho"/>
          <w:lang w:val="ro-RO" w:eastAsia="nl-NL"/>
        </w:rPr>
        <w:t>tr-un</w:t>
      </w:r>
      <w:r w:rsidR="00D906B0" w:rsidRPr="00857CDA">
        <w:rPr>
          <w:rFonts w:eastAsia="MS Mincho"/>
          <w:lang w:val="ro-RO" w:eastAsia="nl-NL"/>
        </w:rPr>
        <w:t xml:space="preserve"> material adecvat, suficient de rezistent și conceput în funcție de capacitatea și destinația lor</w:t>
      </w:r>
      <w:r w:rsidR="00DC76EC" w:rsidRPr="00857CDA">
        <w:rPr>
          <w:rFonts w:eastAsia="MS Mincho"/>
          <w:lang w:val="ro-RO" w:eastAsia="nl-NL"/>
        </w:rPr>
        <w:t>,</w:t>
      </w:r>
      <w:r w:rsidR="008D38B8" w:rsidRPr="00857CDA">
        <w:rPr>
          <w:lang w:val="ro-RO"/>
        </w:rPr>
        <w:t xml:space="preserve"> </w:t>
      </w:r>
      <w:r w:rsidR="00DC76EC" w:rsidRPr="00857CDA">
        <w:rPr>
          <w:lang w:val="ro-RO"/>
        </w:rPr>
        <w:t>îndeplinind prescripțiile</w:t>
      </w:r>
      <w:r w:rsidR="008D38B8" w:rsidRPr="00857CDA">
        <w:rPr>
          <w:lang w:val="ro-RO"/>
        </w:rPr>
        <w:t xml:space="preserve"> aplicabile d</w:t>
      </w:r>
      <w:r w:rsidR="00DC76EC" w:rsidRPr="00857CDA">
        <w:rPr>
          <w:lang w:val="ro-RO"/>
        </w:rPr>
        <w:t>e la</w:t>
      </w:r>
      <w:r w:rsidR="008D38B8" w:rsidRPr="00857CDA">
        <w:rPr>
          <w:lang w:val="ro-RO"/>
        </w:rPr>
        <w:t xml:space="preserve"> 4.1.1.1;</w:t>
      </w:r>
      <w:r w:rsidR="00DC76EC" w:rsidRPr="00857CDA">
        <w:rPr>
          <w:lang w:val="ro-RO"/>
        </w:rPr>
        <w:t xml:space="preserve"> sau</w:t>
      </w:r>
    </w:p>
    <w:p w:rsidR="0087537E" w:rsidRPr="00857CDA" w:rsidRDefault="008D38B8" w:rsidP="00DC76EC">
      <w:pPr>
        <w:pStyle w:val="SingleTxtG"/>
        <w:rPr>
          <w:lang w:val="ro-RO"/>
        </w:rPr>
      </w:pPr>
      <w:r w:rsidRPr="00857CDA">
        <w:rPr>
          <w:lang w:val="ro-RO"/>
        </w:rPr>
        <w:t xml:space="preserve">- </w:t>
      </w:r>
      <w:r w:rsidR="00DC76EC" w:rsidRPr="00857CDA">
        <w:rPr>
          <w:lang w:val="ro-RO"/>
        </w:rPr>
        <w:tab/>
      </w:r>
      <w:r w:rsidRPr="00857CDA">
        <w:rPr>
          <w:lang w:val="ro-RO"/>
        </w:rPr>
        <w:t xml:space="preserve">transportate fără ambalaj exterior, dacă </w:t>
      </w:r>
      <w:r w:rsidR="00DC76EC" w:rsidRPr="00857CDA">
        <w:rPr>
          <w:lang w:val="ro-RO"/>
        </w:rPr>
        <w:t>utilajele</w:t>
      </w:r>
      <w:r w:rsidRPr="00857CDA">
        <w:rPr>
          <w:lang w:val="ro-RO"/>
        </w:rPr>
        <w:t xml:space="preserve"> sau aparatele sunt construite </w:t>
      </w:r>
      <w:r w:rsidR="00DC76EC" w:rsidRPr="00857CDA">
        <w:rPr>
          <w:lang w:val="ro-RO"/>
        </w:rPr>
        <w:t>și concepute</w:t>
      </w:r>
      <w:r w:rsidRPr="00857CDA">
        <w:rPr>
          <w:lang w:val="ro-RO"/>
        </w:rPr>
        <w:t xml:space="preserve"> astfel încât recipientele care conțin </w:t>
      </w:r>
      <w:r w:rsidR="00DC76EC" w:rsidRPr="00857CDA">
        <w:rPr>
          <w:lang w:val="ro-RO"/>
        </w:rPr>
        <w:t>mărfurile periculoase</w:t>
      </w:r>
      <w:r w:rsidRPr="00857CDA">
        <w:rPr>
          <w:lang w:val="ro-RO"/>
        </w:rPr>
        <w:t xml:space="preserve"> </w:t>
      </w:r>
      <w:r w:rsidR="00DC76EC" w:rsidRPr="00857CDA">
        <w:rPr>
          <w:lang w:val="ro-RO"/>
        </w:rPr>
        <w:t>oferă o protecție adecvată</w:t>
      </w:r>
      <w:r w:rsidR="00447B06" w:rsidRPr="00857CDA">
        <w:rPr>
          <w:lang w:val="ro-RO"/>
        </w:rPr>
        <w:t>.</w:t>
      </w:r>
      <w:r w:rsidR="00660131" w:rsidRPr="00857CDA">
        <w:rPr>
          <w:lang w:val="ro-RO"/>
        </w:rPr>
        <w:t>”</w:t>
      </w:r>
      <w:r w:rsidR="00447B06" w:rsidRPr="00857CDA">
        <w:rPr>
          <w:lang w:val="ro-RO"/>
        </w:rPr>
        <w:t>.</w:t>
      </w:r>
    </w:p>
    <w:p w:rsidR="0087537E" w:rsidRPr="00857CDA" w:rsidRDefault="00CD52C1" w:rsidP="00113683">
      <w:pPr>
        <w:pStyle w:val="SingleTxtG"/>
        <w:rPr>
          <w:iCs/>
          <w:lang w:val="ro-RO"/>
        </w:rPr>
      </w:pPr>
      <w:r w:rsidRPr="00857CDA">
        <w:rPr>
          <w:lang w:val="ro-RO"/>
        </w:rPr>
        <w:t>„</w:t>
      </w:r>
      <w:r w:rsidR="0087537E" w:rsidRPr="00857CDA">
        <w:rPr>
          <w:iCs/>
          <w:lang w:val="ro-RO"/>
        </w:rPr>
        <w:t>673</w:t>
      </w:r>
      <w:r w:rsidR="0087537E" w:rsidRPr="00857CDA">
        <w:rPr>
          <w:iCs/>
          <w:lang w:val="ro-RO"/>
        </w:rPr>
        <w:tab/>
      </w:r>
      <w:r w:rsidR="0087537E" w:rsidRPr="00857CDA">
        <w:rPr>
          <w:i/>
          <w:iCs/>
          <w:lang w:val="ro-RO"/>
        </w:rPr>
        <w:t>(</w:t>
      </w:r>
      <w:r w:rsidR="00447B06" w:rsidRPr="00857CDA">
        <w:rPr>
          <w:i/>
          <w:iCs/>
          <w:lang w:val="ro-RO"/>
        </w:rPr>
        <w:t>R</w:t>
      </w:r>
      <w:r w:rsidR="00DC76EC" w:rsidRPr="00857CDA">
        <w:rPr>
          <w:i/>
          <w:iCs/>
          <w:lang w:val="ro-RO"/>
        </w:rPr>
        <w:t>ez</w:t>
      </w:r>
      <w:r w:rsidR="00447B06" w:rsidRPr="00857CDA">
        <w:rPr>
          <w:i/>
          <w:iCs/>
          <w:lang w:val="ro-RO"/>
        </w:rPr>
        <w:t>erv</w:t>
      </w:r>
      <w:r w:rsidR="00DC76EC" w:rsidRPr="00857CDA">
        <w:rPr>
          <w:i/>
          <w:iCs/>
          <w:lang w:val="ro-RO"/>
        </w:rPr>
        <w:t>at</w:t>
      </w:r>
      <w:r w:rsidR="0087537E" w:rsidRPr="00857CDA">
        <w:rPr>
          <w:i/>
          <w:iCs/>
          <w:lang w:val="ro-RO"/>
        </w:rPr>
        <w:t>)</w:t>
      </w:r>
      <w:r w:rsidR="00660131" w:rsidRPr="00857CDA">
        <w:rPr>
          <w:iCs/>
          <w:lang w:val="ro-RO"/>
        </w:rPr>
        <w:t>”</w:t>
      </w:r>
      <w:r w:rsidR="00447B06" w:rsidRPr="00857CDA">
        <w:rPr>
          <w:iCs/>
          <w:lang w:val="ro-RO"/>
        </w:rPr>
        <w:t>.</w:t>
      </w:r>
    </w:p>
    <w:p w:rsidR="00342D08" w:rsidRPr="00857CDA" w:rsidRDefault="00CD52C1" w:rsidP="00342D08">
      <w:pPr>
        <w:pStyle w:val="SingleTxtG"/>
        <w:tabs>
          <w:tab w:val="left" w:pos="1985"/>
        </w:tabs>
        <w:rPr>
          <w:lang w:val="ro-RO"/>
        </w:rPr>
      </w:pPr>
      <w:r w:rsidRPr="00857CDA">
        <w:rPr>
          <w:lang w:val="ro-RO"/>
        </w:rPr>
        <w:lastRenderedPageBreak/>
        <w:t>„</w:t>
      </w:r>
      <w:r w:rsidR="00342D08" w:rsidRPr="00857CDA">
        <w:rPr>
          <w:lang w:val="ro-RO"/>
        </w:rPr>
        <w:t>674</w:t>
      </w:r>
      <w:r w:rsidR="00342D08" w:rsidRPr="00857CDA">
        <w:rPr>
          <w:lang w:val="ro-RO"/>
        </w:rPr>
        <w:tab/>
      </w:r>
      <w:r w:rsidR="00DC76EC" w:rsidRPr="00857CDA">
        <w:rPr>
          <w:lang w:val="ro-RO"/>
        </w:rPr>
        <w:t>Această d</w:t>
      </w:r>
      <w:r w:rsidR="0043120D" w:rsidRPr="00857CDA">
        <w:rPr>
          <w:lang w:val="ro-RO"/>
        </w:rPr>
        <w:t>ispoziți</w:t>
      </w:r>
      <w:r w:rsidR="00DC76EC" w:rsidRPr="00857CDA">
        <w:rPr>
          <w:lang w:val="ro-RO"/>
        </w:rPr>
        <w:t>e</w:t>
      </w:r>
      <w:r w:rsidR="0043120D" w:rsidRPr="00857CDA">
        <w:rPr>
          <w:lang w:val="ro-RO"/>
        </w:rPr>
        <w:t xml:space="preserve"> specială</w:t>
      </w:r>
      <w:r w:rsidR="00342D08" w:rsidRPr="00857CDA">
        <w:rPr>
          <w:lang w:val="ro-RO"/>
        </w:rPr>
        <w:t xml:space="preserve"> s</w:t>
      </w:r>
      <w:r w:rsidR="00DC76EC" w:rsidRPr="00857CDA">
        <w:rPr>
          <w:lang w:val="ro-RO"/>
        </w:rPr>
        <w:t xml:space="preserve">e </w:t>
      </w:r>
      <w:r w:rsidR="00342D08" w:rsidRPr="00857CDA">
        <w:rPr>
          <w:lang w:val="ro-RO"/>
        </w:rPr>
        <w:t>apli</w:t>
      </w:r>
      <w:r w:rsidR="00DC76EC" w:rsidRPr="00857CDA">
        <w:rPr>
          <w:lang w:val="ro-RO"/>
        </w:rPr>
        <w:t>că</w:t>
      </w:r>
      <w:r w:rsidR="00342D08" w:rsidRPr="00857CDA">
        <w:rPr>
          <w:lang w:val="ro-RO"/>
        </w:rPr>
        <w:t xml:space="preserve"> </w:t>
      </w:r>
      <w:r w:rsidR="00DC76EC" w:rsidRPr="00857CDA">
        <w:rPr>
          <w:lang w:val="ro-RO"/>
        </w:rPr>
        <w:t xml:space="preserve">inspecției periodice și încercării buteliilor </w:t>
      </w:r>
      <w:r w:rsidR="001C467B" w:rsidRPr="00857CDA">
        <w:rPr>
          <w:lang w:val="ro-RO"/>
        </w:rPr>
        <w:t xml:space="preserve">metalice </w:t>
      </w:r>
      <w:r w:rsidR="003A679F" w:rsidRPr="00857CDA">
        <w:rPr>
          <w:lang w:val="ro-RO"/>
        </w:rPr>
        <w:t>cu carcasă</w:t>
      </w:r>
      <w:r w:rsidR="00DC76EC" w:rsidRPr="00857CDA">
        <w:rPr>
          <w:lang w:val="ro-RO"/>
        </w:rPr>
        <w:t xml:space="preserve"> definite la 1.2.1</w:t>
      </w:r>
      <w:r w:rsidR="00342D08" w:rsidRPr="00857CDA">
        <w:rPr>
          <w:lang w:val="ro-RO"/>
        </w:rPr>
        <w:t>.</w:t>
      </w:r>
    </w:p>
    <w:p w:rsidR="00F67547" w:rsidRPr="00857CDA" w:rsidRDefault="00F67547" w:rsidP="00F67547">
      <w:pPr>
        <w:pStyle w:val="SingleTxtG"/>
        <w:rPr>
          <w:lang w:val="ro-RO"/>
        </w:rPr>
      </w:pPr>
      <w:r w:rsidRPr="00857CDA">
        <w:rPr>
          <w:lang w:val="ro-RO"/>
        </w:rPr>
        <w:t xml:space="preserve">Buteliile </w:t>
      </w:r>
      <w:r w:rsidR="001C467B" w:rsidRPr="00857CDA">
        <w:rPr>
          <w:lang w:val="ro-RO"/>
        </w:rPr>
        <w:t xml:space="preserve">metalice </w:t>
      </w:r>
      <w:r w:rsidR="003A679F" w:rsidRPr="00857CDA">
        <w:rPr>
          <w:lang w:val="ro-RO"/>
        </w:rPr>
        <w:t>cu carcasă</w:t>
      </w:r>
      <w:r w:rsidRPr="00857CDA">
        <w:rPr>
          <w:lang w:val="ro-RO"/>
        </w:rPr>
        <w:t xml:space="preserve">, </w:t>
      </w:r>
      <w:r w:rsidR="001C467B" w:rsidRPr="00857CDA">
        <w:rPr>
          <w:lang w:val="ro-RO"/>
        </w:rPr>
        <w:t>care fac obiectul prevederilor de la</w:t>
      </w:r>
      <w:r w:rsidRPr="00857CDA">
        <w:rPr>
          <w:lang w:val="ro-RO"/>
        </w:rPr>
        <w:t xml:space="preserve"> 6.2.3.5.3.1, fac obiectul </w:t>
      </w:r>
      <w:r w:rsidR="0049744B" w:rsidRPr="00857CDA">
        <w:rPr>
          <w:lang w:val="ro-RO"/>
        </w:rPr>
        <w:t>verificărilor și încercărilor</w:t>
      </w:r>
      <w:r w:rsidR="001C467B" w:rsidRPr="00857CDA">
        <w:rPr>
          <w:lang w:val="ro-RO"/>
        </w:rPr>
        <w:t xml:space="preserve"> periodice stabilite în conformitate cu 6.2.1.6.1, adaptate prin următoarea metodă alternativă</w:t>
      </w:r>
      <w:r w:rsidRPr="00857CDA">
        <w:rPr>
          <w:lang w:val="ro-RO"/>
        </w:rPr>
        <w:t>:</w:t>
      </w:r>
    </w:p>
    <w:p w:rsidR="00F67547" w:rsidRPr="00857CDA" w:rsidRDefault="00F67547" w:rsidP="00F67547">
      <w:pPr>
        <w:pStyle w:val="SingleTxtG"/>
        <w:rPr>
          <w:lang w:val="ro-RO"/>
        </w:rPr>
      </w:pPr>
      <w:r w:rsidRPr="00857CDA">
        <w:rPr>
          <w:lang w:val="ro-RO"/>
        </w:rPr>
        <w:t>- se înlocuiește încercarea prevăzută la 6.2.1.6.1 (d) cu încercări distructive alternative;</w:t>
      </w:r>
    </w:p>
    <w:p w:rsidR="00F67547" w:rsidRPr="00857CDA" w:rsidRDefault="00F67547" w:rsidP="00F67547">
      <w:pPr>
        <w:pStyle w:val="SingleTxtG"/>
        <w:rPr>
          <w:lang w:val="ro-RO"/>
        </w:rPr>
      </w:pPr>
      <w:r w:rsidRPr="00857CDA">
        <w:rPr>
          <w:lang w:val="ro-RO"/>
        </w:rPr>
        <w:t xml:space="preserve">- se efectuează încercări distructive specifice suplimentare legate de caracteristicile </w:t>
      </w:r>
      <w:r w:rsidR="005037FC" w:rsidRPr="00857CDA">
        <w:rPr>
          <w:lang w:val="ro-RO"/>
        </w:rPr>
        <w:t>buteliilor metalice cu carcasă</w:t>
      </w:r>
      <w:r w:rsidRPr="00857CDA">
        <w:rPr>
          <w:lang w:val="ro-RO"/>
        </w:rPr>
        <w:t>.</w:t>
      </w:r>
    </w:p>
    <w:p w:rsidR="00342D08" w:rsidRPr="00857CDA" w:rsidRDefault="00F67547" w:rsidP="00F67547">
      <w:pPr>
        <w:pStyle w:val="SingleTxtG"/>
        <w:rPr>
          <w:lang w:val="ro-RO"/>
        </w:rPr>
      </w:pPr>
      <w:r w:rsidRPr="00857CDA">
        <w:rPr>
          <w:lang w:val="ro-RO"/>
        </w:rPr>
        <w:t>Procedurile și prescripțiile referitoare la această metodă alternativă sunt descrise mai jos</w:t>
      </w:r>
      <w:r w:rsidR="00342D08" w:rsidRPr="00857CDA">
        <w:rPr>
          <w:lang w:val="ro-RO"/>
        </w:rPr>
        <w:t>.</w:t>
      </w:r>
    </w:p>
    <w:p w:rsidR="00342D08" w:rsidRPr="00857CDA" w:rsidRDefault="00342D08" w:rsidP="00342D08">
      <w:pPr>
        <w:pStyle w:val="SingleTxtG"/>
        <w:keepNext/>
        <w:rPr>
          <w:lang w:val="ro-RO"/>
        </w:rPr>
      </w:pPr>
      <w:r w:rsidRPr="00857CDA">
        <w:rPr>
          <w:lang w:val="ro-RO"/>
        </w:rPr>
        <w:t>M</w:t>
      </w:r>
      <w:r w:rsidR="00F67547" w:rsidRPr="00857CDA">
        <w:rPr>
          <w:lang w:val="ro-RO"/>
        </w:rPr>
        <w:t>e</w:t>
      </w:r>
      <w:r w:rsidRPr="00857CDA">
        <w:rPr>
          <w:lang w:val="ro-RO"/>
        </w:rPr>
        <w:t>tod</w:t>
      </w:r>
      <w:r w:rsidR="00F67547" w:rsidRPr="00857CDA">
        <w:rPr>
          <w:lang w:val="ro-RO"/>
        </w:rPr>
        <w:t>a</w:t>
      </w:r>
      <w:r w:rsidRPr="00857CDA">
        <w:rPr>
          <w:lang w:val="ro-RO"/>
        </w:rPr>
        <w:t xml:space="preserve"> alternativ</w:t>
      </w:r>
      <w:r w:rsidR="00F67547" w:rsidRPr="00857CDA">
        <w:rPr>
          <w:lang w:val="ro-RO"/>
        </w:rPr>
        <w:t>ă</w:t>
      </w:r>
      <w:r w:rsidRPr="00857CDA">
        <w:rPr>
          <w:lang w:val="ro-RO"/>
        </w:rPr>
        <w:t>:</w:t>
      </w:r>
    </w:p>
    <w:p w:rsidR="00342D08" w:rsidRPr="00857CDA" w:rsidRDefault="00342D08" w:rsidP="00342D08">
      <w:pPr>
        <w:pStyle w:val="SingleTxtG"/>
        <w:rPr>
          <w:lang w:val="ro-RO"/>
        </w:rPr>
      </w:pPr>
      <w:r w:rsidRPr="00857CDA">
        <w:rPr>
          <w:lang w:val="ro-RO"/>
        </w:rPr>
        <w:t>a)</w:t>
      </w:r>
      <w:r w:rsidRPr="00857CDA">
        <w:rPr>
          <w:lang w:val="ro-RO"/>
        </w:rPr>
        <w:tab/>
        <w:t>G</w:t>
      </w:r>
      <w:r w:rsidR="00F67547" w:rsidRPr="00857CDA">
        <w:rPr>
          <w:lang w:val="ro-RO"/>
        </w:rPr>
        <w:t>e</w:t>
      </w:r>
      <w:r w:rsidRPr="00857CDA">
        <w:rPr>
          <w:lang w:val="ro-RO"/>
        </w:rPr>
        <w:t>n</w:t>
      </w:r>
      <w:r w:rsidR="00F67547" w:rsidRPr="00857CDA">
        <w:rPr>
          <w:lang w:val="ro-RO"/>
        </w:rPr>
        <w:t>e</w:t>
      </w:r>
      <w:r w:rsidRPr="00857CDA">
        <w:rPr>
          <w:lang w:val="ro-RO"/>
        </w:rPr>
        <w:t>ralit</w:t>
      </w:r>
      <w:r w:rsidR="00F67547" w:rsidRPr="00857CDA">
        <w:rPr>
          <w:lang w:val="ro-RO"/>
        </w:rPr>
        <w:t>ăți</w:t>
      </w:r>
      <w:r w:rsidRPr="00857CDA">
        <w:rPr>
          <w:lang w:val="ro-RO"/>
        </w:rPr>
        <w:t xml:space="preserve"> </w:t>
      </w:r>
    </w:p>
    <w:p w:rsidR="00342D08" w:rsidRPr="00857CDA" w:rsidRDefault="00F67547" w:rsidP="00DF7746">
      <w:pPr>
        <w:pStyle w:val="SingleTxtG"/>
        <w:ind w:left="1701"/>
        <w:rPr>
          <w:lang w:val="ro-RO"/>
        </w:rPr>
      </w:pPr>
      <w:r w:rsidRPr="00857CDA">
        <w:rPr>
          <w:lang w:val="ro-RO"/>
        </w:rPr>
        <w:t xml:space="preserve">Următoarele dispoziții </w:t>
      </w:r>
      <w:r w:rsidR="001C467B" w:rsidRPr="00857CDA">
        <w:rPr>
          <w:lang w:val="ro-RO"/>
        </w:rPr>
        <w:t xml:space="preserve">sunt </w:t>
      </w:r>
      <w:r w:rsidRPr="00857CDA">
        <w:rPr>
          <w:lang w:val="ro-RO"/>
        </w:rPr>
        <w:t>aplic</w:t>
      </w:r>
      <w:r w:rsidR="001C467B" w:rsidRPr="00857CDA">
        <w:rPr>
          <w:lang w:val="ro-RO"/>
        </w:rPr>
        <w:t>abile</w:t>
      </w:r>
      <w:r w:rsidRPr="00857CDA">
        <w:rPr>
          <w:lang w:val="ro-RO"/>
        </w:rPr>
        <w:t xml:space="preserve"> buteliilor</w:t>
      </w:r>
      <w:r w:rsidR="001C467B" w:rsidRPr="00857CDA">
        <w:rPr>
          <w:lang w:val="ro-RO"/>
        </w:rPr>
        <w:t xml:space="preserve"> metalice cu carcasă</w:t>
      </w:r>
      <w:r w:rsidRPr="00857CDA">
        <w:rPr>
          <w:lang w:val="ro-RO"/>
        </w:rPr>
        <w:t xml:space="preserve"> fabricate în serie</w:t>
      </w:r>
      <w:r w:rsidR="00EF45F6" w:rsidRPr="00857CDA">
        <w:rPr>
          <w:lang w:val="ro-RO"/>
        </w:rPr>
        <w:t>,</w:t>
      </w:r>
      <w:r w:rsidRPr="00857CDA">
        <w:rPr>
          <w:lang w:val="ro-RO"/>
        </w:rPr>
        <w:t xml:space="preserve"> din butelii din oțel</w:t>
      </w:r>
      <w:r w:rsidR="00EF45F6" w:rsidRPr="00857CDA">
        <w:rPr>
          <w:lang w:val="ro-RO"/>
        </w:rPr>
        <w:t>,</w:t>
      </w:r>
      <w:r w:rsidRPr="00857CDA">
        <w:rPr>
          <w:lang w:val="ro-RO"/>
        </w:rPr>
        <w:t xml:space="preserve"> sudate în conformitate cu</w:t>
      </w:r>
      <w:r w:rsidR="00EF45F6" w:rsidRPr="00857CDA">
        <w:rPr>
          <w:lang w:val="ro-RO"/>
        </w:rPr>
        <w:t>:</w:t>
      </w:r>
      <w:r w:rsidRPr="00857CDA">
        <w:rPr>
          <w:lang w:val="ro-RO"/>
        </w:rPr>
        <w:t xml:space="preserve"> EN 1442: 2017, EN 14140: 2014 + AC: 2015 sau cu anexa I părțile 1-3 din </w:t>
      </w:r>
      <w:r w:rsidR="00EF45F6" w:rsidRPr="00857CDA">
        <w:rPr>
          <w:lang w:val="ro-RO"/>
        </w:rPr>
        <w:t xml:space="preserve">Directiva </w:t>
      </w:r>
      <w:r w:rsidRPr="00857CDA">
        <w:rPr>
          <w:lang w:val="ro-RO"/>
        </w:rPr>
        <w:t xml:space="preserve">84/527/CEE a Consiliului. </w:t>
      </w:r>
      <w:r w:rsidR="00EF45F6" w:rsidRPr="00857CDA">
        <w:rPr>
          <w:lang w:val="ro-RO"/>
        </w:rPr>
        <w:t>Concepția</w:t>
      </w:r>
      <w:r w:rsidRPr="00857CDA">
        <w:rPr>
          <w:lang w:val="ro-RO"/>
        </w:rPr>
        <w:t xml:space="preserve"> înveliș</w:t>
      </w:r>
      <w:r w:rsidR="00EF45F6" w:rsidRPr="00857CDA">
        <w:rPr>
          <w:lang w:val="ro-RO"/>
        </w:rPr>
        <w:t>ului</w:t>
      </w:r>
      <w:r w:rsidRPr="00857CDA">
        <w:rPr>
          <w:lang w:val="ro-RO"/>
        </w:rPr>
        <w:t xml:space="preserve"> supra</w:t>
      </w:r>
      <w:r w:rsidR="00EF45F6" w:rsidRPr="00857CDA">
        <w:rPr>
          <w:lang w:val="ro-RO"/>
        </w:rPr>
        <w:t>-turnat</w:t>
      </w:r>
      <w:r w:rsidRPr="00857CDA">
        <w:rPr>
          <w:lang w:val="ro-RO"/>
        </w:rPr>
        <w:t xml:space="preserve"> trebuie s</w:t>
      </w:r>
      <w:r w:rsidR="00EF45F6" w:rsidRPr="00857CDA">
        <w:rPr>
          <w:lang w:val="ro-RO"/>
        </w:rPr>
        <w:t xml:space="preserve">ă </w:t>
      </w:r>
      <w:r w:rsidR="00DF7746" w:rsidRPr="00857CDA">
        <w:rPr>
          <w:lang w:val="ro-RO"/>
        </w:rPr>
        <w:t>prevină</w:t>
      </w:r>
      <w:r w:rsidR="00EF45F6" w:rsidRPr="00857CDA">
        <w:rPr>
          <w:lang w:val="ro-RO"/>
        </w:rPr>
        <w:t xml:space="preserve"> pătrunderea apei la butelia</w:t>
      </w:r>
      <w:r w:rsidRPr="00857CDA">
        <w:rPr>
          <w:lang w:val="ro-RO"/>
        </w:rPr>
        <w:t xml:space="preserve"> interioară</w:t>
      </w:r>
      <w:r w:rsidR="00EF45F6" w:rsidRPr="00857CDA">
        <w:rPr>
          <w:lang w:val="ro-RO"/>
        </w:rPr>
        <w:t xml:space="preserve"> din oțel</w:t>
      </w:r>
      <w:r w:rsidRPr="00857CDA">
        <w:rPr>
          <w:lang w:val="ro-RO"/>
        </w:rPr>
        <w:t xml:space="preserve">. Procesul de transformare a </w:t>
      </w:r>
      <w:r w:rsidR="00DF7746" w:rsidRPr="00857CDA">
        <w:rPr>
          <w:lang w:val="ro-RO"/>
        </w:rPr>
        <w:t>buteliei</w:t>
      </w:r>
      <w:r w:rsidRPr="00857CDA">
        <w:rPr>
          <w:lang w:val="ro-RO"/>
        </w:rPr>
        <w:t xml:space="preserve"> d</w:t>
      </w:r>
      <w:r w:rsidR="00DF7746" w:rsidRPr="00857CDA">
        <w:rPr>
          <w:lang w:val="ro-RO"/>
        </w:rPr>
        <w:t>in</w:t>
      </w:r>
      <w:r w:rsidRPr="00857CDA">
        <w:rPr>
          <w:lang w:val="ro-RO"/>
        </w:rPr>
        <w:t xml:space="preserve"> oțel într-o </w:t>
      </w:r>
      <w:r w:rsidR="00DF7746" w:rsidRPr="00857CDA">
        <w:rPr>
          <w:lang w:val="ro-RO"/>
        </w:rPr>
        <w:t>butelie metalică cu carcasă</w:t>
      </w:r>
      <w:r w:rsidRPr="00857CDA">
        <w:rPr>
          <w:lang w:val="ro-RO"/>
        </w:rPr>
        <w:t xml:space="preserve"> trebuie să respecte dispozițiile aplicabile din </w:t>
      </w:r>
      <w:r w:rsidR="00DF7746" w:rsidRPr="00857CDA">
        <w:rPr>
          <w:lang w:val="ro-RO"/>
        </w:rPr>
        <w:t xml:space="preserve">standardele </w:t>
      </w:r>
      <w:r w:rsidRPr="00857CDA">
        <w:rPr>
          <w:lang w:val="ro-RO"/>
        </w:rPr>
        <w:t>EN 1442: 20</w:t>
      </w:r>
      <w:r w:rsidR="00DF7746" w:rsidRPr="00857CDA">
        <w:rPr>
          <w:lang w:val="ro-RO"/>
        </w:rPr>
        <w:t>17 și EN 14140: 2014 + AC: 2015</w:t>
      </w:r>
      <w:r w:rsidR="00342D08" w:rsidRPr="00857CDA">
        <w:rPr>
          <w:lang w:val="ro-RO"/>
        </w:rPr>
        <w:t xml:space="preserve">. </w:t>
      </w:r>
    </w:p>
    <w:p w:rsidR="00342D08" w:rsidRPr="00857CDA" w:rsidRDefault="00DF7746" w:rsidP="00342D08">
      <w:pPr>
        <w:pStyle w:val="SingleTxtG"/>
        <w:ind w:left="1701"/>
        <w:rPr>
          <w:lang w:val="ro-RO"/>
        </w:rPr>
      </w:pPr>
      <w:r w:rsidRPr="00857CDA">
        <w:rPr>
          <w:lang w:val="ro-RO"/>
        </w:rPr>
        <w:t>Buteliile metalice cu carcasă trebuie să fie dotate cu robinete cu închidere automată</w:t>
      </w:r>
      <w:r w:rsidR="00342D08" w:rsidRPr="00857CDA">
        <w:rPr>
          <w:lang w:val="ro-RO"/>
        </w:rPr>
        <w:t>.</w:t>
      </w:r>
    </w:p>
    <w:p w:rsidR="00A4208C" w:rsidRPr="00857CDA" w:rsidRDefault="00342D08" w:rsidP="00A4208C">
      <w:pPr>
        <w:pStyle w:val="SingleTxtG"/>
        <w:rPr>
          <w:lang w:val="ro-RO"/>
        </w:rPr>
      </w:pPr>
      <w:r w:rsidRPr="00857CDA">
        <w:rPr>
          <w:lang w:val="ro-RO"/>
        </w:rPr>
        <w:t>b)</w:t>
      </w:r>
      <w:r w:rsidRPr="00857CDA">
        <w:rPr>
          <w:lang w:val="ro-RO"/>
        </w:rPr>
        <w:tab/>
      </w:r>
      <w:r w:rsidR="00DF7746" w:rsidRPr="00857CDA">
        <w:rPr>
          <w:lang w:val="ro-RO"/>
        </w:rPr>
        <w:t>Populația de bază</w:t>
      </w:r>
    </w:p>
    <w:p w:rsidR="00342D08" w:rsidRPr="00857CDA" w:rsidRDefault="00DF7746" w:rsidP="00A4208C">
      <w:pPr>
        <w:pStyle w:val="SingleTxtG"/>
        <w:ind w:left="1701"/>
        <w:rPr>
          <w:lang w:val="ro-RO"/>
        </w:rPr>
      </w:pPr>
      <w:r w:rsidRPr="00857CDA">
        <w:rPr>
          <w:lang w:val="ro-RO"/>
        </w:rPr>
        <w:t>O populație de bază a buteliilor metalice cu carcasă este definită ca producția de butelii provenită de la un singur fabricant de carcase care utilizează buteliile interioare fabricate de un singur producător în decursul unui an calendaristic, pe baza aceluiași model tip, aceleași materiale și procese de producție</w:t>
      </w:r>
      <w:r w:rsidR="00342D08" w:rsidRPr="00857CDA">
        <w:rPr>
          <w:lang w:val="ro-RO"/>
        </w:rPr>
        <w:t>.</w:t>
      </w:r>
    </w:p>
    <w:p w:rsidR="00DF7746" w:rsidRPr="00857CDA" w:rsidRDefault="00342D08" w:rsidP="00DF7746">
      <w:pPr>
        <w:pStyle w:val="SingleTxtG"/>
        <w:rPr>
          <w:lang w:val="ro-RO"/>
        </w:rPr>
      </w:pPr>
      <w:r w:rsidRPr="00857CDA">
        <w:rPr>
          <w:lang w:val="ro-RO"/>
        </w:rPr>
        <w:t>c)</w:t>
      </w:r>
      <w:r w:rsidRPr="00857CDA">
        <w:rPr>
          <w:lang w:val="ro-RO"/>
        </w:rPr>
        <w:tab/>
      </w:r>
      <w:r w:rsidR="00DF7746" w:rsidRPr="00857CDA">
        <w:rPr>
          <w:lang w:val="ro-RO"/>
        </w:rPr>
        <w:t>Sub-grup de populație de bază</w:t>
      </w:r>
    </w:p>
    <w:p w:rsidR="00A4208C" w:rsidRPr="00857CDA" w:rsidRDefault="00DF7746" w:rsidP="00A4208C">
      <w:pPr>
        <w:pStyle w:val="SingleTxtG"/>
        <w:ind w:left="1701"/>
        <w:rPr>
          <w:lang w:val="ro-RO"/>
        </w:rPr>
      </w:pPr>
      <w:r w:rsidRPr="00857CDA">
        <w:rPr>
          <w:lang w:val="ro-RO"/>
        </w:rPr>
        <w:t xml:space="preserve">În cadrul populației de bază definite mai sus, buteliile metalice cu carcasă </w:t>
      </w:r>
      <w:r w:rsidR="00A4208C" w:rsidRPr="00857CDA">
        <w:rPr>
          <w:lang w:val="ro-RO"/>
        </w:rPr>
        <w:t>aparținând</w:t>
      </w:r>
      <w:r w:rsidRPr="00857CDA">
        <w:rPr>
          <w:lang w:val="ro-RO"/>
        </w:rPr>
        <w:t xml:space="preserve"> diferiți</w:t>
      </w:r>
      <w:r w:rsidR="00A4208C" w:rsidRPr="00857CDA">
        <w:rPr>
          <w:lang w:val="ro-RO"/>
        </w:rPr>
        <w:t>lor</w:t>
      </w:r>
      <w:r w:rsidRPr="00857CDA">
        <w:rPr>
          <w:lang w:val="ro-RO"/>
        </w:rPr>
        <w:t xml:space="preserve"> proprietari pot fi separate în </w:t>
      </w:r>
      <w:r w:rsidR="00A4208C" w:rsidRPr="00857CDA">
        <w:rPr>
          <w:lang w:val="ro-RO"/>
        </w:rPr>
        <w:t>sub-</w:t>
      </w:r>
      <w:r w:rsidRPr="00857CDA">
        <w:rPr>
          <w:lang w:val="ro-RO"/>
        </w:rPr>
        <w:t>grupuri specifice</w:t>
      </w:r>
      <w:r w:rsidR="00A4208C" w:rsidRPr="00857CDA">
        <w:rPr>
          <w:lang w:val="ro-RO"/>
        </w:rPr>
        <w:t>, unul pentru fiecare proprietar</w:t>
      </w:r>
      <w:r w:rsidRPr="00857CDA">
        <w:rPr>
          <w:lang w:val="ro-RO"/>
        </w:rPr>
        <w:t>.</w:t>
      </w:r>
    </w:p>
    <w:p w:rsidR="00A4208C" w:rsidRPr="00857CDA" w:rsidRDefault="00A4208C" w:rsidP="00A4208C">
      <w:pPr>
        <w:pStyle w:val="SingleTxtG"/>
        <w:ind w:left="1701"/>
        <w:rPr>
          <w:lang w:val="ro-RO"/>
        </w:rPr>
      </w:pPr>
      <w:r w:rsidRPr="00857CDA">
        <w:rPr>
          <w:lang w:val="ro-RO"/>
        </w:rPr>
        <w:t>Dacă întreaga populație de bază aparține unui singur proprietar, sub-grupul este echivalent cu populația de bază.</w:t>
      </w:r>
    </w:p>
    <w:p w:rsidR="00342D08" w:rsidRPr="00857CDA" w:rsidRDefault="00A4208C" w:rsidP="00342D08">
      <w:pPr>
        <w:pStyle w:val="SingleTxtG"/>
        <w:rPr>
          <w:lang w:val="ro-RO"/>
        </w:rPr>
      </w:pPr>
      <w:r w:rsidRPr="00857CDA">
        <w:rPr>
          <w:lang w:val="ro-RO"/>
        </w:rPr>
        <w:t>d)</w:t>
      </w:r>
      <w:r w:rsidRPr="00857CDA">
        <w:rPr>
          <w:lang w:val="ro-RO"/>
        </w:rPr>
        <w:tab/>
        <w:t>Tras</w:t>
      </w:r>
      <w:r w:rsidR="00342D08" w:rsidRPr="00857CDA">
        <w:rPr>
          <w:lang w:val="ro-RO"/>
        </w:rPr>
        <w:t>abilit</w:t>
      </w:r>
      <w:r w:rsidRPr="00857CDA">
        <w:rPr>
          <w:lang w:val="ro-RO"/>
        </w:rPr>
        <w:t>ate</w:t>
      </w:r>
    </w:p>
    <w:p w:rsidR="000F21C5" w:rsidRPr="00857CDA" w:rsidRDefault="000F21C5" w:rsidP="000F21C5">
      <w:pPr>
        <w:pStyle w:val="SingleTxtG"/>
        <w:ind w:left="1701"/>
        <w:rPr>
          <w:lang w:val="ro-RO"/>
        </w:rPr>
      </w:pPr>
      <w:r w:rsidRPr="00857CDA">
        <w:rPr>
          <w:lang w:val="ro-RO"/>
        </w:rPr>
        <w:t>M</w:t>
      </w:r>
      <w:r w:rsidR="00AC35E0" w:rsidRPr="00857CDA">
        <w:rPr>
          <w:lang w:val="ro-RO"/>
        </w:rPr>
        <w:t>ărcile</w:t>
      </w:r>
      <w:r w:rsidRPr="00857CDA">
        <w:rPr>
          <w:lang w:val="ro-RO"/>
        </w:rPr>
        <w:t xml:space="preserve"> </w:t>
      </w:r>
      <w:r w:rsidR="00AC35E0" w:rsidRPr="00857CDA">
        <w:rPr>
          <w:lang w:val="ro-RO"/>
        </w:rPr>
        <w:t xml:space="preserve">de pe </w:t>
      </w:r>
      <w:r w:rsidRPr="00857CDA">
        <w:rPr>
          <w:lang w:val="ro-RO"/>
        </w:rPr>
        <w:t>buteliil</w:t>
      </w:r>
      <w:r w:rsidR="00AC35E0" w:rsidRPr="00857CDA">
        <w:rPr>
          <w:lang w:val="ro-RO"/>
        </w:rPr>
        <w:t>e</w:t>
      </w:r>
      <w:r w:rsidRPr="00857CDA">
        <w:rPr>
          <w:lang w:val="ro-RO"/>
        </w:rPr>
        <w:t xml:space="preserve"> interioare din oțel</w:t>
      </w:r>
      <w:r w:rsidR="00AC35E0" w:rsidRPr="00857CDA">
        <w:rPr>
          <w:lang w:val="ro-RO"/>
        </w:rPr>
        <w:t>,</w:t>
      </w:r>
      <w:r w:rsidRPr="00857CDA">
        <w:rPr>
          <w:lang w:val="ro-RO"/>
        </w:rPr>
        <w:t xml:space="preserve"> conforme cu 6.2.3.9</w:t>
      </w:r>
      <w:r w:rsidR="00AC35E0" w:rsidRPr="00857CDA">
        <w:rPr>
          <w:lang w:val="ro-RO"/>
        </w:rPr>
        <w:t>,</w:t>
      </w:r>
      <w:r w:rsidRPr="00857CDA">
        <w:rPr>
          <w:lang w:val="ro-RO"/>
        </w:rPr>
        <w:t xml:space="preserve"> se repetă la exterior pe suprafața carcasei. În plus, fiecare butelie </w:t>
      </w:r>
      <w:r w:rsidR="00AC35E0" w:rsidRPr="00857CDA">
        <w:rPr>
          <w:lang w:val="ro-RO"/>
        </w:rPr>
        <w:t>metalică cu</w:t>
      </w:r>
      <w:r w:rsidRPr="00857CDA">
        <w:rPr>
          <w:lang w:val="ro-RO"/>
        </w:rPr>
        <w:t xml:space="preserve"> carcasă trebuie echipată cu un dispozitiv electronic de identificare individual</w:t>
      </w:r>
      <w:r w:rsidR="00AC35E0" w:rsidRPr="00857CDA">
        <w:rPr>
          <w:lang w:val="ro-RO"/>
        </w:rPr>
        <w:t xml:space="preserve"> rezistent</w:t>
      </w:r>
      <w:r w:rsidRPr="00857CDA">
        <w:rPr>
          <w:lang w:val="ro-RO"/>
        </w:rPr>
        <w:t xml:space="preserve">. Caracteristicile detaliate ale buteliilor </w:t>
      </w:r>
      <w:r w:rsidR="00AC35E0" w:rsidRPr="00857CDA">
        <w:rPr>
          <w:lang w:val="ro-RO"/>
        </w:rPr>
        <w:t>metalice cu</w:t>
      </w:r>
      <w:r w:rsidRPr="00857CDA">
        <w:rPr>
          <w:lang w:val="ro-RO"/>
        </w:rPr>
        <w:t xml:space="preserve"> carcasă </w:t>
      </w:r>
      <w:r w:rsidR="00AC35E0" w:rsidRPr="00857CDA">
        <w:rPr>
          <w:lang w:val="ro-RO"/>
        </w:rPr>
        <w:t xml:space="preserve">trebuie să </w:t>
      </w:r>
      <w:r w:rsidRPr="00857CDA">
        <w:rPr>
          <w:lang w:val="ro-RO"/>
        </w:rPr>
        <w:t>fi</w:t>
      </w:r>
      <w:r w:rsidR="00AC35E0" w:rsidRPr="00857CDA">
        <w:rPr>
          <w:lang w:val="ro-RO"/>
        </w:rPr>
        <w:t>e</w:t>
      </w:r>
      <w:r w:rsidRPr="00857CDA">
        <w:rPr>
          <w:lang w:val="ro-RO"/>
        </w:rPr>
        <w:t xml:space="preserve"> înregistrate de proprietar într-o bază de date centrală. Baza de date va fi utilizată pentru:</w:t>
      </w:r>
    </w:p>
    <w:p w:rsidR="009C25D4" w:rsidRPr="00857CDA" w:rsidRDefault="00342D08" w:rsidP="009C25D4">
      <w:pPr>
        <w:pStyle w:val="Bullet2G"/>
        <w:numPr>
          <w:ilvl w:val="0"/>
          <w:numId w:val="0"/>
        </w:numPr>
        <w:tabs>
          <w:tab w:val="left" w:pos="720"/>
        </w:tabs>
        <w:kinsoku w:val="0"/>
        <w:overflowPunct w:val="0"/>
        <w:autoSpaceDE w:val="0"/>
        <w:autoSpaceDN w:val="0"/>
        <w:adjustRightInd w:val="0"/>
        <w:snapToGrid w:val="0"/>
        <w:ind w:left="1701"/>
        <w:rPr>
          <w:lang w:val="ro-RO"/>
        </w:rPr>
      </w:pPr>
      <w:r w:rsidRPr="00857CDA">
        <w:rPr>
          <w:lang w:val="ro-RO"/>
        </w:rPr>
        <w:t>-</w:t>
      </w:r>
      <w:r w:rsidRPr="00857CDA">
        <w:rPr>
          <w:lang w:val="ro-RO"/>
        </w:rPr>
        <w:tab/>
      </w:r>
      <w:r w:rsidR="009C25D4" w:rsidRPr="00857CDA">
        <w:rPr>
          <w:lang w:val="ro-RO"/>
        </w:rPr>
        <w:t>Identificarea sub-grupului specific;</w:t>
      </w:r>
    </w:p>
    <w:p w:rsidR="009C25D4" w:rsidRPr="00857CDA" w:rsidRDefault="009C25D4" w:rsidP="009C25D4">
      <w:pPr>
        <w:pStyle w:val="Bullet2G"/>
        <w:numPr>
          <w:ilvl w:val="0"/>
          <w:numId w:val="0"/>
        </w:numPr>
        <w:tabs>
          <w:tab w:val="left" w:pos="720"/>
        </w:tabs>
        <w:kinsoku w:val="0"/>
        <w:overflowPunct w:val="0"/>
        <w:autoSpaceDE w:val="0"/>
        <w:autoSpaceDN w:val="0"/>
        <w:adjustRightInd w:val="0"/>
        <w:snapToGrid w:val="0"/>
        <w:ind w:left="1701"/>
        <w:rPr>
          <w:lang w:val="ro-RO"/>
        </w:rPr>
      </w:pPr>
      <w:r w:rsidRPr="00857CDA">
        <w:rPr>
          <w:lang w:val="ro-RO"/>
        </w:rPr>
        <w:t xml:space="preserve">- </w:t>
      </w:r>
      <w:r w:rsidRPr="00857CDA">
        <w:rPr>
          <w:lang w:val="ro-RO"/>
        </w:rPr>
        <w:tab/>
        <w:t>Punerea la dispoziția organismelor de inspecție, a centrelor de umplere și a autorităților competente a caracteristicilor tehnice specifice ale buteliilor care constau cel puțin numărul de serie, lotul de producție a buteliilor din oțel, lotul de producție al carcaselor, data montării carcasei pe butelie;</w:t>
      </w:r>
    </w:p>
    <w:p w:rsidR="0071011F" w:rsidRPr="00857CDA" w:rsidRDefault="009C25D4" w:rsidP="0071011F">
      <w:pPr>
        <w:pStyle w:val="Bullet2G"/>
        <w:numPr>
          <w:ilvl w:val="0"/>
          <w:numId w:val="0"/>
        </w:numPr>
        <w:tabs>
          <w:tab w:val="left" w:pos="720"/>
        </w:tabs>
        <w:kinsoku w:val="0"/>
        <w:overflowPunct w:val="0"/>
        <w:autoSpaceDE w:val="0"/>
        <w:autoSpaceDN w:val="0"/>
        <w:adjustRightInd w:val="0"/>
        <w:snapToGrid w:val="0"/>
        <w:ind w:left="1701"/>
        <w:rPr>
          <w:lang w:val="ro-RO"/>
        </w:rPr>
      </w:pPr>
      <w:r w:rsidRPr="00857CDA">
        <w:rPr>
          <w:lang w:val="ro-RO"/>
        </w:rPr>
        <w:t xml:space="preserve">- </w:t>
      </w:r>
      <w:r w:rsidRPr="00857CDA">
        <w:rPr>
          <w:lang w:val="ro-RO"/>
        </w:rPr>
        <w:tab/>
        <w:t>Identificarea buteliilor prin conectarea dispozitivului electronic la baza de date, pe baza numărului de serie;</w:t>
      </w:r>
    </w:p>
    <w:p w:rsidR="0071011F" w:rsidRPr="00857CDA" w:rsidRDefault="0071011F" w:rsidP="0071011F">
      <w:pPr>
        <w:pStyle w:val="Bullet2G"/>
        <w:numPr>
          <w:ilvl w:val="0"/>
          <w:numId w:val="0"/>
        </w:numPr>
        <w:tabs>
          <w:tab w:val="left" w:pos="720"/>
        </w:tabs>
        <w:kinsoku w:val="0"/>
        <w:overflowPunct w:val="0"/>
        <w:autoSpaceDE w:val="0"/>
        <w:autoSpaceDN w:val="0"/>
        <w:adjustRightInd w:val="0"/>
        <w:snapToGrid w:val="0"/>
        <w:ind w:left="1701"/>
        <w:rPr>
          <w:lang w:val="ro-RO"/>
        </w:rPr>
      </w:pPr>
      <w:r w:rsidRPr="00857CDA">
        <w:rPr>
          <w:lang w:val="ro-RO"/>
        </w:rPr>
        <w:lastRenderedPageBreak/>
        <w:t xml:space="preserve">- </w:t>
      </w:r>
      <w:r w:rsidRPr="00857CDA">
        <w:rPr>
          <w:lang w:val="ro-RO"/>
        </w:rPr>
        <w:tab/>
        <w:t>Verificarea istoricul fiecărei butelii și determinarea măsurilor care trebuie întreprinse (de exemplu: umplere, eșantionare, o nouă încercare, retragere);</w:t>
      </w:r>
    </w:p>
    <w:p w:rsidR="0071011F" w:rsidRPr="00857CDA" w:rsidRDefault="0071011F" w:rsidP="0071011F">
      <w:pPr>
        <w:pStyle w:val="Bullet2G"/>
        <w:numPr>
          <w:ilvl w:val="0"/>
          <w:numId w:val="0"/>
        </w:numPr>
        <w:tabs>
          <w:tab w:val="left" w:pos="720"/>
        </w:tabs>
        <w:kinsoku w:val="0"/>
        <w:overflowPunct w:val="0"/>
        <w:autoSpaceDE w:val="0"/>
        <w:autoSpaceDN w:val="0"/>
        <w:adjustRightInd w:val="0"/>
        <w:snapToGrid w:val="0"/>
        <w:ind w:left="1701"/>
        <w:rPr>
          <w:lang w:val="ro-RO"/>
        </w:rPr>
      </w:pPr>
      <w:r w:rsidRPr="00857CDA">
        <w:rPr>
          <w:lang w:val="ro-RO"/>
        </w:rPr>
        <w:t xml:space="preserve">- </w:t>
      </w:r>
      <w:r w:rsidRPr="00857CDA">
        <w:rPr>
          <w:lang w:val="ro-RO"/>
        </w:rPr>
        <w:tab/>
        <w:t>Înregistrarea măsurilor întreprinse, inclusiv data și adresa locului unde au fost puse în aplicare.</w:t>
      </w:r>
    </w:p>
    <w:p w:rsidR="0071011F" w:rsidRPr="00857CDA" w:rsidRDefault="0071011F" w:rsidP="00342D08">
      <w:pPr>
        <w:pStyle w:val="SingleTxtG"/>
        <w:ind w:left="1701"/>
        <w:rPr>
          <w:lang w:val="ro-RO"/>
        </w:rPr>
      </w:pPr>
      <w:r w:rsidRPr="00857CDA">
        <w:rPr>
          <w:lang w:val="ro-RO"/>
        </w:rPr>
        <w:t>Datele înregistrate trebuie să fie puse la dispoziția proprietarului buteliilor metalice cu carcasă pe întreaga durată de viață a sub-grupului.</w:t>
      </w:r>
    </w:p>
    <w:p w:rsidR="0071011F" w:rsidRPr="00857CDA" w:rsidRDefault="00342D08" w:rsidP="0071011F">
      <w:pPr>
        <w:pStyle w:val="SingleTxtG"/>
        <w:rPr>
          <w:lang w:val="ro-RO"/>
        </w:rPr>
      </w:pPr>
      <w:r w:rsidRPr="00857CDA">
        <w:rPr>
          <w:lang w:val="ro-RO"/>
        </w:rPr>
        <w:t>e)</w:t>
      </w:r>
      <w:r w:rsidRPr="00857CDA">
        <w:rPr>
          <w:lang w:val="ro-RO"/>
        </w:rPr>
        <w:tab/>
      </w:r>
      <w:r w:rsidR="0071011F" w:rsidRPr="00857CDA">
        <w:rPr>
          <w:lang w:val="ro-RO"/>
        </w:rPr>
        <w:t>Eșantionarea pentru evaluarea statistică</w:t>
      </w:r>
    </w:p>
    <w:p w:rsidR="00342D08" w:rsidRPr="00857CDA" w:rsidRDefault="0071011F" w:rsidP="00F01951">
      <w:pPr>
        <w:pStyle w:val="SingleTxtG"/>
        <w:ind w:left="1701"/>
        <w:rPr>
          <w:lang w:val="ro-RO"/>
        </w:rPr>
      </w:pPr>
      <w:r w:rsidRPr="00857CDA">
        <w:rPr>
          <w:lang w:val="ro-RO"/>
        </w:rPr>
        <w:t>Prelevarea de probe trebuie să fie efectuată aleatoriu din rândul unui sub-</w:t>
      </w:r>
      <w:r w:rsidR="00F01951" w:rsidRPr="00857CDA">
        <w:rPr>
          <w:lang w:val="ro-RO"/>
        </w:rPr>
        <w:t xml:space="preserve">grup definit la alineatul </w:t>
      </w:r>
      <w:r w:rsidRPr="00857CDA">
        <w:rPr>
          <w:lang w:val="ro-RO"/>
        </w:rPr>
        <w:t xml:space="preserve">c). Mărimea fiecărui eșantion din </w:t>
      </w:r>
      <w:r w:rsidR="00F01951" w:rsidRPr="00857CDA">
        <w:rPr>
          <w:lang w:val="ro-RO"/>
        </w:rPr>
        <w:t>cadrul sub-</w:t>
      </w:r>
      <w:r w:rsidRPr="00857CDA">
        <w:rPr>
          <w:lang w:val="ro-RO"/>
        </w:rPr>
        <w:t>grupul</w:t>
      </w:r>
      <w:r w:rsidR="00F01951" w:rsidRPr="00857CDA">
        <w:rPr>
          <w:lang w:val="ro-RO"/>
        </w:rPr>
        <w:t>ui</w:t>
      </w:r>
      <w:r w:rsidRPr="00857CDA">
        <w:rPr>
          <w:lang w:val="ro-RO"/>
        </w:rPr>
        <w:t xml:space="preserve"> trebuie să fie în conformit</w:t>
      </w:r>
      <w:r w:rsidR="00F01951" w:rsidRPr="00857CDA">
        <w:rPr>
          <w:lang w:val="ro-RO"/>
        </w:rPr>
        <w:t>ate cu tabelul de la alineatul g)</w:t>
      </w:r>
      <w:r w:rsidR="00342D08" w:rsidRPr="00857CDA">
        <w:rPr>
          <w:lang w:val="ro-RO"/>
        </w:rPr>
        <w:t>.</w:t>
      </w:r>
    </w:p>
    <w:p w:rsidR="001C2A70" w:rsidRPr="00857CDA" w:rsidRDefault="00342D08" w:rsidP="001C2A70">
      <w:pPr>
        <w:pStyle w:val="SingleTxtG"/>
        <w:rPr>
          <w:lang w:val="ro-RO"/>
        </w:rPr>
      </w:pPr>
      <w:r w:rsidRPr="00857CDA">
        <w:rPr>
          <w:lang w:val="ro-RO"/>
        </w:rPr>
        <w:t>f)</w:t>
      </w:r>
      <w:r w:rsidRPr="00857CDA">
        <w:rPr>
          <w:lang w:val="ro-RO"/>
        </w:rPr>
        <w:tab/>
      </w:r>
      <w:r w:rsidR="001C2A70" w:rsidRPr="00857CDA">
        <w:rPr>
          <w:lang w:val="ro-RO"/>
        </w:rPr>
        <w:t>Procedura pentru încercarea distructivă</w:t>
      </w:r>
    </w:p>
    <w:p w:rsidR="001C2A70" w:rsidRPr="00857CDA" w:rsidRDefault="001C2A70" w:rsidP="001C2A70">
      <w:pPr>
        <w:pStyle w:val="SingleTxtG"/>
        <w:ind w:left="1701"/>
        <w:rPr>
          <w:lang w:val="ro-RO"/>
        </w:rPr>
      </w:pPr>
      <w:r w:rsidRPr="00857CDA">
        <w:rPr>
          <w:lang w:val="ro-RO"/>
        </w:rPr>
        <w:t>Se efectuează toate încercările prevăzute la 6.2.1.6.1, cu excepția celei de la litera d), care se înlocuiește cu următoarea procedură de încercare:</w:t>
      </w:r>
    </w:p>
    <w:p w:rsidR="00325CFA" w:rsidRPr="00857CDA" w:rsidRDefault="001C2A70" w:rsidP="00325CFA">
      <w:pPr>
        <w:pStyle w:val="SingleTxtG"/>
        <w:ind w:left="1701"/>
        <w:rPr>
          <w:lang w:val="ro-RO"/>
        </w:rPr>
      </w:pPr>
      <w:r w:rsidRPr="00857CDA">
        <w:rPr>
          <w:lang w:val="ro-RO"/>
        </w:rPr>
        <w:t xml:space="preserve">- </w:t>
      </w:r>
      <w:r w:rsidRPr="00857CDA">
        <w:rPr>
          <w:lang w:val="ro-RO"/>
        </w:rPr>
        <w:tab/>
      </w:r>
      <w:r w:rsidR="005037FC" w:rsidRPr="00857CDA">
        <w:rPr>
          <w:lang w:val="ro-RO"/>
        </w:rPr>
        <w:t>Încercarea de rezistență la plesnire</w:t>
      </w:r>
      <w:r w:rsidRPr="00857CDA">
        <w:rPr>
          <w:lang w:val="ro-RO"/>
        </w:rPr>
        <w:t xml:space="preserve"> (în conformitate cu EN 1442:2014 sau EN 14140:2015)</w:t>
      </w:r>
      <w:r w:rsidR="00325CFA" w:rsidRPr="00857CDA">
        <w:rPr>
          <w:lang w:val="ro-RO"/>
        </w:rPr>
        <w:t>.</w:t>
      </w:r>
    </w:p>
    <w:p w:rsidR="00325CFA" w:rsidRPr="00857CDA" w:rsidRDefault="001C2A70" w:rsidP="00325CFA">
      <w:pPr>
        <w:pStyle w:val="SingleTxtG"/>
        <w:ind w:left="1701"/>
        <w:rPr>
          <w:lang w:val="ro-RO"/>
        </w:rPr>
      </w:pPr>
      <w:r w:rsidRPr="00857CDA">
        <w:rPr>
          <w:lang w:val="ro-RO"/>
        </w:rPr>
        <w:t>În plus, trebuie efectuate următoarele încercări:</w:t>
      </w:r>
    </w:p>
    <w:p w:rsidR="00325CFA" w:rsidRPr="00857CDA" w:rsidRDefault="00325CFA" w:rsidP="00325CFA">
      <w:pPr>
        <w:pStyle w:val="SingleTxtG"/>
        <w:ind w:left="1701"/>
        <w:rPr>
          <w:lang w:val="ro-RO"/>
        </w:rPr>
      </w:pPr>
      <w:r w:rsidRPr="00857CDA">
        <w:rPr>
          <w:lang w:val="ro-RO"/>
        </w:rPr>
        <w:t xml:space="preserve">- </w:t>
      </w:r>
      <w:r w:rsidRPr="00857CDA">
        <w:rPr>
          <w:lang w:val="ro-RO"/>
        </w:rPr>
        <w:tab/>
      </w:r>
      <w:r w:rsidR="001C2A70" w:rsidRPr="00857CDA">
        <w:rPr>
          <w:lang w:val="ro-RO"/>
        </w:rPr>
        <w:t xml:space="preserve">Încercarea de </w:t>
      </w:r>
      <w:r w:rsidR="00480488" w:rsidRPr="00857CDA">
        <w:rPr>
          <w:lang w:val="ro-RO"/>
        </w:rPr>
        <w:t>aderență</w:t>
      </w:r>
      <w:r w:rsidR="001C2A70" w:rsidRPr="00857CDA">
        <w:rPr>
          <w:lang w:val="ro-RO"/>
        </w:rPr>
        <w:t xml:space="preserve"> (în conformitate cu EN 1442:2014 sau EN14140:2015)</w:t>
      </w:r>
      <w:r w:rsidRPr="00857CDA">
        <w:rPr>
          <w:lang w:val="ro-RO"/>
        </w:rPr>
        <w:t>;</w:t>
      </w:r>
    </w:p>
    <w:p w:rsidR="001C2A70" w:rsidRPr="00857CDA" w:rsidRDefault="00325CFA" w:rsidP="00325CFA">
      <w:pPr>
        <w:pStyle w:val="SingleTxtG"/>
        <w:ind w:left="1701"/>
        <w:rPr>
          <w:lang w:val="ro-RO"/>
        </w:rPr>
      </w:pPr>
      <w:r w:rsidRPr="00857CDA">
        <w:rPr>
          <w:lang w:val="ro-RO"/>
        </w:rPr>
        <w:t xml:space="preserve">- </w:t>
      </w:r>
      <w:r w:rsidRPr="00857CDA">
        <w:rPr>
          <w:lang w:val="ro-RO"/>
        </w:rPr>
        <w:tab/>
      </w:r>
      <w:r w:rsidR="001C2A70" w:rsidRPr="00857CDA">
        <w:rPr>
          <w:lang w:val="ro-RO"/>
        </w:rPr>
        <w:t>Încercările de jupuire și corosiune (în conformitate cu EN ISO 4628-3:20</w:t>
      </w:r>
      <w:r w:rsidR="00480488" w:rsidRPr="00857CDA">
        <w:rPr>
          <w:lang w:val="ro-RO"/>
        </w:rPr>
        <w:t>16</w:t>
      </w:r>
      <w:r w:rsidR="001C2A70" w:rsidRPr="00857CDA">
        <w:rPr>
          <w:lang w:val="ro-RO"/>
        </w:rPr>
        <w:t>)</w:t>
      </w:r>
      <w:r w:rsidR="00480488" w:rsidRPr="00857CDA">
        <w:rPr>
          <w:lang w:val="ro-RO"/>
        </w:rPr>
        <w:t>.</w:t>
      </w:r>
    </w:p>
    <w:p w:rsidR="00342D08" w:rsidRPr="00857CDA" w:rsidRDefault="001C2A70" w:rsidP="00480488">
      <w:pPr>
        <w:pStyle w:val="SingleTxtG"/>
        <w:ind w:left="1701"/>
        <w:rPr>
          <w:lang w:val="ro-RO"/>
        </w:rPr>
      </w:pPr>
      <w:r w:rsidRPr="00857CDA">
        <w:rPr>
          <w:lang w:val="ro-RO"/>
        </w:rPr>
        <w:t>Încerc</w:t>
      </w:r>
      <w:r w:rsidR="00480488" w:rsidRPr="00857CDA">
        <w:rPr>
          <w:lang w:val="ro-RO"/>
        </w:rPr>
        <w:t>area</w:t>
      </w:r>
      <w:r w:rsidRPr="00857CDA">
        <w:rPr>
          <w:lang w:val="ro-RO"/>
        </w:rPr>
        <w:t xml:space="preserve"> de </w:t>
      </w:r>
      <w:r w:rsidR="00480488" w:rsidRPr="00857CDA">
        <w:rPr>
          <w:lang w:val="ro-RO"/>
        </w:rPr>
        <w:t>aderență</w:t>
      </w:r>
      <w:r w:rsidRPr="00857CDA">
        <w:rPr>
          <w:lang w:val="ro-RO"/>
        </w:rPr>
        <w:t xml:space="preserve">, </w:t>
      </w:r>
      <w:r w:rsidR="00480488" w:rsidRPr="00857CDA">
        <w:rPr>
          <w:lang w:val="ro-RO"/>
        </w:rPr>
        <w:t xml:space="preserve">încercările de </w:t>
      </w:r>
      <w:r w:rsidRPr="00857CDA">
        <w:rPr>
          <w:lang w:val="ro-RO"/>
        </w:rPr>
        <w:t>jupuire, corosiune</w:t>
      </w:r>
      <w:r w:rsidR="00480488" w:rsidRPr="00857CDA">
        <w:rPr>
          <w:lang w:val="ro-RO"/>
        </w:rPr>
        <w:t>, precum</w:t>
      </w:r>
      <w:r w:rsidRPr="00857CDA">
        <w:rPr>
          <w:lang w:val="ro-RO"/>
        </w:rPr>
        <w:t xml:space="preserve"> și </w:t>
      </w:r>
      <w:r w:rsidR="005037FC" w:rsidRPr="00857CDA">
        <w:rPr>
          <w:lang w:val="ro-RO"/>
        </w:rPr>
        <w:t xml:space="preserve">încercarea de rezistență la plesnire </w:t>
      </w:r>
      <w:r w:rsidR="00480488" w:rsidRPr="00857CDA">
        <w:rPr>
          <w:lang w:val="ro-RO"/>
        </w:rPr>
        <w:t>trebuie să se</w:t>
      </w:r>
      <w:r w:rsidRPr="00857CDA">
        <w:rPr>
          <w:lang w:val="ro-RO"/>
        </w:rPr>
        <w:t xml:space="preserve"> efectuez</w:t>
      </w:r>
      <w:r w:rsidR="00480488" w:rsidRPr="00857CDA">
        <w:rPr>
          <w:lang w:val="ro-RO"/>
        </w:rPr>
        <w:t>e</w:t>
      </w:r>
      <w:r w:rsidRPr="00857CDA">
        <w:rPr>
          <w:lang w:val="ro-RO"/>
        </w:rPr>
        <w:t xml:space="preserve"> pe fiecare eșantion în conf</w:t>
      </w:r>
      <w:r w:rsidR="00480488" w:rsidRPr="00857CDA">
        <w:rPr>
          <w:lang w:val="ro-RO"/>
        </w:rPr>
        <w:t xml:space="preserve">ormitate cu tabelul de la alineatul </w:t>
      </w:r>
      <w:r w:rsidRPr="00857CDA">
        <w:rPr>
          <w:lang w:val="ro-RO"/>
        </w:rPr>
        <w:t>g) și se efectuează după primii 3 ani de serviciu</w:t>
      </w:r>
      <w:r w:rsidR="00480488" w:rsidRPr="00857CDA">
        <w:rPr>
          <w:lang w:val="ro-RO"/>
        </w:rPr>
        <w:t xml:space="preserve"> și la fiecare 5 ani după aceea</w:t>
      </w:r>
      <w:r w:rsidR="00342D08" w:rsidRPr="00857CDA">
        <w:rPr>
          <w:lang w:val="ro-RO"/>
        </w:rPr>
        <w:t>.</w:t>
      </w:r>
    </w:p>
    <w:p w:rsidR="00480488" w:rsidRPr="00857CDA" w:rsidRDefault="00342D08" w:rsidP="00480488">
      <w:pPr>
        <w:pStyle w:val="SingleTxtG"/>
        <w:rPr>
          <w:lang w:val="ro-RO"/>
        </w:rPr>
      </w:pPr>
      <w:r w:rsidRPr="00857CDA">
        <w:rPr>
          <w:lang w:val="ro-RO"/>
        </w:rPr>
        <w:t>g)</w:t>
      </w:r>
      <w:r w:rsidRPr="00857CDA">
        <w:rPr>
          <w:lang w:val="ro-RO"/>
        </w:rPr>
        <w:tab/>
      </w:r>
      <w:r w:rsidR="00480488" w:rsidRPr="00857CDA">
        <w:rPr>
          <w:lang w:val="ro-RO"/>
        </w:rPr>
        <w:t>Evaluarea statistică a rezultatelor încercărilor - Metodă și prescripții minime</w:t>
      </w:r>
    </w:p>
    <w:p w:rsidR="000A56AF" w:rsidRPr="00857CDA" w:rsidRDefault="00480488" w:rsidP="00AF3F82">
      <w:pPr>
        <w:pStyle w:val="SingleTxtG"/>
        <w:spacing w:after="0"/>
        <w:ind w:left="1701"/>
        <w:rPr>
          <w:lang w:val="ro-RO"/>
        </w:rPr>
      </w:pPr>
      <w:r w:rsidRPr="00857CDA">
        <w:rPr>
          <w:lang w:val="ro-RO"/>
        </w:rPr>
        <w:t>Procedura de evaluare statistică în conformitate cu criteriile de respingere aferente este descrisă în tabelul următor</w:t>
      </w:r>
      <w:r w:rsidR="00342D08" w:rsidRPr="00857CDA">
        <w:rPr>
          <w:lang w:val="ro-RO"/>
        </w:rPr>
        <w:t>.</w:t>
      </w:r>
    </w:p>
    <w:p w:rsidR="000A56AF" w:rsidRPr="00857CDA" w:rsidRDefault="000A56AF" w:rsidP="000A56AF">
      <w:pPr>
        <w:suppressAutoHyphens w:val="0"/>
        <w:spacing w:line="240" w:lineRule="auto"/>
        <w:jc w:val="center"/>
        <w:rPr>
          <w:rFonts w:eastAsia="Calibri"/>
          <w:b/>
          <w:lang w:val="ro-RO"/>
        </w:rPr>
      </w:pPr>
    </w:p>
    <w:tbl>
      <w:tblPr>
        <w:tblW w:w="8989" w:type="dxa"/>
        <w:jc w:val="center"/>
        <w:tblLayout w:type="fixed"/>
        <w:tblCellMar>
          <w:left w:w="0" w:type="dxa"/>
          <w:right w:w="0" w:type="dxa"/>
        </w:tblCellMar>
        <w:tblLook w:val="04A0" w:firstRow="1" w:lastRow="0" w:firstColumn="1" w:lastColumn="0" w:noHBand="0" w:noVBand="1"/>
      </w:tblPr>
      <w:tblGrid>
        <w:gridCol w:w="1276"/>
        <w:gridCol w:w="1134"/>
        <w:gridCol w:w="1518"/>
        <w:gridCol w:w="3077"/>
        <w:gridCol w:w="1984"/>
      </w:tblGrid>
      <w:tr w:rsidR="000A56AF" w:rsidRPr="0079052F" w:rsidTr="00AF3F82">
        <w:trPr>
          <w:cantSplit/>
          <w:trHeight w:hRule="exact" w:val="862"/>
          <w:tblHeader/>
          <w:jc w:val="center"/>
        </w:trPr>
        <w:tc>
          <w:tcPr>
            <w:tcW w:w="1276" w:type="dxa"/>
            <w:tcBorders>
              <w:top w:val="single" w:sz="12" w:space="0" w:color="auto"/>
              <w:left w:val="single" w:sz="12" w:space="0" w:color="auto"/>
              <w:bottom w:val="single" w:sz="6"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b/>
                <w:bCs/>
                <w:lang w:val="ro-RO"/>
              </w:rPr>
            </w:pPr>
            <w:r w:rsidRPr="00857CDA">
              <w:rPr>
                <w:rFonts w:eastAsia="Calibri"/>
                <w:b/>
                <w:bCs/>
                <w:lang w:val="ro-RO"/>
              </w:rPr>
              <w:t>Interval de încercare</w:t>
            </w:r>
            <w:r w:rsidRPr="00857CDA">
              <w:rPr>
                <w:rFonts w:eastAsia="Calibri"/>
                <w:b/>
                <w:bCs/>
                <w:lang w:val="ro-RO"/>
              </w:rPr>
              <w:br/>
            </w:r>
            <w:r w:rsidRPr="00857CDA">
              <w:rPr>
                <w:rFonts w:eastAsia="Calibri"/>
                <w:lang w:val="ro-RO"/>
              </w:rPr>
              <w:t>(ani)</w:t>
            </w:r>
          </w:p>
        </w:tc>
        <w:tc>
          <w:tcPr>
            <w:tcW w:w="1134" w:type="dxa"/>
            <w:tcBorders>
              <w:top w:val="single" w:sz="12" w:space="0" w:color="auto"/>
              <w:left w:val="single" w:sz="6" w:space="0" w:color="auto"/>
              <w:bottom w:val="single" w:sz="6"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b/>
                <w:bCs/>
                <w:lang w:val="ro-RO"/>
              </w:rPr>
            </w:pPr>
            <w:r w:rsidRPr="00857CDA">
              <w:rPr>
                <w:rFonts w:eastAsia="Calibri"/>
                <w:b/>
                <w:bCs/>
                <w:lang w:val="ro-RO"/>
              </w:rPr>
              <w:t>Tip de încercare</w:t>
            </w:r>
          </w:p>
        </w:tc>
        <w:tc>
          <w:tcPr>
            <w:tcW w:w="1518" w:type="dxa"/>
            <w:tcBorders>
              <w:top w:val="single" w:sz="12" w:space="0" w:color="auto"/>
              <w:left w:val="single" w:sz="6" w:space="0" w:color="auto"/>
              <w:bottom w:val="single" w:sz="6"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b/>
                <w:bCs/>
                <w:lang w:val="ro-RO"/>
              </w:rPr>
            </w:pPr>
            <w:r w:rsidRPr="00857CDA">
              <w:rPr>
                <w:rFonts w:eastAsia="Calibri"/>
                <w:b/>
                <w:bCs/>
                <w:lang w:val="ro-RO"/>
              </w:rPr>
              <w:t>Standard</w:t>
            </w:r>
          </w:p>
        </w:tc>
        <w:tc>
          <w:tcPr>
            <w:tcW w:w="3077" w:type="dxa"/>
            <w:tcBorders>
              <w:top w:val="single" w:sz="12" w:space="0" w:color="auto"/>
              <w:left w:val="single" w:sz="6" w:space="0" w:color="auto"/>
              <w:bottom w:val="single" w:sz="6"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b/>
                <w:bCs/>
                <w:lang w:val="ro-RO"/>
              </w:rPr>
            </w:pPr>
            <w:r w:rsidRPr="00857CDA">
              <w:rPr>
                <w:rFonts w:eastAsia="Calibri"/>
                <w:b/>
                <w:bCs/>
                <w:lang w:val="ro-RO"/>
              </w:rPr>
              <w:t>Criteriu de respingere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0A56AF" w:rsidRPr="00857CDA" w:rsidRDefault="000A56AF" w:rsidP="00F046DF">
            <w:pPr>
              <w:suppressAutoHyphens w:val="0"/>
              <w:spacing w:line="240" w:lineRule="auto"/>
              <w:jc w:val="center"/>
              <w:rPr>
                <w:rFonts w:eastAsia="Calibri"/>
                <w:b/>
                <w:bCs/>
                <w:lang w:val="ro-RO"/>
              </w:rPr>
            </w:pPr>
            <w:r w:rsidRPr="00857CDA">
              <w:rPr>
                <w:rFonts w:eastAsia="Calibri"/>
                <w:b/>
                <w:bCs/>
                <w:lang w:val="ro-RO"/>
              </w:rPr>
              <w:t>Nivelul de eșantionare a</w:t>
            </w:r>
            <w:r w:rsidR="00F046DF" w:rsidRPr="00857CDA">
              <w:rPr>
                <w:rFonts w:eastAsia="Calibri"/>
                <w:b/>
                <w:bCs/>
                <w:lang w:val="ro-RO"/>
              </w:rPr>
              <w:t>l</w:t>
            </w:r>
            <w:r w:rsidRPr="00857CDA">
              <w:rPr>
                <w:rFonts w:eastAsia="Calibri"/>
                <w:b/>
                <w:bCs/>
                <w:lang w:val="ro-RO"/>
              </w:rPr>
              <w:t xml:space="preserve"> </w:t>
            </w:r>
            <w:r w:rsidR="00F046DF" w:rsidRPr="00857CDA">
              <w:rPr>
                <w:rFonts w:eastAsia="Calibri"/>
                <w:b/>
                <w:bCs/>
                <w:lang w:val="ro-RO"/>
              </w:rPr>
              <w:t>sub-</w:t>
            </w:r>
            <w:r w:rsidRPr="00857CDA">
              <w:rPr>
                <w:rFonts w:eastAsia="Calibri"/>
                <w:b/>
                <w:bCs/>
                <w:lang w:val="ro-RO"/>
              </w:rPr>
              <w:t>grupului</w:t>
            </w:r>
          </w:p>
        </w:tc>
      </w:tr>
      <w:tr w:rsidR="000A56AF" w:rsidRPr="00857CDA" w:rsidTr="00AF3F82">
        <w:trPr>
          <w:cantSplit/>
          <w:trHeight w:val="1108"/>
          <w:jc w:val="center"/>
        </w:trPr>
        <w:tc>
          <w:tcPr>
            <w:tcW w:w="1276" w:type="dxa"/>
            <w:vMerge w:val="restart"/>
            <w:tcBorders>
              <w:top w:val="single" w:sz="6" w:space="0" w:color="auto"/>
              <w:left w:val="single" w:sz="12" w:space="0" w:color="auto"/>
              <w:bottom w:val="single" w:sz="4"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După primii 3 ani de serviciu</w:t>
            </w:r>
          </w:p>
          <w:p w:rsidR="00012D59" w:rsidRPr="00857CDA" w:rsidRDefault="00012D59" w:rsidP="00012D59">
            <w:pPr>
              <w:suppressAutoHyphens w:val="0"/>
              <w:spacing w:line="240" w:lineRule="auto"/>
              <w:jc w:val="center"/>
              <w:rPr>
                <w:rFonts w:eastAsia="Calibri"/>
                <w:lang w:val="ro-RO"/>
              </w:rPr>
            </w:pPr>
            <w:r w:rsidRPr="00857CDA">
              <w:rPr>
                <w:rFonts w:eastAsia="Calibri"/>
                <w:lang w:val="ro-RO"/>
              </w:rPr>
              <w:t>(a se vedea f))</w:t>
            </w:r>
          </w:p>
        </w:tc>
        <w:tc>
          <w:tcPr>
            <w:tcW w:w="1134" w:type="dxa"/>
            <w:tcBorders>
              <w:top w:val="single" w:sz="6" w:space="0" w:color="auto"/>
              <w:left w:val="single" w:sz="6"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 xml:space="preserve">Încercarea </w:t>
            </w:r>
            <w:r w:rsidR="005037FC" w:rsidRPr="00857CDA">
              <w:rPr>
                <w:rFonts w:eastAsia="Calibri"/>
                <w:lang w:val="ro-RO"/>
              </w:rPr>
              <w:t>de rezistență la plesnire</w:t>
            </w:r>
          </w:p>
        </w:tc>
        <w:tc>
          <w:tcPr>
            <w:tcW w:w="1518" w:type="dxa"/>
            <w:tcBorders>
              <w:top w:val="single" w:sz="6" w:space="0" w:color="auto"/>
              <w:left w:val="single" w:sz="6" w:space="0" w:color="auto"/>
              <w:right w:val="single" w:sz="6" w:space="0" w:color="auto"/>
            </w:tcBorders>
            <w:vAlign w:val="center"/>
            <w:hideMark/>
          </w:tcPr>
          <w:p w:rsidR="000A56AF" w:rsidRPr="00857CDA" w:rsidRDefault="000A56AF" w:rsidP="00012D59">
            <w:pPr>
              <w:suppressAutoHyphens w:val="0"/>
              <w:spacing w:line="240" w:lineRule="auto"/>
              <w:jc w:val="center"/>
              <w:rPr>
                <w:rFonts w:eastAsia="Calibri"/>
                <w:lang w:val="ro-RO"/>
              </w:rPr>
            </w:pPr>
            <w:r w:rsidRPr="00857CDA">
              <w:rPr>
                <w:rFonts w:eastAsia="Calibri"/>
                <w:lang w:val="ro-RO"/>
              </w:rPr>
              <w:t>EN 1442:201</w:t>
            </w:r>
            <w:r w:rsidR="00012D59" w:rsidRPr="00857CDA">
              <w:rPr>
                <w:rFonts w:eastAsia="Calibri"/>
                <w:lang w:val="ro-RO"/>
              </w:rPr>
              <w:t>7</w:t>
            </w:r>
          </w:p>
        </w:tc>
        <w:tc>
          <w:tcPr>
            <w:tcW w:w="3077" w:type="dxa"/>
            <w:tcBorders>
              <w:top w:val="single" w:sz="6" w:space="0" w:color="auto"/>
              <w:left w:val="single" w:sz="6"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 xml:space="preserve">Punctul de presiune de </w:t>
            </w:r>
            <w:r w:rsidR="00AD0EEC" w:rsidRPr="00857CDA">
              <w:rPr>
                <w:rFonts w:eastAsia="Calibri"/>
                <w:lang w:val="ro-RO"/>
              </w:rPr>
              <w:t>rezistență la plesnire</w:t>
            </w:r>
            <w:r w:rsidRPr="00857CDA">
              <w:rPr>
                <w:rFonts w:eastAsia="Calibri"/>
                <w:lang w:val="ro-RO"/>
              </w:rPr>
              <w:t xml:space="preserve"> al eșantionului </w:t>
            </w:r>
            <w:r w:rsidR="00012D59" w:rsidRPr="00857CDA">
              <w:rPr>
                <w:rFonts w:eastAsia="Calibri"/>
                <w:lang w:val="ro-RO"/>
              </w:rPr>
              <w:t xml:space="preserve">reprezentativ </w:t>
            </w:r>
            <w:r w:rsidRPr="00857CDA">
              <w:rPr>
                <w:rFonts w:eastAsia="Calibri"/>
                <w:lang w:val="ro-RO"/>
              </w:rPr>
              <w:t xml:space="preserve">trebuie să se situeze deasupra limitei inferioare a intervalului de toleranță din </w:t>
            </w:r>
            <w:r w:rsidR="007C648C" w:rsidRPr="00857CDA">
              <w:rPr>
                <w:rFonts w:eastAsia="Calibri"/>
                <w:lang w:val="ro-RO"/>
              </w:rPr>
              <w:t>Graficul</w:t>
            </w:r>
            <w:r w:rsidRPr="00857CDA">
              <w:rPr>
                <w:rFonts w:eastAsia="Calibri"/>
                <w:lang w:val="ro-RO"/>
              </w:rPr>
              <w:t xml:space="preserve"> de </w:t>
            </w:r>
            <w:r w:rsidR="00AD0EEC" w:rsidRPr="00857CDA">
              <w:rPr>
                <w:rFonts w:eastAsia="Calibri"/>
                <w:lang w:val="ro-RO"/>
              </w:rPr>
              <w:t xml:space="preserve">Performanță </w:t>
            </w:r>
            <w:r w:rsidRPr="00857CDA">
              <w:rPr>
                <w:rFonts w:eastAsia="Calibri"/>
                <w:lang w:val="ro-RO"/>
              </w:rPr>
              <w:t>a eșantio</w:t>
            </w:r>
            <w:r w:rsidR="00B268E1" w:rsidRPr="00857CDA">
              <w:rPr>
                <w:rFonts w:eastAsia="Calibri"/>
                <w:lang w:val="ro-RO"/>
              </w:rPr>
              <w:t>a</w:t>
            </w:r>
            <w:r w:rsidRPr="00857CDA">
              <w:rPr>
                <w:rFonts w:eastAsia="Calibri"/>
                <w:lang w:val="ro-RO"/>
              </w:rPr>
              <w:t>n</w:t>
            </w:r>
            <w:r w:rsidR="00B268E1" w:rsidRPr="00857CDA">
              <w:rPr>
                <w:rFonts w:eastAsia="Calibri"/>
                <w:lang w:val="ro-RO"/>
              </w:rPr>
              <w:t>elor</w:t>
            </w:r>
          </w:p>
          <w:p w:rsidR="000A56AF" w:rsidRPr="00857CDA" w:rsidRDefault="000A56AF" w:rsidP="000A56AF">
            <w:pPr>
              <w:suppressAutoHyphens w:val="0"/>
              <w:spacing w:line="240" w:lineRule="auto"/>
              <w:jc w:val="center"/>
              <w:rPr>
                <w:rFonts w:eastAsia="Calibri"/>
                <w:lang w:val="ro-RO"/>
              </w:rPr>
            </w:pPr>
            <w:r w:rsidRPr="00857CDA">
              <w:rPr>
                <w:rFonts w:eastAsia="Calibri"/>
                <w:lang w:val="ro-RO"/>
              </w:rPr>
              <w:t>Ω</w:t>
            </w:r>
            <w:r w:rsidRPr="00857CDA">
              <w:rPr>
                <w:rFonts w:eastAsia="Calibri"/>
                <w:vertAlign w:val="subscript"/>
                <w:lang w:val="ro-RO"/>
              </w:rPr>
              <w:t>m</w:t>
            </w:r>
            <w:r w:rsidRPr="00857CDA" w:rsidDel="00250403">
              <w:rPr>
                <w:rFonts w:eastAsia="Calibri"/>
                <w:lang w:val="ro-RO"/>
              </w:rPr>
              <w:t xml:space="preserve"> </w:t>
            </w:r>
            <w:r w:rsidRPr="00857CDA">
              <w:rPr>
                <w:rFonts w:eastAsia="Calibri"/>
                <w:lang w:val="ro-RO"/>
              </w:rPr>
              <w:t>≥ 1 + Ω</w:t>
            </w:r>
            <w:r w:rsidRPr="00857CDA">
              <w:rPr>
                <w:rFonts w:eastAsia="Calibri"/>
                <w:vertAlign w:val="subscript"/>
                <w:lang w:val="ro-RO"/>
              </w:rPr>
              <w:t xml:space="preserve">s </w:t>
            </w:r>
            <w:r w:rsidRPr="00857CDA">
              <w:rPr>
                <w:rFonts w:eastAsia="Calibri"/>
                <w:lang w:val="ro-RO"/>
              </w:rPr>
              <w:t>× k3 (n;</w:t>
            </w:r>
            <w:r w:rsidR="00012D59" w:rsidRPr="00857CDA">
              <w:rPr>
                <w:rFonts w:eastAsia="Calibri"/>
                <w:lang w:val="ro-RO"/>
              </w:rPr>
              <w:t xml:space="preserve"> </w:t>
            </w:r>
            <w:r w:rsidRPr="00857CDA">
              <w:rPr>
                <w:rFonts w:eastAsia="Calibri"/>
                <w:lang w:val="ro-RO"/>
              </w:rPr>
              <w:t>p;</w:t>
            </w:r>
            <w:r w:rsidR="00012D59" w:rsidRPr="00857CDA">
              <w:rPr>
                <w:rFonts w:eastAsia="Calibri"/>
                <w:lang w:val="ro-RO"/>
              </w:rPr>
              <w:t xml:space="preserve"> </w:t>
            </w:r>
            <w:r w:rsidRPr="00857CDA">
              <w:rPr>
                <w:rFonts w:eastAsia="Calibri"/>
                <w:lang w:val="ro-RO"/>
              </w:rPr>
              <w:t xml:space="preserve">1- α) </w:t>
            </w:r>
            <w:r w:rsidR="00AD0EEC" w:rsidRPr="00857CDA">
              <w:rPr>
                <w:b/>
                <w:szCs w:val="18"/>
                <w:vertAlign w:val="superscript"/>
                <w:lang w:val="ro-RO"/>
              </w:rPr>
              <w:t>a</w:t>
            </w:r>
          </w:p>
          <w:p w:rsidR="000A56AF" w:rsidRPr="00857CDA" w:rsidRDefault="000A56AF" w:rsidP="00012D59">
            <w:pPr>
              <w:suppressAutoHyphens w:val="0"/>
              <w:spacing w:line="240" w:lineRule="auto"/>
              <w:jc w:val="center"/>
              <w:rPr>
                <w:rFonts w:eastAsia="Calibri"/>
                <w:lang w:val="ro-RO"/>
              </w:rPr>
            </w:pPr>
            <w:r w:rsidRPr="00857CDA">
              <w:rPr>
                <w:rFonts w:eastAsia="Calibri"/>
                <w:lang w:val="ro-RO"/>
              </w:rPr>
              <w:t xml:space="preserve">Niciun </w:t>
            </w:r>
            <w:r w:rsidR="00012D59" w:rsidRPr="00857CDA">
              <w:rPr>
                <w:rFonts w:eastAsia="Calibri"/>
                <w:lang w:val="ro-RO"/>
              </w:rPr>
              <w:t>rezultat</w:t>
            </w:r>
            <w:r w:rsidRPr="00857CDA">
              <w:rPr>
                <w:rFonts w:eastAsia="Calibri"/>
                <w:lang w:val="ro-RO"/>
              </w:rPr>
              <w:t xml:space="preserve"> individual nu trebuie să </w:t>
            </w:r>
            <w:r w:rsidR="00012D59" w:rsidRPr="00857CDA">
              <w:rPr>
                <w:rFonts w:eastAsia="Calibri"/>
                <w:lang w:val="ro-RO"/>
              </w:rPr>
              <w:t>fie</w:t>
            </w:r>
            <w:r w:rsidRPr="00857CDA">
              <w:rPr>
                <w:rFonts w:eastAsia="Calibri"/>
                <w:lang w:val="ro-RO"/>
              </w:rPr>
              <w:t xml:space="preserve"> mai mic decât presiunea de încercare</w:t>
            </w:r>
          </w:p>
        </w:tc>
        <w:tc>
          <w:tcPr>
            <w:tcW w:w="1984" w:type="dxa"/>
            <w:tcBorders>
              <w:top w:val="single" w:sz="6" w:space="0" w:color="auto"/>
              <w:left w:val="single" w:sz="6"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20" o:title=""/>
                </v:shape>
                <o:OLEObject Type="Embed" ProgID="Equation.3" ShapeID="_x0000_i1025" DrawAspect="Content" ObjectID="_1622382864" r:id="rId21"/>
              </w:object>
            </w:r>
            <w:r w:rsidRPr="00857CDA">
              <w:rPr>
                <w:rFonts w:eastAsia="Calibri"/>
                <w:lang w:val="ro-RO"/>
              </w:rPr>
              <w:t xml:space="preserve"> sau </w:t>
            </w:r>
            <w:r w:rsidRPr="00857CDA">
              <w:rPr>
                <w:rFonts w:eastAsia="Calibri"/>
                <w:lang w:val="ro-RO"/>
              </w:rPr>
              <w:object w:dxaOrig="680" w:dyaOrig="300">
                <v:shape id="_x0000_i1026" type="#_x0000_t75" style="width:35.25pt;height:15.75pt" o:ole="">
                  <v:imagedata r:id="rId22" o:title=""/>
                </v:shape>
                <o:OLEObject Type="Embed" ProgID="Equation.3" ShapeID="_x0000_i1026" DrawAspect="Content" ObjectID="_1622382865" r:id="rId23"/>
              </w:object>
            </w:r>
            <w:r w:rsidRPr="00857CDA">
              <w:rPr>
                <w:rFonts w:eastAsia="Calibri"/>
                <w:lang w:val="ro-RO"/>
              </w:rPr>
              <w:br/>
            </w:r>
            <w:r w:rsidR="00F046DF" w:rsidRPr="00857CDA">
              <w:rPr>
                <w:rFonts w:eastAsia="Calibri"/>
                <w:lang w:val="ro-RO"/>
              </w:rPr>
              <w:t xml:space="preserve">va fi reținută </w:t>
            </w:r>
            <w:r w:rsidR="00AD0EEC" w:rsidRPr="00857CDA">
              <w:rPr>
                <w:rFonts w:eastAsia="Calibri"/>
                <w:lang w:val="ro-RO"/>
              </w:rPr>
              <w:t>valoarea cea</w:t>
            </w:r>
            <w:r w:rsidRPr="00857CDA">
              <w:rPr>
                <w:rFonts w:eastAsia="Calibri"/>
                <w:lang w:val="ro-RO"/>
              </w:rPr>
              <w:t xml:space="preserve"> mai mică,</w:t>
            </w:r>
          </w:p>
          <w:p w:rsidR="000A56AF" w:rsidRPr="00857CDA" w:rsidRDefault="000A56AF" w:rsidP="000A56AF">
            <w:pPr>
              <w:suppressAutoHyphens w:val="0"/>
              <w:spacing w:line="240" w:lineRule="auto"/>
              <w:jc w:val="center"/>
              <w:rPr>
                <w:rFonts w:eastAsia="Calibri"/>
                <w:lang w:val="ro-RO"/>
              </w:rPr>
            </w:pPr>
            <w:r w:rsidRPr="00857CDA">
              <w:rPr>
                <w:rFonts w:eastAsia="Calibri"/>
                <w:lang w:val="ro-RO"/>
              </w:rPr>
              <w:t>și</w:t>
            </w:r>
          </w:p>
          <w:p w:rsidR="005037FC" w:rsidRPr="00857CDA" w:rsidRDefault="000A56AF" w:rsidP="005037FC">
            <w:pPr>
              <w:suppressAutoHyphens w:val="0"/>
              <w:spacing w:line="240" w:lineRule="auto"/>
              <w:jc w:val="center"/>
              <w:rPr>
                <w:rFonts w:eastAsia="Calibri"/>
                <w:lang w:val="ro-RO"/>
              </w:rPr>
            </w:pPr>
            <w:r w:rsidRPr="00857CDA">
              <w:rPr>
                <w:rFonts w:eastAsia="Calibri"/>
                <w:lang w:val="ro-RO"/>
              </w:rPr>
              <w:t xml:space="preserve">un minim de 20 </w:t>
            </w:r>
          </w:p>
          <w:p w:rsidR="000A56AF" w:rsidRPr="00857CDA" w:rsidRDefault="000A56AF" w:rsidP="005037FC">
            <w:pPr>
              <w:suppressAutoHyphens w:val="0"/>
              <w:spacing w:line="240" w:lineRule="auto"/>
              <w:jc w:val="center"/>
              <w:rPr>
                <w:rFonts w:eastAsia="Calibri"/>
                <w:lang w:val="ro-RO"/>
              </w:rPr>
            </w:pPr>
            <w:r w:rsidRPr="00857CDA">
              <w:rPr>
                <w:rFonts w:eastAsia="Calibri"/>
                <w:lang w:val="ro-RO"/>
              </w:rPr>
              <w:t xml:space="preserve">pe </w:t>
            </w:r>
            <w:r w:rsidR="00F046DF" w:rsidRPr="00857CDA">
              <w:rPr>
                <w:rFonts w:eastAsia="Calibri"/>
                <w:lang w:val="ro-RO"/>
              </w:rPr>
              <w:t>sub-</w:t>
            </w:r>
            <w:r w:rsidRPr="00857CDA">
              <w:rPr>
                <w:rFonts w:eastAsia="Calibri"/>
                <w:lang w:val="ro-RO"/>
              </w:rPr>
              <w:t>grup (Q)</w:t>
            </w:r>
          </w:p>
        </w:tc>
      </w:tr>
      <w:tr w:rsidR="000A56AF" w:rsidRPr="00857CDA" w:rsidTr="00AF3F82">
        <w:trPr>
          <w:trHeight w:hRule="exact" w:val="1057"/>
          <w:jc w:val="center"/>
        </w:trPr>
        <w:tc>
          <w:tcPr>
            <w:tcW w:w="1276" w:type="dxa"/>
            <w:vMerge/>
            <w:tcBorders>
              <w:left w:val="single" w:sz="12" w:space="0" w:color="auto"/>
              <w:bottom w:val="single" w:sz="4"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lang w:val="ro-RO"/>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Jupuire și corosiune</w:t>
            </w:r>
          </w:p>
        </w:tc>
        <w:tc>
          <w:tcPr>
            <w:tcW w:w="15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AD0EEC">
            <w:pPr>
              <w:suppressAutoHyphens w:val="0"/>
              <w:spacing w:line="240" w:lineRule="auto"/>
              <w:jc w:val="center"/>
              <w:rPr>
                <w:rFonts w:eastAsia="Calibri"/>
                <w:lang w:val="ro-RO"/>
              </w:rPr>
            </w:pPr>
            <w:r w:rsidRPr="00857CDA">
              <w:rPr>
                <w:rFonts w:eastAsia="Calibri"/>
                <w:lang w:val="ro-RO"/>
              </w:rPr>
              <w:t>EN ISO 4628-3:200</w:t>
            </w:r>
            <w:r w:rsidR="00AD0EEC" w:rsidRPr="00857CDA">
              <w:rPr>
                <w:rFonts w:eastAsia="Calibri"/>
                <w:lang w:val="ro-RO"/>
              </w:rPr>
              <w:t>16</w:t>
            </w:r>
          </w:p>
        </w:tc>
        <w:tc>
          <w:tcPr>
            <w:tcW w:w="30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Grad maxim de corosiune:</w:t>
            </w:r>
          </w:p>
          <w:p w:rsidR="000A56AF" w:rsidRPr="00857CDA" w:rsidRDefault="000A56AF" w:rsidP="000A56AF">
            <w:pPr>
              <w:suppressAutoHyphens w:val="0"/>
              <w:spacing w:line="240" w:lineRule="auto"/>
              <w:jc w:val="center"/>
              <w:rPr>
                <w:rFonts w:eastAsia="Calibri"/>
                <w:lang w:val="ro-RO"/>
              </w:rPr>
            </w:pPr>
            <w:r w:rsidRPr="00857CDA">
              <w:rPr>
                <w:rFonts w:eastAsia="Calibri"/>
                <w:lang w:val="ro-RO"/>
              </w:rPr>
              <w:t>Ri2</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iCs/>
                <w:lang w:val="ro-RO"/>
              </w:rPr>
              <w:t>Q</w:t>
            </w:r>
            <w:r w:rsidRPr="00857CDA">
              <w:rPr>
                <w:rFonts w:eastAsia="Calibri"/>
                <w:lang w:val="ro-RO"/>
              </w:rPr>
              <w:t>/1000</w:t>
            </w:r>
          </w:p>
        </w:tc>
      </w:tr>
      <w:tr w:rsidR="000A56AF" w:rsidRPr="0079052F" w:rsidTr="00AF3F82">
        <w:trPr>
          <w:trHeight w:val="839"/>
          <w:jc w:val="center"/>
        </w:trPr>
        <w:tc>
          <w:tcPr>
            <w:tcW w:w="1276" w:type="dxa"/>
            <w:vMerge/>
            <w:tcBorders>
              <w:left w:val="single" w:sz="12" w:space="0" w:color="auto"/>
              <w:bottom w:val="single" w:sz="4" w:space="0" w:color="auto"/>
              <w:right w:val="single" w:sz="6" w:space="0" w:color="auto"/>
            </w:tcBorders>
            <w:tcMar>
              <w:top w:w="0" w:type="dxa"/>
              <w:left w:w="108" w:type="dxa"/>
              <w:bottom w:w="0" w:type="dxa"/>
              <w:right w:w="108" w:type="dxa"/>
            </w:tcMar>
            <w:vAlign w:val="center"/>
          </w:tcPr>
          <w:p w:rsidR="000A56AF" w:rsidRPr="00857CDA" w:rsidRDefault="000A56AF" w:rsidP="000A56AF">
            <w:pPr>
              <w:suppressAutoHyphens w:val="0"/>
              <w:spacing w:line="240" w:lineRule="auto"/>
              <w:jc w:val="center"/>
              <w:rPr>
                <w:rFonts w:eastAsia="Calibri"/>
                <w:lang w:val="ro-RO"/>
              </w:rPr>
            </w:pPr>
          </w:p>
        </w:tc>
        <w:tc>
          <w:tcPr>
            <w:tcW w:w="1134"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0A56AF" w:rsidRPr="00857CDA" w:rsidRDefault="000A56AF" w:rsidP="00F046DF">
            <w:pPr>
              <w:suppressAutoHyphens w:val="0"/>
              <w:spacing w:line="240" w:lineRule="auto"/>
              <w:jc w:val="center"/>
              <w:rPr>
                <w:rFonts w:eastAsia="Calibri"/>
                <w:lang w:val="ro-RO"/>
              </w:rPr>
            </w:pPr>
            <w:r w:rsidRPr="00857CDA">
              <w:rPr>
                <w:rFonts w:eastAsia="Calibri"/>
                <w:lang w:val="ro-RO"/>
              </w:rPr>
              <w:t>Ade</w:t>
            </w:r>
            <w:r w:rsidR="00F046DF" w:rsidRPr="00857CDA">
              <w:rPr>
                <w:rFonts w:eastAsia="Calibri"/>
                <w:lang w:val="ro-RO"/>
              </w:rPr>
              <w:t>rența</w:t>
            </w:r>
            <w:r w:rsidRPr="00857CDA">
              <w:rPr>
                <w:rFonts w:eastAsia="Calibri"/>
                <w:lang w:val="ro-RO"/>
              </w:rPr>
              <w:t xml:space="preserve"> poliureta-nului</w:t>
            </w:r>
          </w:p>
        </w:tc>
        <w:tc>
          <w:tcPr>
            <w:tcW w:w="151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0A56AF" w:rsidRPr="00857CDA" w:rsidRDefault="000A56AF" w:rsidP="000A56AF">
            <w:pPr>
              <w:suppressAutoHyphens w:val="0"/>
              <w:spacing w:line="240" w:lineRule="auto"/>
              <w:jc w:val="center"/>
              <w:rPr>
                <w:rFonts w:eastAsia="Calibri"/>
                <w:sz w:val="18"/>
                <w:lang w:val="ro-RO"/>
              </w:rPr>
            </w:pPr>
            <w:r w:rsidRPr="00857CDA">
              <w:rPr>
                <w:rFonts w:eastAsia="Calibri"/>
                <w:sz w:val="18"/>
                <w:lang w:val="ro-RO"/>
              </w:rPr>
              <w:t xml:space="preserve">ISO 2859-1: </w:t>
            </w:r>
            <w:r w:rsidR="00AD0EEC" w:rsidRPr="00857CDA">
              <w:rPr>
                <w:rFonts w:eastAsia="Calibri"/>
                <w:sz w:val="18"/>
                <w:lang w:val="ro-RO"/>
              </w:rPr>
              <w:t xml:space="preserve">1999 + A1: </w:t>
            </w:r>
            <w:r w:rsidRPr="00857CDA">
              <w:rPr>
                <w:rFonts w:eastAsia="Calibri"/>
                <w:sz w:val="18"/>
                <w:lang w:val="ro-RO"/>
              </w:rPr>
              <w:t>20</w:t>
            </w:r>
            <w:r w:rsidR="00AD0EEC" w:rsidRPr="00857CDA">
              <w:rPr>
                <w:rFonts w:eastAsia="Calibri"/>
                <w:sz w:val="18"/>
                <w:lang w:val="ro-RO"/>
              </w:rPr>
              <w:t>11</w:t>
            </w:r>
          </w:p>
          <w:p w:rsidR="000A56AF" w:rsidRPr="00857CDA" w:rsidRDefault="000A56AF" w:rsidP="000A56AF">
            <w:pPr>
              <w:suppressAutoHyphens w:val="0"/>
              <w:spacing w:line="240" w:lineRule="auto"/>
              <w:jc w:val="center"/>
              <w:rPr>
                <w:rFonts w:eastAsia="Calibri"/>
                <w:sz w:val="18"/>
                <w:lang w:val="ro-RO"/>
              </w:rPr>
            </w:pPr>
            <w:r w:rsidRPr="00857CDA">
              <w:rPr>
                <w:rFonts w:eastAsia="Calibri"/>
                <w:sz w:val="18"/>
                <w:lang w:val="ro-RO"/>
              </w:rPr>
              <w:t>EN 1442: 201</w:t>
            </w:r>
            <w:r w:rsidR="00AD0EEC" w:rsidRPr="00857CDA">
              <w:rPr>
                <w:rFonts w:eastAsia="Calibri"/>
                <w:sz w:val="18"/>
                <w:lang w:val="ro-RO"/>
              </w:rPr>
              <w:t>7</w:t>
            </w:r>
          </w:p>
          <w:p w:rsidR="000A56AF" w:rsidRPr="00857CDA" w:rsidRDefault="000A56AF" w:rsidP="000A56AF">
            <w:pPr>
              <w:suppressAutoHyphens w:val="0"/>
              <w:spacing w:line="240" w:lineRule="auto"/>
              <w:jc w:val="center"/>
              <w:rPr>
                <w:rFonts w:eastAsia="Calibri"/>
                <w:lang w:val="ro-RO"/>
              </w:rPr>
            </w:pPr>
            <w:r w:rsidRPr="00857CDA">
              <w:rPr>
                <w:rFonts w:eastAsia="Calibri"/>
                <w:sz w:val="18"/>
                <w:lang w:val="ro-RO"/>
              </w:rPr>
              <w:t>EN 14140: 201</w:t>
            </w:r>
            <w:r w:rsidR="00AD0EEC" w:rsidRPr="00857CDA">
              <w:rPr>
                <w:rFonts w:eastAsia="Calibri"/>
                <w:sz w:val="18"/>
                <w:lang w:val="ro-RO"/>
              </w:rPr>
              <w:t>4 + AC: 201</w:t>
            </w:r>
            <w:r w:rsidRPr="00857CDA">
              <w:rPr>
                <w:rFonts w:eastAsia="Calibri"/>
                <w:sz w:val="18"/>
                <w:lang w:val="ro-RO"/>
              </w:rPr>
              <w:t>5</w:t>
            </w:r>
          </w:p>
        </w:tc>
        <w:tc>
          <w:tcPr>
            <w:tcW w:w="30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A56AF" w:rsidRPr="00857CDA" w:rsidRDefault="000A56AF" w:rsidP="00AD0EEC">
            <w:pPr>
              <w:suppressAutoHyphens w:val="0"/>
              <w:spacing w:line="240" w:lineRule="auto"/>
              <w:jc w:val="center"/>
              <w:rPr>
                <w:rFonts w:eastAsia="Calibri"/>
                <w:lang w:val="ro-RO"/>
              </w:rPr>
            </w:pPr>
            <w:r w:rsidRPr="00857CDA">
              <w:rPr>
                <w:rFonts w:eastAsia="Calibri"/>
                <w:lang w:val="ro-RO"/>
              </w:rPr>
              <w:t xml:space="preserve">Valoarea </w:t>
            </w:r>
            <w:r w:rsidR="00AD0EEC" w:rsidRPr="00857CDA">
              <w:rPr>
                <w:rFonts w:eastAsia="Calibri"/>
                <w:lang w:val="ro-RO"/>
              </w:rPr>
              <w:t>de aderență</w:t>
            </w:r>
            <w:r w:rsidRPr="00857CDA">
              <w:rPr>
                <w:rFonts w:eastAsia="Calibri"/>
                <w:lang w:val="ro-RO"/>
              </w:rPr>
              <w:t xml:space="preserve"> &gt; 0</w:t>
            </w:r>
            <w:r w:rsidR="00AD0EEC" w:rsidRPr="00857CDA">
              <w:rPr>
                <w:rFonts w:eastAsia="Calibri"/>
                <w:lang w:val="ro-RO"/>
              </w:rPr>
              <w:t>,</w:t>
            </w:r>
            <w:r w:rsidRPr="00857CDA">
              <w:rPr>
                <w:rFonts w:eastAsia="Calibri"/>
                <w:lang w:val="ro-RO"/>
              </w:rPr>
              <w:t>5 N/mm²</w:t>
            </w:r>
          </w:p>
        </w:tc>
        <w:tc>
          <w:tcPr>
            <w:tcW w:w="1984"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0A56AF" w:rsidRPr="00857CDA" w:rsidRDefault="00AD0EEC" w:rsidP="00AD0EEC">
            <w:pPr>
              <w:suppressAutoHyphens w:val="0"/>
              <w:spacing w:line="240" w:lineRule="auto"/>
              <w:jc w:val="center"/>
              <w:rPr>
                <w:rFonts w:eastAsia="Calibri"/>
                <w:lang w:val="ro-RO"/>
              </w:rPr>
            </w:pPr>
            <w:r w:rsidRPr="00857CDA">
              <w:rPr>
                <w:rFonts w:eastAsia="Calibri"/>
                <w:lang w:val="ro-RO"/>
              </w:rPr>
              <w:t>a</w:t>
            </w:r>
            <w:r w:rsidR="000A56AF" w:rsidRPr="00857CDA">
              <w:rPr>
                <w:rFonts w:eastAsia="Calibri"/>
                <w:lang w:val="ro-RO"/>
              </w:rPr>
              <w:t xml:space="preserve"> se vedea ISO 2859-</w:t>
            </w:r>
            <w:r w:rsidRPr="00857CDA">
              <w:rPr>
                <w:rFonts w:eastAsia="Calibri"/>
                <w:lang w:val="ro-RO"/>
              </w:rPr>
              <w:t>1</w:t>
            </w:r>
            <w:r w:rsidR="000A56AF" w:rsidRPr="00857CDA">
              <w:rPr>
                <w:rFonts w:eastAsia="Calibri"/>
                <w:lang w:val="ro-RO"/>
              </w:rPr>
              <w:t>:</w:t>
            </w:r>
            <w:r w:rsidRPr="00857CDA">
              <w:rPr>
                <w:rFonts w:eastAsia="Calibri"/>
                <w:lang w:val="ro-RO"/>
              </w:rPr>
              <w:t xml:space="preserve"> 1999 + A1:</w:t>
            </w:r>
            <w:r w:rsidR="000A56AF" w:rsidRPr="00857CDA">
              <w:rPr>
                <w:rFonts w:eastAsia="Calibri"/>
                <w:lang w:val="ro-RO"/>
              </w:rPr>
              <w:t>20</w:t>
            </w:r>
            <w:r w:rsidRPr="00857CDA">
              <w:rPr>
                <w:rFonts w:eastAsia="Calibri"/>
                <w:lang w:val="ro-RO"/>
              </w:rPr>
              <w:t>11</w:t>
            </w:r>
            <w:r w:rsidR="000A56AF" w:rsidRPr="00857CDA">
              <w:rPr>
                <w:rFonts w:eastAsia="Calibri"/>
                <w:lang w:val="ro-RO"/>
              </w:rPr>
              <w:t xml:space="preserve"> aplicabil pentru Q/1000</w:t>
            </w:r>
          </w:p>
        </w:tc>
      </w:tr>
      <w:tr w:rsidR="000A56AF" w:rsidRPr="00857CDA" w:rsidTr="00AF3F82">
        <w:trPr>
          <w:trHeight w:val="1552"/>
          <w:jc w:val="center"/>
        </w:trPr>
        <w:tc>
          <w:tcPr>
            <w:tcW w:w="1276" w:type="dxa"/>
            <w:vMerge w:val="restart"/>
            <w:tcBorders>
              <w:top w:val="single" w:sz="4" w:space="0" w:color="auto"/>
              <w:left w:val="single" w:sz="12" w:space="0" w:color="auto"/>
              <w:right w:val="single" w:sz="6" w:space="0" w:color="auto"/>
            </w:tcBorders>
            <w:tcMar>
              <w:top w:w="0" w:type="dxa"/>
              <w:left w:w="108" w:type="dxa"/>
              <w:bottom w:w="0" w:type="dxa"/>
              <w:right w:w="108" w:type="dxa"/>
            </w:tcMar>
            <w:vAlign w:val="center"/>
            <w:hideMark/>
          </w:tcPr>
          <w:p w:rsidR="00AD0EEC" w:rsidRPr="00857CDA" w:rsidRDefault="000A56AF" w:rsidP="00AD0EEC">
            <w:pPr>
              <w:suppressAutoHyphens w:val="0"/>
              <w:spacing w:line="240" w:lineRule="auto"/>
              <w:jc w:val="center"/>
              <w:rPr>
                <w:rFonts w:eastAsia="Calibri"/>
                <w:lang w:val="ro-RO"/>
              </w:rPr>
            </w:pPr>
            <w:r w:rsidRPr="00857CDA">
              <w:rPr>
                <w:rFonts w:eastAsia="Calibri"/>
                <w:lang w:val="ro-RO"/>
              </w:rPr>
              <w:t>La fiecare 5 ani după aceea</w:t>
            </w:r>
          </w:p>
          <w:p w:rsidR="00AD0EEC" w:rsidRPr="00857CDA" w:rsidRDefault="00AD0EEC" w:rsidP="00AD0EEC">
            <w:pPr>
              <w:suppressAutoHyphens w:val="0"/>
              <w:spacing w:line="240" w:lineRule="auto"/>
              <w:ind w:right="-67" w:hanging="149"/>
              <w:rPr>
                <w:rFonts w:eastAsia="Calibri"/>
                <w:lang w:val="ro-RO"/>
              </w:rPr>
            </w:pPr>
            <w:r w:rsidRPr="00857CDA">
              <w:rPr>
                <w:rFonts w:eastAsia="Calibri"/>
                <w:lang w:val="ro-RO"/>
              </w:rPr>
              <w:t xml:space="preserve">  (a se vedea f))</w:t>
            </w:r>
          </w:p>
        </w:tc>
        <w:tc>
          <w:tcPr>
            <w:tcW w:w="1134" w:type="dxa"/>
            <w:tcBorders>
              <w:top w:val="single" w:sz="4" w:space="0" w:color="auto"/>
              <w:left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 xml:space="preserve">Încercarea </w:t>
            </w:r>
            <w:r w:rsidR="005037FC" w:rsidRPr="00857CDA">
              <w:rPr>
                <w:rFonts w:eastAsia="Calibri"/>
                <w:lang w:val="ro-RO"/>
              </w:rPr>
              <w:t>de rezistență la plesnire</w:t>
            </w:r>
          </w:p>
        </w:tc>
        <w:tc>
          <w:tcPr>
            <w:tcW w:w="1518" w:type="dxa"/>
            <w:tcBorders>
              <w:top w:val="single" w:sz="4" w:space="0" w:color="auto"/>
              <w:left w:val="single" w:sz="6" w:space="0" w:color="auto"/>
              <w:right w:val="single" w:sz="6" w:space="0" w:color="auto"/>
            </w:tcBorders>
            <w:tcMar>
              <w:top w:w="0" w:type="dxa"/>
              <w:left w:w="108" w:type="dxa"/>
              <w:bottom w:w="0" w:type="dxa"/>
              <w:right w:w="108" w:type="dxa"/>
            </w:tcMar>
            <w:vAlign w:val="center"/>
            <w:hideMark/>
          </w:tcPr>
          <w:p w:rsidR="000A56AF" w:rsidRPr="00857CDA" w:rsidRDefault="00AD0EEC" w:rsidP="000A56AF">
            <w:pPr>
              <w:suppressAutoHyphens w:val="0"/>
              <w:spacing w:line="240" w:lineRule="auto"/>
              <w:jc w:val="center"/>
              <w:rPr>
                <w:rFonts w:eastAsia="Calibri"/>
                <w:lang w:val="ro-RO"/>
              </w:rPr>
            </w:pPr>
            <w:r w:rsidRPr="00857CDA">
              <w:rPr>
                <w:rFonts w:eastAsia="Calibri"/>
                <w:lang w:val="ro-RO"/>
              </w:rPr>
              <w:t>EN 1442: 2017</w:t>
            </w:r>
          </w:p>
        </w:tc>
        <w:tc>
          <w:tcPr>
            <w:tcW w:w="3077" w:type="dxa"/>
            <w:tcBorders>
              <w:top w:val="single" w:sz="6" w:space="0" w:color="auto"/>
              <w:left w:val="single" w:sz="6" w:space="0" w:color="auto"/>
              <w:right w:val="single" w:sz="6" w:space="0" w:color="auto"/>
            </w:tcBorders>
            <w:tcMar>
              <w:top w:w="0" w:type="dxa"/>
              <w:left w:w="108" w:type="dxa"/>
              <w:bottom w:w="0" w:type="dxa"/>
              <w:right w:w="108" w:type="dxa"/>
            </w:tcMar>
            <w:vAlign w:val="center"/>
            <w:hideMark/>
          </w:tcPr>
          <w:p w:rsidR="000A56AF" w:rsidRPr="00857CDA" w:rsidRDefault="00AD0EEC" w:rsidP="00AD0EEC">
            <w:pPr>
              <w:suppressAutoHyphens w:val="0"/>
              <w:spacing w:line="240" w:lineRule="auto"/>
              <w:ind w:left="-113" w:right="-113"/>
              <w:jc w:val="center"/>
              <w:rPr>
                <w:rFonts w:eastAsia="Calibri"/>
                <w:lang w:val="ro-RO"/>
              </w:rPr>
            </w:pPr>
            <w:r w:rsidRPr="00857CDA">
              <w:rPr>
                <w:rFonts w:eastAsia="Calibri"/>
                <w:lang w:val="ro-RO"/>
              </w:rPr>
              <w:t xml:space="preserve">Punctul de presiune de rezistență la plesnire al eșantionului reprezentativ trebuie să se situeze deasupra limitei inferioare a intervalului de toleranță din </w:t>
            </w:r>
            <w:r w:rsidR="007C648C" w:rsidRPr="00857CDA">
              <w:rPr>
                <w:rFonts w:eastAsia="Calibri"/>
                <w:lang w:val="ro-RO"/>
              </w:rPr>
              <w:t>graficul</w:t>
            </w:r>
            <w:r w:rsidRPr="00857CDA">
              <w:rPr>
                <w:rFonts w:eastAsia="Calibri"/>
                <w:lang w:val="ro-RO"/>
              </w:rPr>
              <w:t xml:space="preserve"> de Performanță a eșantio</w:t>
            </w:r>
            <w:r w:rsidR="00B268E1" w:rsidRPr="00857CDA">
              <w:rPr>
                <w:rFonts w:eastAsia="Calibri"/>
                <w:lang w:val="ro-RO"/>
              </w:rPr>
              <w:t>a</w:t>
            </w:r>
            <w:r w:rsidRPr="00857CDA">
              <w:rPr>
                <w:rFonts w:eastAsia="Calibri"/>
                <w:lang w:val="ro-RO"/>
              </w:rPr>
              <w:t>n</w:t>
            </w:r>
            <w:r w:rsidR="00B268E1" w:rsidRPr="00857CDA">
              <w:rPr>
                <w:rFonts w:eastAsia="Calibri"/>
                <w:lang w:val="ro-RO"/>
              </w:rPr>
              <w:t xml:space="preserve">elor </w:t>
            </w:r>
            <w:r w:rsidR="000A56AF" w:rsidRPr="00857CDA">
              <w:rPr>
                <w:rFonts w:eastAsia="Calibri"/>
                <w:lang w:val="ro-RO"/>
              </w:rPr>
              <w:t>Ω</w:t>
            </w:r>
            <w:r w:rsidR="000A56AF" w:rsidRPr="00857CDA">
              <w:rPr>
                <w:rFonts w:eastAsia="Calibri"/>
                <w:vertAlign w:val="subscript"/>
                <w:lang w:val="ro-RO"/>
              </w:rPr>
              <w:t>m</w:t>
            </w:r>
            <w:r w:rsidR="000A56AF" w:rsidRPr="00857CDA" w:rsidDel="00250403">
              <w:rPr>
                <w:rFonts w:eastAsia="Calibri"/>
                <w:lang w:val="ro-RO"/>
              </w:rPr>
              <w:t xml:space="preserve"> </w:t>
            </w:r>
            <w:r w:rsidR="000A56AF" w:rsidRPr="00857CDA">
              <w:rPr>
                <w:rFonts w:eastAsia="Calibri"/>
                <w:lang w:val="ro-RO"/>
              </w:rPr>
              <w:t>≥ 1 + Ω</w:t>
            </w:r>
            <w:r w:rsidR="000A56AF" w:rsidRPr="00857CDA">
              <w:rPr>
                <w:rFonts w:eastAsia="Calibri"/>
                <w:vertAlign w:val="subscript"/>
                <w:lang w:val="ro-RO"/>
              </w:rPr>
              <w:t xml:space="preserve">s </w:t>
            </w:r>
            <w:r w:rsidR="000A56AF" w:rsidRPr="00857CDA">
              <w:rPr>
                <w:rFonts w:eastAsia="Calibri"/>
                <w:lang w:val="ro-RO"/>
              </w:rPr>
              <w:t>× k3(n;</w:t>
            </w:r>
            <w:r w:rsidR="00F046DF" w:rsidRPr="00857CDA">
              <w:rPr>
                <w:rFonts w:eastAsia="Calibri"/>
                <w:lang w:val="ro-RO"/>
              </w:rPr>
              <w:t xml:space="preserve"> </w:t>
            </w:r>
            <w:r w:rsidR="000A56AF" w:rsidRPr="00857CDA">
              <w:rPr>
                <w:rFonts w:eastAsia="Calibri"/>
                <w:lang w:val="ro-RO"/>
              </w:rPr>
              <w:t>p;</w:t>
            </w:r>
            <w:r w:rsidR="00F046DF" w:rsidRPr="00857CDA">
              <w:rPr>
                <w:rFonts w:eastAsia="Calibri"/>
                <w:lang w:val="ro-RO"/>
              </w:rPr>
              <w:t xml:space="preserve"> </w:t>
            </w:r>
            <w:r w:rsidR="000A56AF" w:rsidRPr="00857CDA">
              <w:rPr>
                <w:rFonts w:eastAsia="Calibri"/>
                <w:lang w:val="ro-RO"/>
              </w:rPr>
              <w:t xml:space="preserve">1- α) </w:t>
            </w:r>
            <w:r w:rsidRPr="00857CDA">
              <w:rPr>
                <w:b/>
                <w:szCs w:val="18"/>
                <w:vertAlign w:val="superscript"/>
                <w:lang w:val="ro-RO"/>
              </w:rPr>
              <w:t>a</w:t>
            </w:r>
          </w:p>
          <w:p w:rsidR="000A56AF" w:rsidRPr="00857CDA" w:rsidRDefault="00AD0EEC" w:rsidP="00AD0EEC">
            <w:pPr>
              <w:suppressAutoHyphens w:val="0"/>
              <w:spacing w:line="240" w:lineRule="auto"/>
              <w:ind w:left="-113" w:right="-113"/>
              <w:jc w:val="center"/>
              <w:rPr>
                <w:rFonts w:eastAsia="Calibri"/>
                <w:lang w:val="ro-RO"/>
              </w:rPr>
            </w:pPr>
            <w:r w:rsidRPr="00857CDA">
              <w:rPr>
                <w:rFonts w:eastAsia="Calibri"/>
                <w:lang w:val="ro-RO"/>
              </w:rPr>
              <w:t>Niciun rezultat individual nu trebuie să fie mai mic decât presiunea de încercare</w:t>
            </w:r>
          </w:p>
        </w:tc>
        <w:tc>
          <w:tcPr>
            <w:tcW w:w="1984" w:type="dxa"/>
            <w:tcBorders>
              <w:top w:val="single" w:sz="4" w:space="0" w:color="auto"/>
              <w:left w:val="single" w:sz="6" w:space="0" w:color="auto"/>
              <w:right w:val="single" w:sz="6" w:space="0" w:color="auto"/>
            </w:tcBorders>
            <w:tcMar>
              <w:top w:w="0" w:type="dxa"/>
              <w:left w:w="108" w:type="dxa"/>
              <w:bottom w:w="0" w:type="dxa"/>
              <w:right w:w="108" w:type="dxa"/>
            </w:tcMar>
            <w:vAlign w:val="center"/>
          </w:tcPr>
          <w:p w:rsidR="00AD0EEC" w:rsidRPr="00857CDA" w:rsidRDefault="000A56AF" w:rsidP="00AD0EEC">
            <w:pPr>
              <w:suppressAutoHyphens w:val="0"/>
              <w:spacing w:line="240" w:lineRule="auto"/>
              <w:jc w:val="center"/>
              <w:rPr>
                <w:rFonts w:eastAsia="Calibri"/>
                <w:lang w:val="ro-RO"/>
              </w:rPr>
            </w:pPr>
            <w:r w:rsidRPr="00857CDA">
              <w:rPr>
                <w:rFonts w:eastAsia="Calibri"/>
                <w:lang w:val="ro-RO"/>
              </w:rPr>
              <w:object w:dxaOrig="480" w:dyaOrig="380">
                <v:shape id="_x0000_i1027" type="#_x0000_t75" style="width:24.75pt;height:18pt" o:ole="">
                  <v:imagedata r:id="rId24" o:title=""/>
                </v:shape>
                <o:OLEObject Type="Embed" ProgID="Equation.3" ShapeID="_x0000_i1027" DrawAspect="Content" ObjectID="_1622382866" r:id="rId25"/>
              </w:object>
            </w:r>
            <w:r w:rsidRPr="00857CDA">
              <w:rPr>
                <w:rFonts w:eastAsia="Calibri"/>
                <w:lang w:val="ro-RO"/>
              </w:rPr>
              <w:t xml:space="preserve"> sau </w:t>
            </w:r>
            <w:r w:rsidRPr="00857CDA">
              <w:rPr>
                <w:rFonts w:eastAsia="Calibri"/>
                <w:lang w:val="ro-RO"/>
              </w:rPr>
              <w:object w:dxaOrig="660" w:dyaOrig="300">
                <v:shape id="_x0000_i1028" type="#_x0000_t75" style="width:33pt;height:15.75pt" o:ole="">
                  <v:imagedata r:id="rId26" o:title=""/>
                </v:shape>
                <o:OLEObject Type="Embed" ProgID="Equation.3" ShapeID="_x0000_i1028" DrawAspect="Content" ObjectID="_1622382867" r:id="rId27"/>
              </w:object>
            </w:r>
            <w:r w:rsidRPr="00857CDA">
              <w:rPr>
                <w:rFonts w:eastAsia="Calibri"/>
                <w:lang w:val="ro-RO"/>
              </w:rPr>
              <w:t xml:space="preserve"> </w:t>
            </w:r>
            <w:r w:rsidRPr="00857CDA">
              <w:rPr>
                <w:rFonts w:eastAsia="Calibri"/>
                <w:lang w:val="ro-RO"/>
              </w:rPr>
              <w:br/>
            </w:r>
            <w:r w:rsidR="00AD0EEC" w:rsidRPr="00857CDA">
              <w:rPr>
                <w:rFonts w:eastAsia="Calibri"/>
                <w:lang w:val="ro-RO"/>
              </w:rPr>
              <w:t>va fi reținută valoarea cea mai mică,</w:t>
            </w:r>
          </w:p>
          <w:p w:rsidR="00AD0EEC" w:rsidRPr="00857CDA" w:rsidRDefault="00AD0EEC" w:rsidP="00AD0EEC">
            <w:pPr>
              <w:suppressAutoHyphens w:val="0"/>
              <w:spacing w:line="240" w:lineRule="auto"/>
              <w:jc w:val="center"/>
              <w:rPr>
                <w:rFonts w:eastAsia="Calibri"/>
                <w:lang w:val="ro-RO"/>
              </w:rPr>
            </w:pPr>
            <w:r w:rsidRPr="00857CDA">
              <w:rPr>
                <w:rFonts w:eastAsia="Calibri"/>
                <w:lang w:val="ro-RO"/>
              </w:rPr>
              <w:t>și</w:t>
            </w:r>
          </w:p>
          <w:p w:rsidR="00AD0EEC" w:rsidRPr="00857CDA" w:rsidRDefault="00AD0EEC" w:rsidP="00AD0EEC">
            <w:pPr>
              <w:suppressAutoHyphens w:val="0"/>
              <w:spacing w:line="240" w:lineRule="auto"/>
              <w:jc w:val="center"/>
              <w:rPr>
                <w:rFonts w:eastAsia="Calibri"/>
                <w:lang w:val="ro-RO"/>
              </w:rPr>
            </w:pPr>
            <w:r w:rsidRPr="00857CDA">
              <w:rPr>
                <w:rFonts w:eastAsia="Calibri"/>
                <w:lang w:val="ro-RO"/>
              </w:rPr>
              <w:t xml:space="preserve">un minim de 40 </w:t>
            </w:r>
          </w:p>
          <w:p w:rsidR="000A56AF" w:rsidRPr="00857CDA" w:rsidRDefault="00AD0EEC" w:rsidP="00AD0EEC">
            <w:pPr>
              <w:suppressAutoHyphens w:val="0"/>
              <w:spacing w:line="240" w:lineRule="auto"/>
              <w:jc w:val="center"/>
              <w:rPr>
                <w:rFonts w:eastAsia="Calibri"/>
                <w:lang w:val="ro-RO"/>
              </w:rPr>
            </w:pPr>
            <w:r w:rsidRPr="00857CDA">
              <w:rPr>
                <w:rFonts w:eastAsia="Calibri"/>
                <w:lang w:val="ro-RO"/>
              </w:rPr>
              <w:t>pe sub-grup (Q)</w:t>
            </w:r>
          </w:p>
        </w:tc>
      </w:tr>
      <w:tr w:rsidR="000A56AF" w:rsidRPr="00857CDA" w:rsidTr="00AF3F82">
        <w:trPr>
          <w:trHeight w:hRule="exact" w:val="957"/>
          <w:jc w:val="center"/>
        </w:trPr>
        <w:tc>
          <w:tcPr>
            <w:tcW w:w="1276" w:type="dxa"/>
            <w:vMerge/>
            <w:tcBorders>
              <w:left w:val="single" w:sz="12" w:space="0" w:color="auto"/>
              <w:right w:val="single" w:sz="6" w:space="0" w:color="auto"/>
            </w:tcBorders>
            <w:vAlign w:val="center"/>
            <w:hideMark/>
          </w:tcPr>
          <w:p w:rsidR="000A56AF" w:rsidRPr="00857CDA" w:rsidRDefault="000A56AF" w:rsidP="000A56AF">
            <w:pPr>
              <w:suppressAutoHyphens w:val="0"/>
              <w:spacing w:line="240" w:lineRule="auto"/>
              <w:jc w:val="center"/>
              <w:rPr>
                <w:rFonts w:eastAsia="Calibri"/>
                <w:lang w:val="ro-RO"/>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Jupuire și corosiune</w:t>
            </w:r>
          </w:p>
        </w:tc>
        <w:tc>
          <w:tcPr>
            <w:tcW w:w="15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AD0EEC">
            <w:pPr>
              <w:suppressAutoHyphens w:val="0"/>
              <w:spacing w:line="240" w:lineRule="auto"/>
              <w:jc w:val="center"/>
              <w:rPr>
                <w:rFonts w:eastAsia="Calibri"/>
                <w:lang w:val="ro-RO"/>
              </w:rPr>
            </w:pPr>
            <w:r w:rsidRPr="00857CDA">
              <w:rPr>
                <w:rFonts w:eastAsia="Calibri"/>
                <w:lang w:val="ro-RO"/>
              </w:rPr>
              <w:t>EN ISO 4628-3:</w:t>
            </w:r>
            <w:r w:rsidR="00AD0EEC" w:rsidRPr="00857CDA">
              <w:rPr>
                <w:rFonts w:eastAsia="Calibri"/>
                <w:lang w:val="ro-RO"/>
              </w:rPr>
              <w:t xml:space="preserve"> </w:t>
            </w:r>
            <w:r w:rsidRPr="00857CDA">
              <w:rPr>
                <w:rFonts w:eastAsia="Calibri"/>
                <w:lang w:val="ro-RO"/>
              </w:rPr>
              <w:t>20</w:t>
            </w:r>
            <w:r w:rsidR="00AD0EEC" w:rsidRPr="00857CDA">
              <w:rPr>
                <w:rFonts w:eastAsia="Calibri"/>
                <w:lang w:val="ro-RO"/>
              </w:rPr>
              <w:t>16</w:t>
            </w:r>
          </w:p>
        </w:tc>
        <w:tc>
          <w:tcPr>
            <w:tcW w:w="30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lang w:val="ro-RO"/>
              </w:rPr>
              <w:t>Grad de corosiune</w:t>
            </w:r>
            <w:r w:rsidR="00AD0EEC" w:rsidRPr="00857CDA">
              <w:rPr>
                <w:rFonts w:eastAsia="Calibri"/>
                <w:lang w:val="ro-RO"/>
              </w:rPr>
              <w:t xml:space="preserve"> maxim</w:t>
            </w:r>
            <w:r w:rsidRPr="00857CDA">
              <w:rPr>
                <w:rFonts w:eastAsia="Calibri"/>
                <w:lang w:val="ro-RO"/>
              </w:rPr>
              <w:t>:</w:t>
            </w:r>
          </w:p>
          <w:p w:rsidR="000A56AF" w:rsidRPr="00857CDA" w:rsidRDefault="000A56AF" w:rsidP="000A56AF">
            <w:pPr>
              <w:suppressAutoHyphens w:val="0"/>
              <w:spacing w:line="240" w:lineRule="auto"/>
              <w:jc w:val="center"/>
              <w:rPr>
                <w:rFonts w:eastAsia="Calibri"/>
                <w:lang w:val="ro-RO"/>
              </w:rPr>
            </w:pPr>
            <w:r w:rsidRPr="00857CDA">
              <w:rPr>
                <w:rFonts w:eastAsia="Calibri"/>
                <w:lang w:val="ro-RO"/>
              </w:rPr>
              <w:t>Ri2</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0A56AF" w:rsidRPr="00857CDA" w:rsidRDefault="000A56AF" w:rsidP="000A56AF">
            <w:pPr>
              <w:suppressAutoHyphens w:val="0"/>
              <w:spacing w:line="240" w:lineRule="auto"/>
              <w:jc w:val="center"/>
              <w:rPr>
                <w:rFonts w:eastAsia="Calibri"/>
                <w:lang w:val="ro-RO"/>
              </w:rPr>
            </w:pPr>
            <w:r w:rsidRPr="00857CDA">
              <w:rPr>
                <w:rFonts w:eastAsia="Calibri"/>
                <w:iCs/>
                <w:lang w:val="ro-RO"/>
              </w:rPr>
              <w:t>Q</w:t>
            </w:r>
            <w:r w:rsidRPr="00857CDA">
              <w:rPr>
                <w:rFonts w:eastAsia="Calibri"/>
                <w:lang w:val="ro-RO"/>
              </w:rPr>
              <w:t>/1000</w:t>
            </w:r>
          </w:p>
        </w:tc>
      </w:tr>
      <w:tr w:rsidR="000A56AF" w:rsidRPr="0079052F" w:rsidTr="00AF3F82">
        <w:trPr>
          <w:trHeight w:hRule="exact" w:val="1630"/>
          <w:jc w:val="center"/>
        </w:trPr>
        <w:tc>
          <w:tcPr>
            <w:tcW w:w="1276" w:type="dxa"/>
            <w:vMerge/>
            <w:tcBorders>
              <w:left w:val="single" w:sz="12" w:space="0" w:color="auto"/>
              <w:bottom w:val="single" w:sz="6" w:space="0" w:color="auto"/>
              <w:right w:val="single" w:sz="6" w:space="0" w:color="auto"/>
            </w:tcBorders>
            <w:vAlign w:val="center"/>
          </w:tcPr>
          <w:p w:rsidR="000A56AF" w:rsidRPr="00857CDA" w:rsidRDefault="000A56AF" w:rsidP="000A56AF">
            <w:pPr>
              <w:suppressAutoHyphens w:val="0"/>
              <w:spacing w:line="240" w:lineRule="auto"/>
              <w:jc w:val="center"/>
              <w:rPr>
                <w:rFonts w:eastAsia="Calibri"/>
                <w:lang w:val="ro-RO"/>
              </w:rPr>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A56AF" w:rsidRPr="00857CDA" w:rsidRDefault="000A56AF" w:rsidP="00F046DF">
            <w:pPr>
              <w:suppressAutoHyphens w:val="0"/>
              <w:spacing w:line="240" w:lineRule="auto"/>
              <w:jc w:val="center"/>
              <w:rPr>
                <w:rFonts w:eastAsia="Calibri"/>
                <w:lang w:val="ro-RO"/>
              </w:rPr>
            </w:pPr>
            <w:r w:rsidRPr="00857CDA">
              <w:rPr>
                <w:rFonts w:eastAsia="Calibri"/>
                <w:lang w:val="ro-RO"/>
              </w:rPr>
              <w:t>Ade</w:t>
            </w:r>
            <w:r w:rsidR="00F046DF" w:rsidRPr="00857CDA">
              <w:rPr>
                <w:rFonts w:eastAsia="Calibri"/>
                <w:lang w:val="ro-RO"/>
              </w:rPr>
              <w:t xml:space="preserve">rența </w:t>
            </w:r>
            <w:r w:rsidRPr="00857CDA">
              <w:rPr>
                <w:rFonts w:eastAsia="Calibri"/>
                <w:lang w:val="ro-RO"/>
              </w:rPr>
              <w:t>poliureta-nului</w:t>
            </w:r>
          </w:p>
        </w:tc>
        <w:tc>
          <w:tcPr>
            <w:tcW w:w="15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D0EEC" w:rsidRPr="00857CDA" w:rsidRDefault="00AD0EEC" w:rsidP="00AD0EEC">
            <w:pPr>
              <w:suppressAutoHyphens w:val="0"/>
              <w:spacing w:line="240" w:lineRule="auto"/>
              <w:jc w:val="center"/>
              <w:rPr>
                <w:rFonts w:eastAsia="Calibri"/>
                <w:sz w:val="18"/>
                <w:lang w:val="ro-RO"/>
              </w:rPr>
            </w:pPr>
            <w:r w:rsidRPr="00857CDA">
              <w:rPr>
                <w:rFonts w:eastAsia="Calibri"/>
                <w:sz w:val="18"/>
                <w:lang w:val="ro-RO"/>
              </w:rPr>
              <w:t>ISO 2859-1:1999 + A1:2011</w:t>
            </w:r>
          </w:p>
          <w:p w:rsidR="00AD0EEC" w:rsidRPr="00857CDA" w:rsidRDefault="00AD0EEC" w:rsidP="00AD0EEC">
            <w:pPr>
              <w:suppressAutoHyphens w:val="0"/>
              <w:spacing w:line="240" w:lineRule="auto"/>
              <w:jc w:val="center"/>
              <w:rPr>
                <w:rFonts w:eastAsia="Calibri"/>
                <w:sz w:val="18"/>
                <w:lang w:val="ro-RO"/>
              </w:rPr>
            </w:pPr>
            <w:r w:rsidRPr="00857CDA">
              <w:rPr>
                <w:rFonts w:eastAsia="Calibri"/>
                <w:sz w:val="18"/>
                <w:lang w:val="ro-RO"/>
              </w:rPr>
              <w:t>EN 1442:2017</w:t>
            </w:r>
          </w:p>
          <w:p w:rsidR="000A56AF" w:rsidRPr="00857CDA" w:rsidRDefault="00AD0EEC" w:rsidP="00AD0EEC">
            <w:pPr>
              <w:suppressAutoHyphens w:val="0"/>
              <w:spacing w:line="240" w:lineRule="auto"/>
              <w:jc w:val="center"/>
              <w:rPr>
                <w:rFonts w:eastAsia="Calibri"/>
                <w:lang w:val="ro-RO"/>
              </w:rPr>
            </w:pPr>
            <w:r w:rsidRPr="00857CDA">
              <w:rPr>
                <w:rFonts w:eastAsia="Calibri"/>
                <w:sz w:val="18"/>
                <w:lang w:val="ro-RO"/>
              </w:rPr>
              <w:t>EN 14140:2014 + AC:2015</w:t>
            </w:r>
          </w:p>
        </w:tc>
        <w:tc>
          <w:tcPr>
            <w:tcW w:w="30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A56AF" w:rsidRPr="00857CDA" w:rsidRDefault="00AD0EEC" w:rsidP="00AD0EEC">
            <w:pPr>
              <w:suppressAutoHyphens w:val="0"/>
              <w:spacing w:line="240" w:lineRule="auto"/>
              <w:jc w:val="center"/>
              <w:rPr>
                <w:rFonts w:eastAsia="Calibri"/>
                <w:lang w:val="ro-RO"/>
              </w:rPr>
            </w:pPr>
            <w:r w:rsidRPr="00857CDA">
              <w:rPr>
                <w:rFonts w:eastAsia="Calibri"/>
                <w:lang w:val="ro-RO"/>
              </w:rPr>
              <w:t>Valoarea de</w:t>
            </w:r>
            <w:r w:rsidR="000A56AF" w:rsidRPr="00857CDA">
              <w:rPr>
                <w:rFonts w:eastAsia="Calibri"/>
                <w:lang w:val="ro-RO"/>
              </w:rPr>
              <w:t xml:space="preserve"> ade</w:t>
            </w:r>
            <w:r w:rsidR="00F046DF" w:rsidRPr="00857CDA">
              <w:rPr>
                <w:rFonts w:eastAsia="Calibri"/>
                <w:lang w:val="ro-RO"/>
              </w:rPr>
              <w:t>rență</w:t>
            </w:r>
            <w:r w:rsidR="000A56AF" w:rsidRPr="00857CDA">
              <w:rPr>
                <w:rFonts w:eastAsia="Calibri"/>
                <w:lang w:val="ro-RO"/>
              </w:rPr>
              <w:t xml:space="preserve"> &gt; 0,5 N/mm²</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A56AF" w:rsidRPr="00857CDA" w:rsidRDefault="00AD0EEC" w:rsidP="00AD0EEC">
            <w:pPr>
              <w:suppressAutoHyphens w:val="0"/>
              <w:spacing w:line="240" w:lineRule="auto"/>
              <w:jc w:val="center"/>
              <w:rPr>
                <w:rFonts w:eastAsia="Calibri"/>
                <w:lang w:val="ro-RO"/>
              </w:rPr>
            </w:pPr>
            <w:r w:rsidRPr="00857CDA">
              <w:rPr>
                <w:rFonts w:eastAsia="Calibri"/>
                <w:lang w:val="ro-RO"/>
              </w:rPr>
              <w:t>a</w:t>
            </w:r>
            <w:r w:rsidR="000A56AF" w:rsidRPr="00857CDA">
              <w:rPr>
                <w:rFonts w:eastAsia="Calibri"/>
                <w:lang w:val="ro-RO"/>
              </w:rPr>
              <w:t xml:space="preserve"> se vedea ISO 2859-1:</w:t>
            </w:r>
            <w:r w:rsidRPr="00857CDA">
              <w:rPr>
                <w:rFonts w:eastAsia="Calibri"/>
                <w:lang w:val="ro-RO"/>
              </w:rPr>
              <w:t>1999 + A1:</w:t>
            </w:r>
            <w:r w:rsidR="000A56AF" w:rsidRPr="00857CDA">
              <w:rPr>
                <w:rFonts w:eastAsia="Calibri"/>
                <w:lang w:val="ro-RO"/>
              </w:rPr>
              <w:t>20</w:t>
            </w:r>
            <w:r w:rsidRPr="00857CDA">
              <w:rPr>
                <w:rFonts w:eastAsia="Calibri"/>
                <w:lang w:val="ro-RO"/>
              </w:rPr>
              <w:t>11</w:t>
            </w:r>
            <w:r w:rsidR="000A56AF" w:rsidRPr="00857CDA">
              <w:rPr>
                <w:rFonts w:eastAsia="Calibri"/>
                <w:lang w:val="ro-RO"/>
              </w:rPr>
              <w:t xml:space="preserve"> aplicabil pentru Q/1000</w:t>
            </w:r>
          </w:p>
        </w:tc>
      </w:tr>
    </w:tbl>
    <w:p w:rsidR="000A56AF" w:rsidRPr="00857CDA" w:rsidRDefault="00F046DF" w:rsidP="001D6162">
      <w:pPr>
        <w:suppressAutoHyphens w:val="0"/>
        <w:spacing w:line="240" w:lineRule="auto"/>
        <w:ind w:left="567" w:hanging="141"/>
        <w:jc w:val="both"/>
        <w:rPr>
          <w:rFonts w:eastAsia="Calibri"/>
          <w:i/>
          <w:lang w:val="ro-RO"/>
        </w:rPr>
      </w:pPr>
      <w:r w:rsidRPr="00857CDA">
        <w:rPr>
          <w:b/>
          <w:szCs w:val="18"/>
          <w:vertAlign w:val="superscript"/>
          <w:lang w:val="ro-RO"/>
        </w:rPr>
        <w:t>a</w:t>
      </w:r>
      <w:r w:rsidR="000A56AF" w:rsidRPr="00857CDA">
        <w:rPr>
          <w:rFonts w:eastAsia="Calibri"/>
          <w:lang w:val="ro-RO"/>
        </w:rPr>
        <w:t xml:space="preserve"> </w:t>
      </w:r>
      <w:r w:rsidRPr="00857CDA">
        <w:rPr>
          <w:rFonts w:eastAsia="Calibri"/>
          <w:lang w:val="ro-RO"/>
        </w:rPr>
        <w:tab/>
      </w:r>
      <w:r w:rsidR="00AD0EEC" w:rsidRPr="00857CDA">
        <w:rPr>
          <w:rFonts w:eastAsia="Calibri"/>
          <w:i/>
          <w:lang w:val="ro-RO"/>
        </w:rPr>
        <w:t xml:space="preserve">Punctul de presiune de rezistență la plesnire (BPP) </w:t>
      </w:r>
      <w:r w:rsidR="000A56AF" w:rsidRPr="00857CDA">
        <w:rPr>
          <w:rFonts w:eastAsia="Calibri"/>
          <w:i/>
          <w:lang w:val="ro-RO"/>
        </w:rPr>
        <w:t>al eșantionului</w:t>
      </w:r>
      <w:r w:rsidR="00AD0EEC" w:rsidRPr="00857CDA">
        <w:rPr>
          <w:rFonts w:eastAsia="Calibri"/>
          <w:i/>
          <w:lang w:val="ro-RO"/>
        </w:rPr>
        <w:t xml:space="preserve"> reprezentativ este utilizat pentru evaluarea rezultatelor</w:t>
      </w:r>
      <w:r w:rsidR="00B268E1" w:rsidRPr="00857CDA">
        <w:rPr>
          <w:rFonts w:eastAsia="Calibri"/>
          <w:i/>
          <w:lang w:val="ro-RO"/>
        </w:rPr>
        <w:t xml:space="preserve"> în</w:t>
      </w:r>
      <w:r w:rsidR="007C648C" w:rsidRPr="00857CDA">
        <w:rPr>
          <w:rFonts w:eastAsia="Calibri"/>
          <w:i/>
          <w:lang w:val="ro-RO"/>
        </w:rPr>
        <w:t>cercării prin intermediul unui Graficul</w:t>
      </w:r>
      <w:r w:rsidR="00B268E1" w:rsidRPr="00857CDA">
        <w:rPr>
          <w:rFonts w:eastAsia="Calibri"/>
          <w:i/>
          <w:lang w:val="ro-RO"/>
        </w:rPr>
        <w:t xml:space="preserve"> de Performanță a eșantioanelor</w:t>
      </w:r>
      <w:r w:rsidR="000A56AF" w:rsidRPr="00857CDA">
        <w:rPr>
          <w:rFonts w:eastAsia="Calibri"/>
          <w:i/>
          <w:lang w:val="ro-RO"/>
        </w:rPr>
        <w:t>:</w:t>
      </w:r>
    </w:p>
    <w:p w:rsidR="00F046DF" w:rsidRPr="00857CDA" w:rsidRDefault="000A56AF" w:rsidP="00F046DF">
      <w:pPr>
        <w:suppressAutoHyphens w:val="0"/>
        <w:spacing w:line="240" w:lineRule="auto"/>
        <w:ind w:left="567"/>
        <w:jc w:val="both"/>
        <w:rPr>
          <w:rFonts w:eastAsia="Calibri"/>
          <w:i/>
          <w:lang w:val="ro-RO"/>
        </w:rPr>
      </w:pPr>
      <w:r w:rsidRPr="00857CDA">
        <w:rPr>
          <w:rFonts w:eastAsia="Calibri"/>
          <w:i/>
          <w:u w:val="single"/>
          <w:lang w:val="ro-RO"/>
        </w:rPr>
        <w:t>Pasul 1</w:t>
      </w:r>
      <w:r w:rsidRPr="00857CDA">
        <w:rPr>
          <w:rFonts w:eastAsia="Calibri"/>
          <w:i/>
          <w:lang w:val="ro-RO"/>
        </w:rPr>
        <w:t xml:space="preserve">: Determinarea punctului de presiune de </w:t>
      </w:r>
      <w:r w:rsidR="00B268E1" w:rsidRPr="00857CDA">
        <w:rPr>
          <w:rFonts w:eastAsia="Calibri"/>
          <w:i/>
          <w:lang w:val="ro-RO"/>
        </w:rPr>
        <w:t>rezistență la plesnire</w:t>
      </w:r>
      <w:r w:rsidRPr="00857CDA">
        <w:rPr>
          <w:rFonts w:eastAsia="Calibri"/>
          <w:i/>
          <w:lang w:val="ro-RO"/>
        </w:rPr>
        <w:t xml:space="preserve"> (BPP) al unui eșantion</w:t>
      </w:r>
      <w:r w:rsidR="00B268E1" w:rsidRPr="00857CDA">
        <w:rPr>
          <w:rFonts w:eastAsia="Calibri"/>
          <w:i/>
          <w:lang w:val="ro-RO"/>
        </w:rPr>
        <w:t xml:space="preserve"> reprezentativ</w:t>
      </w:r>
    </w:p>
    <w:p w:rsidR="00342D08" w:rsidRPr="00857CDA" w:rsidRDefault="000A56AF" w:rsidP="001D6162">
      <w:pPr>
        <w:suppressAutoHyphens w:val="0"/>
        <w:spacing w:line="240" w:lineRule="auto"/>
        <w:ind w:left="567"/>
        <w:jc w:val="both"/>
        <w:rPr>
          <w:rFonts w:eastAsia="Calibri"/>
          <w:i/>
          <w:lang w:val="ro-RO"/>
        </w:rPr>
      </w:pPr>
      <w:r w:rsidRPr="00857CDA">
        <w:rPr>
          <w:rFonts w:eastAsia="Calibri"/>
          <w:i/>
          <w:lang w:val="ro-RO"/>
        </w:rPr>
        <w:t xml:space="preserve">Fiecare eșantion este reprezentat </w:t>
      </w:r>
      <w:r w:rsidR="00B268E1" w:rsidRPr="00857CDA">
        <w:rPr>
          <w:rFonts w:eastAsia="Calibri"/>
          <w:i/>
          <w:lang w:val="ro-RO"/>
        </w:rPr>
        <w:t>printr-</w:t>
      </w:r>
      <w:r w:rsidRPr="00857CDA">
        <w:rPr>
          <w:rFonts w:eastAsia="Calibri"/>
          <w:i/>
          <w:lang w:val="ro-RO"/>
        </w:rPr>
        <w:t xml:space="preserve">un punct ale cărui coordonate sunt reprezentate de </w:t>
      </w:r>
      <w:r w:rsidR="00B268E1" w:rsidRPr="00857CDA">
        <w:rPr>
          <w:rFonts w:eastAsia="Calibri"/>
          <w:i/>
          <w:lang w:val="ro-RO"/>
        </w:rPr>
        <w:t>valoarea</w:t>
      </w:r>
      <w:r w:rsidRPr="00857CDA">
        <w:rPr>
          <w:rFonts w:eastAsia="Calibri"/>
          <w:i/>
          <w:lang w:val="ro-RO"/>
        </w:rPr>
        <w:t xml:space="preserve"> medie și </w:t>
      </w:r>
      <w:r w:rsidR="00B268E1" w:rsidRPr="00857CDA">
        <w:rPr>
          <w:rFonts w:eastAsia="Calibri"/>
          <w:i/>
          <w:lang w:val="ro-RO"/>
        </w:rPr>
        <w:t>abaterea standard a rezultatelor încercărilor de r</w:t>
      </w:r>
      <w:r w:rsidR="001D6162" w:rsidRPr="00857CDA">
        <w:rPr>
          <w:rFonts w:eastAsia="Calibri"/>
          <w:i/>
          <w:lang w:val="ro-RO"/>
        </w:rPr>
        <w:t>ezistență la plesnire</w:t>
      </w:r>
      <w:r w:rsidR="00B268E1" w:rsidRPr="00857CDA">
        <w:rPr>
          <w:rFonts w:eastAsia="Calibri"/>
          <w:i/>
          <w:lang w:val="ro-RO"/>
        </w:rPr>
        <w:t xml:space="preserve"> a eșantionului, fiecare fiind </w:t>
      </w:r>
      <w:r w:rsidR="001D6162" w:rsidRPr="00857CDA">
        <w:rPr>
          <w:rFonts w:eastAsia="Calibri"/>
          <w:i/>
          <w:lang w:val="ro-RO"/>
        </w:rPr>
        <w:t>ponderată</w:t>
      </w:r>
      <w:r w:rsidR="00B268E1" w:rsidRPr="00857CDA">
        <w:rPr>
          <w:rFonts w:eastAsia="Calibri"/>
          <w:i/>
          <w:lang w:val="ro-RO"/>
        </w:rPr>
        <w:t xml:space="preserve"> prin presiunea de încercare corespunzătoare</w:t>
      </w:r>
      <w:r w:rsidRPr="00857CDA">
        <w:rPr>
          <w:rFonts w:eastAsia="Calibri"/>
          <w:i/>
          <w:lang w:val="ro-RO"/>
        </w:rPr>
        <w:t>.</w:t>
      </w:r>
    </w:p>
    <w:p w:rsidR="00342D08" w:rsidRPr="00857CDA" w:rsidRDefault="00342D08" w:rsidP="00342D08">
      <w:pPr>
        <w:spacing w:after="120"/>
        <w:ind w:left="1701" w:right="1134"/>
        <w:jc w:val="center"/>
        <w:rPr>
          <w:i/>
          <w:lang w:val="ro-RO"/>
        </w:rPr>
      </w:pPr>
      <m:oMathPara>
        <m:oMath>
          <m:r>
            <w:rPr>
              <w:rFonts w:ascii="Cambria Math" w:hAnsi="Cambria Math"/>
              <w:lang w:val="ro-RO"/>
            </w:rPr>
            <m:t>BPP:(</m:t>
          </m:r>
          <m:sSub>
            <m:sSubPr>
              <m:ctrlPr>
                <w:rPr>
                  <w:rFonts w:ascii="Cambria Math" w:hAnsi="Cambria Math"/>
                  <w:i/>
                  <w:lang w:val="ro-RO"/>
                </w:rPr>
              </m:ctrlPr>
            </m:sSubPr>
            <m:e>
              <m:r>
                <m:rPr>
                  <m:sty m:val="p"/>
                </m:rPr>
                <w:rPr>
                  <w:rFonts w:ascii="Cambria Math" w:hAnsi="Cambria Math"/>
                  <w:position w:val="-4"/>
                  <w:lang w:val="ro-RO"/>
                </w:rPr>
                <w:object w:dxaOrig="255" w:dyaOrig="255">
                  <v:shape id="_x0000_i1029" type="#_x0000_t75" style="width:10.5pt;height:10.5pt" o:ole="">
                    <v:imagedata r:id="rId28" o:title=""/>
                  </v:shape>
                  <o:OLEObject Type="Embed" ProgID="Equation.3" ShapeID="_x0000_i1029" DrawAspect="Content" ObjectID="_1622382868" r:id="rId29"/>
                </w:object>
              </m:r>
            </m:e>
            <m:sub>
              <m:r>
                <w:rPr>
                  <w:rFonts w:ascii="Cambria Math" w:hAnsi="Cambria Math"/>
                  <w:lang w:val="ro-RO"/>
                </w:rPr>
                <m:t>s</m:t>
              </m:r>
            </m:sub>
          </m:sSub>
          <m:r>
            <w:rPr>
              <w:rFonts w:ascii="Cambria Math" w:hAnsi="Cambria Math"/>
              <w:lang w:val="ro-RO"/>
            </w:rPr>
            <m:t xml:space="preserve">= </m:t>
          </m:r>
          <m:f>
            <m:fPr>
              <m:ctrlPr>
                <w:rPr>
                  <w:rFonts w:ascii="Cambria Math" w:hAnsi="Cambria Math"/>
                  <w:i/>
                  <w:lang w:val="ro-RO"/>
                </w:rPr>
              </m:ctrlPr>
            </m:fPr>
            <m:num>
              <m:r>
                <w:rPr>
                  <w:rFonts w:ascii="Cambria Math" w:hAnsi="Cambria Math"/>
                  <w:lang w:val="ro-RO"/>
                </w:rPr>
                <m:t>s</m:t>
              </m:r>
            </m:num>
            <m:den>
              <m:r>
                <w:rPr>
                  <w:rFonts w:ascii="Cambria Math" w:hAnsi="Cambria Math"/>
                  <w:lang w:val="ro-RO"/>
                </w:rPr>
                <m:t>PH</m:t>
              </m:r>
            </m:den>
          </m:f>
          <m:r>
            <w:rPr>
              <w:rFonts w:ascii="Cambria Math" w:hAnsi="Cambria Math"/>
              <w:lang w:val="ro-RO"/>
            </w:rPr>
            <m:t xml:space="preserve">; </m:t>
          </m:r>
          <m:sSub>
            <m:sSubPr>
              <m:ctrlPr>
                <w:rPr>
                  <w:rFonts w:ascii="Cambria Math" w:hAnsi="Cambria Math"/>
                  <w:i/>
                  <w:lang w:val="ro-RO"/>
                </w:rPr>
              </m:ctrlPr>
            </m:sSubPr>
            <m:e>
              <m:r>
                <m:rPr>
                  <m:sty m:val="p"/>
                </m:rPr>
                <w:rPr>
                  <w:rFonts w:ascii="Cambria Math" w:hAnsi="Cambria Math"/>
                  <w:position w:val="-4"/>
                  <w:lang w:val="ro-RO"/>
                </w:rPr>
                <w:object w:dxaOrig="255" w:dyaOrig="255">
                  <v:shape id="_x0000_i1030" type="#_x0000_t75" style="width:10.5pt;height:10.5pt" o:ole="">
                    <v:imagedata r:id="rId28" o:title=""/>
                  </v:shape>
                  <o:OLEObject Type="Embed" ProgID="Equation.3" ShapeID="_x0000_i1030" DrawAspect="Content" ObjectID="_1622382869" r:id="rId30"/>
                </w:object>
              </m:r>
            </m:e>
            <m:sub>
              <m:r>
                <w:rPr>
                  <w:rFonts w:ascii="Cambria Math" w:hAnsi="Cambria Math"/>
                  <w:lang w:val="ro-RO"/>
                </w:rPr>
                <m:t>m</m:t>
              </m:r>
            </m:sub>
          </m:sSub>
          <m:r>
            <w:rPr>
              <w:rFonts w:ascii="Cambria Math" w:hAnsi="Cambria Math"/>
              <w:lang w:val="ro-RO"/>
            </w:rPr>
            <m:t xml:space="preserve">= </m:t>
          </m:r>
          <m:f>
            <m:fPr>
              <m:ctrlPr>
                <w:rPr>
                  <w:rFonts w:ascii="Cambria Math" w:hAnsi="Cambria Math"/>
                  <w:i/>
                  <w:lang w:val="ro-RO"/>
                </w:rPr>
              </m:ctrlPr>
            </m:fPr>
            <m:num>
              <m:r>
                <w:rPr>
                  <w:rFonts w:ascii="Cambria Math" w:hAnsi="Cambria Math"/>
                  <w:lang w:val="ro-RO"/>
                </w:rPr>
                <m:t>x</m:t>
              </m:r>
            </m:num>
            <m:den>
              <m:r>
                <w:rPr>
                  <w:rFonts w:ascii="Cambria Math" w:hAnsi="Cambria Math"/>
                  <w:lang w:val="ro-RO"/>
                </w:rPr>
                <m:t>PH</m:t>
              </m:r>
            </m:den>
          </m:f>
          <m:r>
            <w:rPr>
              <w:rFonts w:ascii="Cambria Math" w:hAnsi="Cambria Math"/>
              <w:lang w:val="ro-RO"/>
            </w:rPr>
            <m:t xml:space="preserve"> )</m:t>
          </m:r>
        </m:oMath>
      </m:oMathPara>
    </w:p>
    <w:p w:rsidR="00342D08" w:rsidRPr="00857CDA" w:rsidRDefault="001D6162" w:rsidP="00342D08">
      <w:pPr>
        <w:pStyle w:val="SingleTxtG"/>
        <w:rPr>
          <w:i/>
          <w:lang w:val="ro-RO"/>
        </w:rPr>
      </w:pPr>
      <w:r w:rsidRPr="00857CDA">
        <w:rPr>
          <w:i/>
          <w:lang w:val="ro-RO"/>
        </w:rPr>
        <w:t>unde</w:t>
      </w:r>
    </w:p>
    <w:p w:rsidR="00342D08" w:rsidRPr="00857CDA" w:rsidRDefault="00342D08" w:rsidP="00342D08">
      <w:pPr>
        <w:pStyle w:val="SingleTxtG"/>
        <w:rPr>
          <w:i/>
          <w:lang w:val="ro-RO"/>
        </w:rPr>
      </w:pPr>
      <w:r w:rsidRPr="00857CDA">
        <w:rPr>
          <w:i/>
          <w:lang w:val="ro-RO"/>
        </w:rPr>
        <w:t>x</w:t>
      </w:r>
      <w:r w:rsidR="00091658" w:rsidRPr="00857CDA">
        <w:rPr>
          <w:i/>
          <w:lang w:val="ro-RO"/>
        </w:rPr>
        <w:t>:</w:t>
      </w:r>
      <w:r w:rsidRPr="00857CDA">
        <w:rPr>
          <w:i/>
          <w:lang w:val="ro-RO"/>
        </w:rPr>
        <w:t xml:space="preserve"> val</w:t>
      </w:r>
      <w:r w:rsidR="001D6162" w:rsidRPr="00857CDA">
        <w:rPr>
          <w:i/>
          <w:lang w:val="ro-RO"/>
        </w:rPr>
        <w:t>oarea</w:t>
      </w:r>
      <w:r w:rsidRPr="00857CDA">
        <w:rPr>
          <w:i/>
          <w:lang w:val="ro-RO"/>
        </w:rPr>
        <w:t xml:space="preserve"> m</w:t>
      </w:r>
      <w:r w:rsidR="001D6162" w:rsidRPr="00857CDA">
        <w:rPr>
          <w:i/>
          <w:lang w:val="ro-RO"/>
        </w:rPr>
        <w:t>edie</w:t>
      </w:r>
      <w:r w:rsidR="007C648C" w:rsidRPr="00857CDA">
        <w:rPr>
          <w:i/>
          <w:lang w:val="ro-RO"/>
        </w:rPr>
        <w:t xml:space="preserve"> a eșantionului</w:t>
      </w:r>
      <w:r w:rsidRPr="00857CDA">
        <w:rPr>
          <w:i/>
          <w:lang w:val="ro-RO"/>
        </w:rPr>
        <w:t>;</w:t>
      </w:r>
    </w:p>
    <w:p w:rsidR="00342D08" w:rsidRPr="00857CDA" w:rsidRDefault="00342D08" w:rsidP="00342D08">
      <w:pPr>
        <w:pStyle w:val="SingleTxtG"/>
        <w:rPr>
          <w:i/>
          <w:lang w:val="ro-RO"/>
        </w:rPr>
      </w:pPr>
      <w:r w:rsidRPr="00857CDA">
        <w:rPr>
          <w:i/>
          <w:lang w:val="ro-RO"/>
        </w:rPr>
        <w:t>s</w:t>
      </w:r>
      <w:r w:rsidR="00091658" w:rsidRPr="00857CDA">
        <w:rPr>
          <w:i/>
          <w:lang w:val="ro-RO"/>
        </w:rPr>
        <w:t>:</w:t>
      </w:r>
      <w:r w:rsidRPr="00857CDA">
        <w:rPr>
          <w:i/>
          <w:lang w:val="ro-RO"/>
        </w:rPr>
        <w:t xml:space="preserve"> </w:t>
      </w:r>
      <w:r w:rsidR="007C648C" w:rsidRPr="00857CDA">
        <w:rPr>
          <w:i/>
          <w:lang w:val="ro-RO"/>
        </w:rPr>
        <w:t>abaterea standard a eșantionului</w:t>
      </w:r>
      <w:r w:rsidRPr="00857CDA">
        <w:rPr>
          <w:i/>
          <w:lang w:val="ro-RO"/>
        </w:rPr>
        <w:t>;</w:t>
      </w:r>
    </w:p>
    <w:p w:rsidR="00AF3F82" w:rsidRPr="00857CDA" w:rsidRDefault="00342D08" w:rsidP="00AF3F82">
      <w:pPr>
        <w:pStyle w:val="SingleTxtG"/>
        <w:rPr>
          <w:i/>
          <w:lang w:val="ro-RO"/>
        </w:rPr>
      </w:pPr>
      <w:r w:rsidRPr="00857CDA">
        <w:rPr>
          <w:i/>
          <w:lang w:val="ro-RO"/>
        </w:rPr>
        <w:t>PH</w:t>
      </w:r>
      <w:r w:rsidR="00091658" w:rsidRPr="00857CDA">
        <w:rPr>
          <w:i/>
          <w:lang w:val="ro-RO"/>
        </w:rPr>
        <w:t>:</w:t>
      </w:r>
      <w:r w:rsidRPr="00857CDA">
        <w:rPr>
          <w:i/>
          <w:lang w:val="ro-RO"/>
        </w:rPr>
        <w:t xml:space="preserve"> Presi</w:t>
      </w:r>
      <w:r w:rsidR="007C648C" w:rsidRPr="00857CDA">
        <w:rPr>
          <w:i/>
          <w:lang w:val="ro-RO"/>
        </w:rPr>
        <w:t>u</w:t>
      </w:r>
      <w:r w:rsidRPr="00857CDA">
        <w:rPr>
          <w:i/>
          <w:lang w:val="ro-RO"/>
        </w:rPr>
        <w:t>n</w:t>
      </w:r>
      <w:r w:rsidR="007C648C" w:rsidRPr="00857CDA">
        <w:rPr>
          <w:i/>
          <w:lang w:val="ro-RO"/>
        </w:rPr>
        <w:t>ea</w:t>
      </w:r>
      <w:r w:rsidRPr="00857CDA">
        <w:rPr>
          <w:i/>
          <w:lang w:val="ro-RO"/>
        </w:rPr>
        <w:t xml:space="preserve"> d</w:t>
      </w:r>
      <w:r w:rsidR="007C648C" w:rsidRPr="00857CDA">
        <w:rPr>
          <w:i/>
          <w:lang w:val="ro-RO"/>
        </w:rPr>
        <w:t>e încercare</w:t>
      </w:r>
      <w:r w:rsidRPr="00857CDA">
        <w:rPr>
          <w:i/>
          <w:lang w:val="ro-RO"/>
        </w:rPr>
        <w:t>.</w:t>
      </w:r>
    </w:p>
    <w:p w:rsidR="00AF3F82" w:rsidRPr="00857CDA" w:rsidRDefault="007C648C" w:rsidP="00AF3F82">
      <w:pPr>
        <w:pStyle w:val="SingleTxtG"/>
        <w:ind w:left="0" w:firstLine="567"/>
        <w:rPr>
          <w:i/>
          <w:lang w:val="ro-RO"/>
        </w:rPr>
      </w:pPr>
      <w:r w:rsidRPr="00857CDA">
        <w:rPr>
          <w:i/>
          <w:u w:val="single"/>
          <w:lang w:val="ro-RO"/>
        </w:rPr>
        <w:t xml:space="preserve">Pasul </w:t>
      </w:r>
      <w:r w:rsidR="00342D08" w:rsidRPr="00857CDA">
        <w:rPr>
          <w:i/>
          <w:u w:val="single"/>
          <w:lang w:val="ro-RO"/>
        </w:rPr>
        <w:t>2</w:t>
      </w:r>
      <w:r w:rsidR="00091658" w:rsidRPr="00857CDA">
        <w:rPr>
          <w:i/>
          <w:u w:val="single"/>
          <w:lang w:val="ro-RO"/>
        </w:rPr>
        <w:t>:</w:t>
      </w:r>
      <w:r w:rsidR="00342D08" w:rsidRPr="00857CDA">
        <w:rPr>
          <w:i/>
          <w:lang w:val="ro-RO"/>
        </w:rPr>
        <w:t xml:space="preserve"> </w:t>
      </w:r>
      <w:r w:rsidRPr="00857CDA">
        <w:rPr>
          <w:i/>
          <w:lang w:val="ro-RO"/>
        </w:rPr>
        <w:t>Trasarea pe Graficul de Performanță a eșantioanelor</w:t>
      </w:r>
    </w:p>
    <w:p w:rsidR="00AF3F82" w:rsidRPr="00857CDA" w:rsidRDefault="007C648C" w:rsidP="00AF3F82">
      <w:pPr>
        <w:pStyle w:val="SingleTxtG"/>
        <w:ind w:left="567"/>
        <w:rPr>
          <w:i/>
          <w:lang w:val="ro-RO"/>
        </w:rPr>
      </w:pPr>
      <w:r w:rsidRPr="00857CDA">
        <w:rPr>
          <w:i/>
          <w:lang w:val="ro-RO"/>
        </w:rPr>
        <w:t>Fiecare punct de presiune de rezistență la plesnire (BPP) este trasat pe Graficul de Performanță a eșantioanelor cu următoarele axe:</w:t>
      </w:r>
    </w:p>
    <w:p w:rsidR="00AF3F82" w:rsidRPr="00857CDA" w:rsidRDefault="007C648C" w:rsidP="00AF3F82">
      <w:pPr>
        <w:pStyle w:val="SingleTxtG"/>
        <w:ind w:left="567"/>
        <w:rPr>
          <w:i/>
          <w:lang w:val="ro-RO"/>
        </w:rPr>
      </w:pPr>
      <w:r w:rsidRPr="00857CDA">
        <w:rPr>
          <w:i/>
          <w:lang w:val="ro-RO"/>
        </w:rPr>
        <w:t>- Abscisă: Abaterea standard ponderată cu presiunea de încercare (Ωs);</w:t>
      </w:r>
    </w:p>
    <w:p w:rsidR="00AF3F82" w:rsidRPr="00857CDA" w:rsidRDefault="007C648C" w:rsidP="00AF3F82">
      <w:pPr>
        <w:pStyle w:val="SingleTxtG"/>
        <w:ind w:left="567"/>
        <w:rPr>
          <w:i/>
          <w:lang w:val="ro-RO"/>
        </w:rPr>
      </w:pPr>
      <w:r w:rsidRPr="00857CDA">
        <w:rPr>
          <w:i/>
          <w:lang w:val="ro-RO"/>
        </w:rPr>
        <w:t>- Ordonată: Valoarea medie ponderată cu presiunea de încercare (Ωm).</w:t>
      </w:r>
    </w:p>
    <w:p w:rsidR="00342D08" w:rsidRPr="00857CDA" w:rsidRDefault="007C648C" w:rsidP="00AF3F82">
      <w:pPr>
        <w:pStyle w:val="SingleTxtG"/>
        <w:ind w:left="567"/>
        <w:rPr>
          <w:i/>
          <w:lang w:val="ro-RO"/>
        </w:rPr>
      </w:pPr>
      <w:r w:rsidRPr="00857CDA">
        <w:rPr>
          <w:i/>
          <w:u w:val="single"/>
          <w:lang w:val="ro-RO"/>
        </w:rPr>
        <w:t>Pasul</w:t>
      </w:r>
      <w:r w:rsidR="00342D08" w:rsidRPr="00857CDA">
        <w:rPr>
          <w:i/>
          <w:u w:val="single"/>
          <w:lang w:val="ro-RO"/>
        </w:rPr>
        <w:t xml:space="preserve"> 3</w:t>
      </w:r>
      <w:r w:rsidR="00091658" w:rsidRPr="00857CDA">
        <w:rPr>
          <w:i/>
          <w:u w:val="single"/>
          <w:lang w:val="ro-RO"/>
        </w:rPr>
        <w:t>:</w:t>
      </w:r>
      <w:r w:rsidR="00342D08" w:rsidRPr="00857CDA">
        <w:rPr>
          <w:i/>
          <w:lang w:val="ro-RO"/>
        </w:rPr>
        <w:t xml:space="preserve"> </w:t>
      </w:r>
      <w:r w:rsidR="00816806" w:rsidRPr="00857CDA">
        <w:rPr>
          <w:i/>
          <w:lang w:val="ro-RO"/>
        </w:rPr>
        <w:t>Determinarea limitei inferioare a intervalului de toleranță corespunzătoare în Graficul de Performanță a eșantioanelor</w:t>
      </w:r>
    </w:p>
    <w:p w:rsidR="00816806" w:rsidRPr="00857CDA" w:rsidRDefault="00816806" w:rsidP="00816806">
      <w:pPr>
        <w:pStyle w:val="SingleTxtG"/>
        <w:keepNext/>
        <w:rPr>
          <w:i/>
          <w:lang w:val="ro-RO"/>
        </w:rPr>
      </w:pPr>
      <w:r w:rsidRPr="00857CDA">
        <w:rPr>
          <w:i/>
          <w:lang w:val="ro-RO"/>
        </w:rPr>
        <w:lastRenderedPageBreak/>
        <w:t xml:space="preserve">Rezultatele privind presiunea de rezistență la plesnire trebuie mai întâi verificate în conformitate cu Încercarea comună (test multidirecțional) utilizând un nivel de </w:t>
      </w:r>
      <w:r w:rsidR="00BC4667" w:rsidRPr="00857CDA">
        <w:rPr>
          <w:i/>
          <w:lang w:val="ro-RO"/>
        </w:rPr>
        <w:t>încredere</w:t>
      </w:r>
      <w:r w:rsidRPr="00857CDA">
        <w:rPr>
          <w:i/>
          <w:lang w:val="ro-RO"/>
        </w:rPr>
        <w:t xml:space="preserve"> α = 0,05 (a se vedea punctul 7 din ISO 5479: 1997) pentru a determina dacă distribuirea rezultatelor pentru fiecare eșantion este normală sau </w:t>
      </w:r>
      <w:r w:rsidR="00BC4667" w:rsidRPr="00857CDA">
        <w:rPr>
          <w:i/>
          <w:lang w:val="ro-RO"/>
        </w:rPr>
        <w:t>oarecare</w:t>
      </w:r>
      <w:r w:rsidRPr="00857CDA">
        <w:rPr>
          <w:i/>
          <w:lang w:val="ro-RO"/>
        </w:rPr>
        <w:t>.</w:t>
      </w:r>
    </w:p>
    <w:p w:rsidR="00816806" w:rsidRPr="00857CDA" w:rsidRDefault="006E0D5C" w:rsidP="00816806">
      <w:pPr>
        <w:pStyle w:val="SingleTxtG"/>
        <w:keepNext/>
        <w:rPr>
          <w:i/>
          <w:lang w:val="ro-RO"/>
        </w:rPr>
      </w:pPr>
      <w:r w:rsidRPr="00857CDA">
        <w:rPr>
          <w:i/>
          <w:lang w:val="ro-RO"/>
        </w:rPr>
        <w:t xml:space="preserve">- </w:t>
      </w:r>
      <w:r w:rsidRPr="00857CDA">
        <w:rPr>
          <w:i/>
          <w:lang w:val="ro-RO"/>
        </w:rPr>
        <w:tab/>
      </w:r>
      <w:r w:rsidR="00816806" w:rsidRPr="00857CDA">
        <w:rPr>
          <w:i/>
          <w:lang w:val="ro-RO"/>
        </w:rPr>
        <w:t xml:space="preserve">Pentru o distribuție normală, </w:t>
      </w:r>
      <w:r w:rsidR="00CE1260" w:rsidRPr="00857CDA">
        <w:rPr>
          <w:i/>
          <w:lang w:val="ro-RO"/>
        </w:rPr>
        <w:t>modul</w:t>
      </w:r>
      <w:r w:rsidR="00816806" w:rsidRPr="00857CDA">
        <w:rPr>
          <w:i/>
          <w:lang w:val="ro-RO"/>
        </w:rPr>
        <w:t xml:space="preserve"> de determinare a limitei inferioare a intervalului de toleranță </w:t>
      </w:r>
      <w:r w:rsidR="00CE1260" w:rsidRPr="00857CDA">
        <w:rPr>
          <w:i/>
          <w:lang w:val="ro-RO"/>
        </w:rPr>
        <w:t>este</w:t>
      </w:r>
      <w:r w:rsidR="00816806" w:rsidRPr="00857CDA">
        <w:rPr>
          <w:i/>
          <w:lang w:val="ro-RO"/>
        </w:rPr>
        <w:t xml:space="preserve"> explicat la pasul 3.1.</w:t>
      </w:r>
    </w:p>
    <w:p w:rsidR="00816806" w:rsidRPr="00857CDA" w:rsidRDefault="00816806" w:rsidP="00816806">
      <w:pPr>
        <w:pStyle w:val="SingleTxtG"/>
        <w:keepNext/>
        <w:rPr>
          <w:i/>
          <w:lang w:val="ro-RO"/>
        </w:rPr>
      </w:pPr>
      <w:r w:rsidRPr="00857CDA">
        <w:rPr>
          <w:i/>
          <w:lang w:val="ro-RO"/>
        </w:rPr>
        <w:t xml:space="preserve">- </w:t>
      </w:r>
      <w:r w:rsidR="006E0D5C" w:rsidRPr="00857CDA">
        <w:rPr>
          <w:i/>
          <w:lang w:val="ro-RO"/>
        </w:rPr>
        <w:tab/>
      </w:r>
      <w:r w:rsidRPr="00857CDA">
        <w:rPr>
          <w:i/>
          <w:lang w:val="ro-RO"/>
        </w:rPr>
        <w:t xml:space="preserve">Pentru o distribuție </w:t>
      </w:r>
      <w:r w:rsidR="00CE1260" w:rsidRPr="00857CDA">
        <w:rPr>
          <w:i/>
          <w:lang w:val="ro-RO"/>
        </w:rPr>
        <w:t>oarecare</w:t>
      </w:r>
      <w:r w:rsidRPr="00857CDA">
        <w:rPr>
          <w:i/>
          <w:lang w:val="ro-RO"/>
        </w:rPr>
        <w:t>, modul de determinare a limitei inferioare a intervalului de toleranță este explicat la pasul 3.2.</w:t>
      </w:r>
    </w:p>
    <w:p w:rsidR="00CE1260" w:rsidRPr="00857CDA" w:rsidRDefault="00CE1260" w:rsidP="00342D08">
      <w:pPr>
        <w:pStyle w:val="SingleTxtG"/>
        <w:rPr>
          <w:i/>
          <w:lang w:val="ro-RO"/>
        </w:rPr>
      </w:pPr>
      <w:r w:rsidRPr="00857CDA">
        <w:rPr>
          <w:i/>
          <w:lang w:val="ro-RO"/>
        </w:rPr>
        <w:t>Pasul</w:t>
      </w:r>
      <w:r w:rsidR="00342D08" w:rsidRPr="00857CDA">
        <w:rPr>
          <w:i/>
          <w:lang w:val="ro-RO"/>
        </w:rPr>
        <w:t xml:space="preserve"> 3.1</w:t>
      </w:r>
      <w:r w:rsidR="00091658" w:rsidRPr="00857CDA">
        <w:rPr>
          <w:i/>
          <w:lang w:val="ro-RO"/>
        </w:rPr>
        <w:t>:</w:t>
      </w:r>
      <w:r w:rsidR="00342D08" w:rsidRPr="00857CDA">
        <w:rPr>
          <w:i/>
          <w:lang w:val="ro-RO"/>
        </w:rPr>
        <w:t xml:space="preserve"> </w:t>
      </w:r>
      <w:r w:rsidRPr="00857CDA">
        <w:rPr>
          <w:i/>
          <w:lang w:val="ro-RO"/>
        </w:rPr>
        <w:t xml:space="preserve">Limita inferioară a intervalului de toleranță pentru rezultate care respectă o distribuție normală </w:t>
      </w:r>
    </w:p>
    <w:p w:rsidR="00CE1260" w:rsidRPr="00857CDA" w:rsidRDefault="00CE1260" w:rsidP="00CE1260">
      <w:pPr>
        <w:pStyle w:val="SingleTxtG"/>
        <w:rPr>
          <w:i/>
          <w:lang w:val="ro-RO"/>
        </w:rPr>
      </w:pPr>
      <w:r w:rsidRPr="00857CDA">
        <w:rPr>
          <w:i/>
          <w:lang w:val="ro-RO"/>
        </w:rPr>
        <w:t xml:space="preserve">În conformitate cu standardul ISO 16269-6: 2014, având în vedere că varianța nu este cunoscută, intervalul de toleranță statistică unilaterală trebuie considerat </w:t>
      </w:r>
      <w:r w:rsidR="00873A9E" w:rsidRPr="00857CDA">
        <w:rPr>
          <w:i/>
          <w:lang w:val="ro-RO"/>
        </w:rPr>
        <w:t xml:space="preserve">la </w:t>
      </w:r>
      <w:r w:rsidRPr="00857CDA">
        <w:rPr>
          <w:i/>
          <w:lang w:val="ro-RO"/>
        </w:rPr>
        <w:t xml:space="preserve">un nivel de încredere de 95% și </w:t>
      </w:r>
      <w:r w:rsidR="00873A9E" w:rsidRPr="00857CDA">
        <w:rPr>
          <w:i/>
          <w:lang w:val="ro-RO"/>
        </w:rPr>
        <w:t xml:space="preserve">pentru </w:t>
      </w:r>
      <w:r w:rsidRPr="00857CDA">
        <w:rPr>
          <w:i/>
          <w:lang w:val="ro-RO"/>
        </w:rPr>
        <w:t>o proporție de 99,9999% din populație.</w:t>
      </w:r>
    </w:p>
    <w:p w:rsidR="00342D08" w:rsidRPr="00857CDA" w:rsidRDefault="00873A9E" w:rsidP="0007690B">
      <w:pPr>
        <w:pStyle w:val="SingleTxtG"/>
        <w:rPr>
          <w:i/>
          <w:lang w:val="ro-RO"/>
        </w:rPr>
      </w:pPr>
      <w:r w:rsidRPr="00857CDA">
        <w:rPr>
          <w:i/>
          <w:lang w:val="ro-RO"/>
        </w:rPr>
        <w:t>În Graficul</w:t>
      </w:r>
      <w:r w:rsidR="00CE1260" w:rsidRPr="00857CDA">
        <w:rPr>
          <w:i/>
          <w:lang w:val="ro-RO"/>
        </w:rPr>
        <w:t xml:space="preserve"> de </w:t>
      </w:r>
      <w:r w:rsidRPr="00857CDA">
        <w:rPr>
          <w:i/>
          <w:lang w:val="ro-RO"/>
        </w:rPr>
        <w:t xml:space="preserve">Performanță </w:t>
      </w:r>
      <w:r w:rsidR="00CE1260" w:rsidRPr="00857CDA">
        <w:rPr>
          <w:i/>
          <w:lang w:val="ro-RO"/>
        </w:rPr>
        <w:t>a eșantio</w:t>
      </w:r>
      <w:r w:rsidRPr="00857CDA">
        <w:rPr>
          <w:i/>
          <w:lang w:val="ro-RO"/>
        </w:rPr>
        <w:t>a</w:t>
      </w:r>
      <w:r w:rsidR="00CE1260" w:rsidRPr="00857CDA">
        <w:rPr>
          <w:i/>
          <w:lang w:val="ro-RO"/>
        </w:rPr>
        <w:t>n</w:t>
      </w:r>
      <w:r w:rsidRPr="00857CDA">
        <w:rPr>
          <w:i/>
          <w:lang w:val="ro-RO"/>
        </w:rPr>
        <w:t>e</w:t>
      </w:r>
      <w:r w:rsidR="00CE1260" w:rsidRPr="00857CDA">
        <w:rPr>
          <w:i/>
          <w:lang w:val="ro-RO"/>
        </w:rPr>
        <w:t>l</w:t>
      </w:r>
      <w:r w:rsidRPr="00857CDA">
        <w:rPr>
          <w:i/>
          <w:lang w:val="ro-RO"/>
        </w:rPr>
        <w:t>or</w:t>
      </w:r>
      <w:r w:rsidR="00CE1260" w:rsidRPr="00857CDA">
        <w:rPr>
          <w:i/>
          <w:lang w:val="ro-RO"/>
        </w:rPr>
        <w:t xml:space="preserve">, limita inferioară a intervalului de toleranță este reprezentată de o linie </w:t>
      </w:r>
      <w:r w:rsidRPr="00857CDA">
        <w:rPr>
          <w:i/>
          <w:lang w:val="ro-RO"/>
        </w:rPr>
        <w:t>a</w:t>
      </w:r>
      <w:r w:rsidR="00CE1260" w:rsidRPr="00857CDA">
        <w:rPr>
          <w:i/>
          <w:lang w:val="ro-RO"/>
        </w:rPr>
        <w:t xml:space="preserve"> </w:t>
      </w:r>
      <w:r w:rsidRPr="00857CDA">
        <w:rPr>
          <w:i/>
          <w:lang w:val="ro-RO"/>
        </w:rPr>
        <w:t>gradului</w:t>
      </w:r>
      <w:r w:rsidR="00CE1260" w:rsidRPr="00857CDA">
        <w:rPr>
          <w:i/>
          <w:lang w:val="ro-RO"/>
        </w:rPr>
        <w:t xml:space="preserve"> de supraviețuire constant determinată de următoarea formulă:</w:t>
      </w:r>
    </w:p>
    <w:p w:rsidR="00342D08" w:rsidRPr="00857CDA" w:rsidRDefault="009A6E82" w:rsidP="00342D08">
      <w:pPr>
        <w:pStyle w:val="SingleTxtG"/>
        <w:rPr>
          <w:i/>
          <w:lang w:val="ro-RO"/>
        </w:rPr>
      </w:pPr>
      <m:oMathPara>
        <m:oMath>
          <m:sSub>
            <m:sSubPr>
              <m:ctrlPr>
                <w:rPr>
                  <w:rFonts w:ascii="Cambria Math" w:hAnsi="Cambria Math"/>
                  <w:i/>
                  <w:lang w:val="ro-RO"/>
                </w:rPr>
              </m:ctrlPr>
            </m:sSubPr>
            <m:e>
              <m:r>
                <m:rPr>
                  <m:sty m:val="p"/>
                </m:rPr>
                <w:rPr>
                  <w:rFonts w:ascii="Cambria Math" w:hAnsi="Cambria Math"/>
                  <w:lang w:val="ro-RO"/>
                </w:rPr>
                <m:t>Ω</m:t>
              </m:r>
            </m:e>
            <m:sub>
              <m:r>
                <w:rPr>
                  <w:rFonts w:ascii="Cambria Math" w:hAnsi="Cambria Math"/>
                  <w:lang w:val="ro-RO"/>
                </w:rPr>
                <m:t>m</m:t>
              </m:r>
            </m:sub>
          </m:sSub>
          <m:r>
            <w:rPr>
              <w:rFonts w:ascii="Cambria Math" w:hAnsi="Cambria Math"/>
              <w:lang w:val="ro-RO"/>
            </w:rPr>
            <m:t xml:space="preserve">=1+ </m:t>
          </m:r>
          <m:sSub>
            <m:sSubPr>
              <m:ctrlPr>
                <w:rPr>
                  <w:rFonts w:ascii="Cambria Math" w:hAnsi="Cambria Math"/>
                  <w:lang w:val="ro-RO"/>
                </w:rPr>
              </m:ctrlPr>
            </m:sSubPr>
            <m:e>
              <m:r>
                <m:rPr>
                  <m:sty m:val="p"/>
                </m:rPr>
                <w:rPr>
                  <w:rFonts w:ascii="Cambria Math" w:hAnsi="Cambria Math"/>
                  <w:lang w:val="ro-RO"/>
                </w:rPr>
                <m:t>Ω</m:t>
              </m:r>
            </m:e>
            <m:sub>
              <m:r>
                <w:rPr>
                  <w:rFonts w:ascii="Cambria Math" w:hAnsi="Cambria Math"/>
                  <w:lang w:val="ro-RO"/>
                </w:rPr>
                <m:t>s</m:t>
              </m:r>
            </m:sub>
          </m:sSub>
          <m:r>
            <w:rPr>
              <w:rFonts w:ascii="Cambria Math" w:hAnsi="Cambria Math"/>
              <w:lang w:val="ro-RO"/>
            </w:rPr>
            <m:t xml:space="preserve"> ×k3 (n;p;1-α )</m:t>
          </m:r>
        </m:oMath>
      </m:oMathPara>
    </w:p>
    <w:p w:rsidR="00342D08" w:rsidRPr="00857CDA" w:rsidRDefault="0007690B" w:rsidP="00342D08">
      <w:pPr>
        <w:pStyle w:val="SingleTxtG"/>
        <w:rPr>
          <w:i/>
          <w:lang w:val="ro-RO"/>
        </w:rPr>
      </w:pPr>
      <w:r w:rsidRPr="00857CDA">
        <w:rPr>
          <w:i/>
          <w:lang w:val="ro-RO"/>
        </w:rPr>
        <w:t>unde</w:t>
      </w:r>
    </w:p>
    <w:p w:rsidR="00342D08" w:rsidRPr="00857CDA" w:rsidRDefault="00342D08" w:rsidP="00342D08">
      <w:pPr>
        <w:pStyle w:val="SingleTxtG"/>
        <w:rPr>
          <w:i/>
          <w:lang w:val="ro-RO"/>
        </w:rPr>
      </w:pPr>
      <w:r w:rsidRPr="00857CDA">
        <w:rPr>
          <w:i/>
          <w:lang w:val="ro-RO"/>
        </w:rPr>
        <w:t>k3</w:t>
      </w:r>
      <w:r w:rsidR="00091658" w:rsidRPr="00857CDA">
        <w:rPr>
          <w:i/>
          <w:lang w:val="ro-RO"/>
        </w:rPr>
        <w:t>:</w:t>
      </w:r>
      <w:r w:rsidRPr="00857CDA">
        <w:rPr>
          <w:i/>
          <w:lang w:val="ro-RO"/>
        </w:rPr>
        <w:t xml:space="preserve"> fact</w:t>
      </w:r>
      <w:r w:rsidR="00F26154" w:rsidRPr="00857CDA">
        <w:rPr>
          <w:i/>
          <w:lang w:val="ro-RO"/>
        </w:rPr>
        <w:t>o</w:t>
      </w:r>
      <w:r w:rsidRPr="00857CDA">
        <w:rPr>
          <w:i/>
          <w:lang w:val="ro-RO"/>
        </w:rPr>
        <w:t>r f</w:t>
      </w:r>
      <w:r w:rsidR="0007690B" w:rsidRPr="00857CDA">
        <w:rPr>
          <w:i/>
          <w:lang w:val="ro-RO"/>
        </w:rPr>
        <w:t>u</w:t>
      </w:r>
      <w:r w:rsidRPr="00857CDA">
        <w:rPr>
          <w:i/>
          <w:lang w:val="ro-RO"/>
        </w:rPr>
        <w:t>nc</w:t>
      </w:r>
      <w:r w:rsidR="0007690B" w:rsidRPr="00857CDA">
        <w:rPr>
          <w:i/>
          <w:lang w:val="ro-RO"/>
        </w:rPr>
        <w:t>ț</w:t>
      </w:r>
      <w:r w:rsidRPr="00857CDA">
        <w:rPr>
          <w:i/>
          <w:lang w:val="ro-RO"/>
        </w:rPr>
        <w:t>i</w:t>
      </w:r>
      <w:r w:rsidR="0007690B" w:rsidRPr="00857CDA">
        <w:rPr>
          <w:i/>
          <w:lang w:val="ro-RO"/>
        </w:rPr>
        <w:t xml:space="preserve">e </w:t>
      </w:r>
      <w:r w:rsidRPr="00857CDA">
        <w:rPr>
          <w:i/>
          <w:lang w:val="ro-RO"/>
        </w:rPr>
        <w:t>de n, p</w:t>
      </w:r>
      <w:r w:rsidR="004C27AD" w:rsidRPr="00857CDA">
        <w:rPr>
          <w:i/>
          <w:lang w:val="ro-RO"/>
        </w:rPr>
        <w:t xml:space="preserve"> și </w:t>
      </w:r>
      <w:r w:rsidRPr="00857CDA">
        <w:rPr>
          <w:i/>
          <w:lang w:val="ro-RO"/>
        </w:rPr>
        <w:t xml:space="preserve">1- α; </w:t>
      </w:r>
    </w:p>
    <w:p w:rsidR="00342D08" w:rsidRPr="00857CDA" w:rsidRDefault="00342D08" w:rsidP="00342D08">
      <w:pPr>
        <w:pStyle w:val="SingleTxtG"/>
        <w:rPr>
          <w:i/>
          <w:lang w:val="ro-RO"/>
        </w:rPr>
      </w:pPr>
      <w:r w:rsidRPr="00857CDA">
        <w:rPr>
          <w:i/>
          <w:lang w:val="ro-RO"/>
        </w:rPr>
        <w:t>p</w:t>
      </w:r>
      <w:r w:rsidR="00091658" w:rsidRPr="00857CDA">
        <w:rPr>
          <w:i/>
          <w:lang w:val="ro-RO"/>
        </w:rPr>
        <w:t>:</w:t>
      </w:r>
      <w:r w:rsidRPr="00857CDA">
        <w:rPr>
          <w:i/>
          <w:lang w:val="ro-RO"/>
        </w:rPr>
        <w:t xml:space="preserve"> propor</w:t>
      </w:r>
      <w:r w:rsidR="0007690B" w:rsidRPr="00857CDA">
        <w:rPr>
          <w:i/>
          <w:lang w:val="ro-RO"/>
        </w:rPr>
        <w:t>ție</w:t>
      </w:r>
      <w:r w:rsidRPr="00857CDA">
        <w:rPr>
          <w:i/>
          <w:lang w:val="ro-RO"/>
        </w:rPr>
        <w:t xml:space="preserve"> d</w:t>
      </w:r>
      <w:r w:rsidR="0007690B" w:rsidRPr="00857CDA">
        <w:rPr>
          <w:i/>
          <w:lang w:val="ro-RO"/>
        </w:rPr>
        <w:t>in</w:t>
      </w:r>
      <w:r w:rsidRPr="00857CDA">
        <w:rPr>
          <w:i/>
          <w:lang w:val="ro-RO"/>
        </w:rPr>
        <w:t xml:space="preserve"> popu</w:t>
      </w:r>
      <w:r w:rsidR="00F26154" w:rsidRPr="00857CDA">
        <w:rPr>
          <w:i/>
          <w:lang w:val="ro-RO"/>
        </w:rPr>
        <w:t>la</w:t>
      </w:r>
      <w:r w:rsidR="0007690B" w:rsidRPr="00857CDA">
        <w:rPr>
          <w:i/>
          <w:lang w:val="ro-RO"/>
        </w:rPr>
        <w:t>ț</w:t>
      </w:r>
      <w:r w:rsidRPr="00857CDA">
        <w:rPr>
          <w:i/>
          <w:lang w:val="ro-RO"/>
        </w:rPr>
        <w:t>i</w:t>
      </w:r>
      <w:r w:rsidR="0007690B" w:rsidRPr="00857CDA">
        <w:rPr>
          <w:i/>
          <w:lang w:val="ro-RO"/>
        </w:rPr>
        <w:t>a</w:t>
      </w:r>
      <w:r w:rsidRPr="00857CDA">
        <w:rPr>
          <w:i/>
          <w:lang w:val="ro-RO"/>
        </w:rPr>
        <w:t xml:space="preserve"> </w:t>
      </w:r>
      <w:r w:rsidR="0007690B" w:rsidRPr="00857CDA">
        <w:rPr>
          <w:i/>
          <w:lang w:val="ro-RO"/>
        </w:rPr>
        <w:t>aleasă</w:t>
      </w:r>
      <w:r w:rsidRPr="00857CDA">
        <w:rPr>
          <w:i/>
          <w:lang w:val="ro-RO"/>
        </w:rPr>
        <w:t xml:space="preserve"> </w:t>
      </w:r>
      <w:r w:rsidR="00991390" w:rsidRPr="00857CDA">
        <w:rPr>
          <w:i/>
          <w:lang w:val="ro-RO"/>
        </w:rPr>
        <w:t>pentru</w:t>
      </w:r>
      <w:r w:rsidRPr="00857CDA">
        <w:rPr>
          <w:i/>
          <w:lang w:val="ro-RO"/>
        </w:rPr>
        <w:t xml:space="preserve"> interval</w:t>
      </w:r>
      <w:r w:rsidR="0007690B" w:rsidRPr="00857CDA">
        <w:rPr>
          <w:i/>
          <w:lang w:val="ro-RO"/>
        </w:rPr>
        <w:t>ul</w:t>
      </w:r>
      <w:r w:rsidRPr="00857CDA">
        <w:rPr>
          <w:i/>
          <w:lang w:val="ro-RO"/>
        </w:rPr>
        <w:t xml:space="preserve"> de tol</w:t>
      </w:r>
      <w:r w:rsidR="0007690B" w:rsidRPr="00857CDA">
        <w:rPr>
          <w:i/>
          <w:lang w:val="ro-RO"/>
        </w:rPr>
        <w:t>e</w:t>
      </w:r>
      <w:r w:rsidRPr="00857CDA">
        <w:rPr>
          <w:i/>
          <w:lang w:val="ro-RO"/>
        </w:rPr>
        <w:t>ran</w:t>
      </w:r>
      <w:r w:rsidR="0007690B" w:rsidRPr="00857CDA">
        <w:rPr>
          <w:i/>
          <w:lang w:val="ro-RO"/>
        </w:rPr>
        <w:t>ță</w:t>
      </w:r>
      <w:r w:rsidRPr="00857CDA">
        <w:rPr>
          <w:i/>
          <w:lang w:val="ro-RO"/>
        </w:rPr>
        <w:t xml:space="preserve"> (99,9999 %);</w:t>
      </w:r>
    </w:p>
    <w:p w:rsidR="00342D08" w:rsidRPr="00857CDA" w:rsidRDefault="00342D08" w:rsidP="00342D08">
      <w:pPr>
        <w:pStyle w:val="SingleTxtG"/>
        <w:rPr>
          <w:i/>
          <w:lang w:val="ro-RO"/>
        </w:rPr>
      </w:pPr>
      <w:r w:rsidRPr="00857CDA">
        <w:rPr>
          <w:i/>
          <w:lang w:val="ro-RO"/>
        </w:rPr>
        <w:t>1- α</w:t>
      </w:r>
      <w:r w:rsidR="00091658" w:rsidRPr="00857CDA">
        <w:rPr>
          <w:i/>
          <w:lang w:val="ro-RO"/>
        </w:rPr>
        <w:t>:</w:t>
      </w:r>
      <w:r w:rsidRPr="00857CDA">
        <w:rPr>
          <w:i/>
          <w:lang w:val="ro-RO"/>
        </w:rPr>
        <w:t xml:space="preserve"> nive</w:t>
      </w:r>
      <w:r w:rsidR="0007690B" w:rsidRPr="00857CDA">
        <w:rPr>
          <w:i/>
          <w:lang w:val="ro-RO"/>
        </w:rPr>
        <w:t>l</w:t>
      </w:r>
      <w:r w:rsidRPr="00857CDA">
        <w:rPr>
          <w:i/>
          <w:lang w:val="ro-RO"/>
        </w:rPr>
        <w:t>u</w:t>
      </w:r>
      <w:r w:rsidR="0007690B" w:rsidRPr="00857CDA">
        <w:rPr>
          <w:i/>
          <w:lang w:val="ro-RO"/>
        </w:rPr>
        <w:t>l</w:t>
      </w:r>
      <w:r w:rsidRPr="00857CDA">
        <w:rPr>
          <w:i/>
          <w:lang w:val="ro-RO"/>
        </w:rPr>
        <w:t xml:space="preserve"> de </w:t>
      </w:r>
      <w:r w:rsidR="0007690B" w:rsidRPr="00857CDA">
        <w:rPr>
          <w:i/>
          <w:lang w:val="ro-RO"/>
        </w:rPr>
        <w:t>încredere</w:t>
      </w:r>
      <w:r w:rsidRPr="00857CDA">
        <w:rPr>
          <w:i/>
          <w:lang w:val="ro-RO"/>
        </w:rPr>
        <w:t xml:space="preserve"> (95 %);</w:t>
      </w:r>
    </w:p>
    <w:p w:rsidR="00342D08" w:rsidRPr="00857CDA" w:rsidRDefault="00342D08" w:rsidP="00342D08">
      <w:pPr>
        <w:pStyle w:val="SingleTxtG"/>
        <w:rPr>
          <w:i/>
          <w:lang w:val="ro-RO"/>
        </w:rPr>
      </w:pPr>
      <w:r w:rsidRPr="00857CDA">
        <w:rPr>
          <w:i/>
          <w:lang w:val="ro-RO"/>
        </w:rPr>
        <w:t>n</w:t>
      </w:r>
      <w:r w:rsidR="00091658" w:rsidRPr="00857CDA">
        <w:rPr>
          <w:i/>
          <w:lang w:val="ro-RO"/>
        </w:rPr>
        <w:t>:</w:t>
      </w:r>
      <w:r w:rsidRPr="00857CDA">
        <w:rPr>
          <w:i/>
          <w:lang w:val="ro-RO"/>
        </w:rPr>
        <w:t xml:space="preserve"> </w:t>
      </w:r>
      <w:r w:rsidR="0007690B" w:rsidRPr="00857CDA">
        <w:rPr>
          <w:i/>
          <w:lang w:val="ro-RO"/>
        </w:rPr>
        <w:t>mărimea eșantionului</w:t>
      </w:r>
      <w:r w:rsidRPr="00857CDA">
        <w:rPr>
          <w:i/>
          <w:lang w:val="ro-RO"/>
        </w:rPr>
        <w:t>.</w:t>
      </w:r>
    </w:p>
    <w:p w:rsidR="00342D08" w:rsidRPr="00857CDA" w:rsidRDefault="0007690B" w:rsidP="00342D08">
      <w:pPr>
        <w:pStyle w:val="SingleTxtG"/>
        <w:rPr>
          <w:i/>
          <w:lang w:val="ro-RO"/>
        </w:rPr>
      </w:pPr>
      <w:r w:rsidRPr="00857CDA">
        <w:rPr>
          <w:i/>
          <w:lang w:val="ro-RO"/>
        </w:rPr>
        <w:t>Valoarea</w:t>
      </w:r>
      <w:r w:rsidR="00342D08" w:rsidRPr="00857CDA">
        <w:rPr>
          <w:i/>
          <w:lang w:val="ro-RO"/>
        </w:rPr>
        <w:t xml:space="preserve"> </w:t>
      </w:r>
      <w:r w:rsidRPr="00857CDA">
        <w:rPr>
          <w:i/>
          <w:lang w:val="ro-RO"/>
        </w:rPr>
        <w:t xml:space="preserve">lui </w:t>
      </w:r>
      <w:r w:rsidR="00342D08" w:rsidRPr="00857CDA">
        <w:rPr>
          <w:i/>
          <w:lang w:val="ro-RO"/>
        </w:rPr>
        <w:t>k3 coresp</w:t>
      </w:r>
      <w:r w:rsidRPr="00857CDA">
        <w:rPr>
          <w:i/>
          <w:lang w:val="ro-RO"/>
        </w:rPr>
        <w:t>unzătoare distribuțiilor normale se găsește în tabelul de la sfârș</w:t>
      </w:r>
      <w:r w:rsidR="004A028F" w:rsidRPr="00857CDA">
        <w:rPr>
          <w:i/>
          <w:lang w:val="ro-RO"/>
        </w:rPr>
        <w:t>i</w:t>
      </w:r>
      <w:r w:rsidRPr="00857CDA">
        <w:rPr>
          <w:i/>
          <w:lang w:val="ro-RO"/>
        </w:rPr>
        <w:t>tul pasului</w:t>
      </w:r>
      <w:r w:rsidR="00342D08" w:rsidRPr="00857CDA">
        <w:rPr>
          <w:i/>
          <w:lang w:val="ro-RO"/>
        </w:rPr>
        <w:t xml:space="preserve"> 3.</w:t>
      </w:r>
    </w:p>
    <w:p w:rsidR="00342D08" w:rsidRPr="00857CDA" w:rsidRDefault="004A028F" w:rsidP="00342D08">
      <w:pPr>
        <w:pStyle w:val="SingleTxtG"/>
        <w:rPr>
          <w:i/>
          <w:lang w:val="ro-RO"/>
        </w:rPr>
      </w:pPr>
      <w:r w:rsidRPr="00857CDA">
        <w:rPr>
          <w:i/>
          <w:lang w:val="ro-RO"/>
        </w:rPr>
        <w:t>Pasul</w:t>
      </w:r>
      <w:r w:rsidR="00342D08" w:rsidRPr="00857CDA">
        <w:rPr>
          <w:i/>
          <w:lang w:val="ro-RO"/>
        </w:rPr>
        <w:t xml:space="preserve"> 3.2</w:t>
      </w:r>
      <w:r w:rsidR="00091658" w:rsidRPr="00857CDA">
        <w:rPr>
          <w:i/>
          <w:lang w:val="ro-RO"/>
        </w:rPr>
        <w:t>:</w:t>
      </w:r>
      <w:r w:rsidR="00342D08" w:rsidRPr="00857CDA">
        <w:rPr>
          <w:i/>
          <w:lang w:val="ro-RO"/>
        </w:rPr>
        <w:t xml:space="preserve"> </w:t>
      </w:r>
      <w:r w:rsidR="00CE1260" w:rsidRPr="00857CDA">
        <w:rPr>
          <w:i/>
          <w:lang w:val="ro-RO"/>
        </w:rPr>
        <w:t xml:space="preserve">Limita inferioară a intervalului de toleranță pentru rezultate care respectă o distribuție </w:t>
      </w:r>
      <w:r w:rsidR="00BC4667" w:rsidRPr="00857CDA">
        <w:rPr>
          <w:i/>
          <w:lang w:val="ro-RO"/>
        </w:rPr>
        <w:t>oarecare</w:t>
      </w:r>
    </w:p>
    <w:p w:rsidR="00342D08" w:rsidRPr="00857CDA" w:rsidRDefault="004A028F" w:rsidP="00342D08">
      <w:pPr>
        <w:pStyle w:val="SingleTxtG"/>
        <w:rPr>
          <w:i/>
          <w:lang w:val="ro-RO"/>
        </w:rPr>
      </w:pPr>
      <w:r w:rsidRPr="00857CDA">
        <w:rPr>
          <w:i/>
          <w:lang w:val="ro-RO"/>
        </w:rPr>
        <w:t xml:space="preserve">Intervalul </w:t>
      </w:r>
      <w:r w:rsidR="00342D08" w:rsidRPr="00857CDA">
        <w:rPr>
          <w:i/>
          <w:lang w:val="ro-RO"/>
        </w:rPr>
        <w:t>statisti</w:t>
      </w:r>
      <w:r w:rsidRPr="00857CDA">
        <w:rPr>
          <w:i/>
          <w:lang w:val="ro-RO"/>
        </w:rPr>
        <w:t>c</w:t>
      </w:r>
      <w:r w:rsidR="00342D08" w:rsidRPr="00857CDA">
        <w:rPr>
          <w:i/>
          <w:lang w:val="ro-RO"/>
        </w:rPr>
        <w:t xml:space="preserve"> de tol</w:t>
      </w:r>
      <w:r w:rsidRPr="00857CDA">
        <w:rPr>
          <w:i/>
          <w:lang w:val="ro-RO"/>
        </w:rPr>
        <w:t>e</w:t>
      </w:r>
      <w:r w:rsidR="00342D08" w:rsidRPr="00857CDA">
        <w:rPr>
          <w:i/>
          <w:lang w:val="ro-RO"/>
        </w:rPr>
        <w:t>ran</w:t>
      </w:r>
      <w:r w:rsidRPr="00857CDA">
        <w:rPr>
          <w:i/>
          <w:lang w:val="ro-RO"/>
        </w:rPr>
        <w:t>ță</w:t>
      </w:r>
      <w:r w:rsidR="00342D08" w:rsidRPr="00857CDA">
        <w:rPr>
          <w:i/>
          <w:lang w:val="ro-RO"/>
        </w:rPr>
        <w:t xml:space="preserve"> unilat</w:t>
      </w:r>
      <w:r w:rsidRPr="00857CDA">
        <w:rPr>
          <w:i/>
          <w:lang w:val="ro-RO"/>
        </w:rPr>
        <w:t>e</w:t>
      </w:r>
      <w:r w:rsidR="00342D08" w:rsidRPr="00857CDA">
        <w:rPr>
          <w:i/>
          <w:lang w:val="ro-RO"/>
        </w:rPr>
        <w:t>ral</w:t>
      </w:r>
      <w:r w:rsidRPr="00857CDA">
        <w:rPr>
          <w:i/>
          <w:lang w:val="ro-RO"/>
        </w:rPr>
        <w:t>ă trebuie să fie calculat</w:t>
      </w:r>
      <w:r w:rsidR="00342D08" w:rsidRPr="00857CDA">
        <w:rPr>
          <w:i/>
          <w:lang w:val="ro-RO"/>
        </w:rPr>
        <w:t xml:space="preserve"> </w:t>
      </w:r>
      <w:r w:rsidR="00991390" w:rsidRPr="00857CDA">
        <w:rPr>
          <w:i/>
          <w:lang w:val="ro-RO"/>
        </w:rPr>
        <w:t>pentru</w:t>
      </w:r>
      <w:r w:rsidR="00342D08" w:rsidRPr="00857CDA">
        <w:rPr>
          <w:i/>
          <w:lang w:val="ro-RO"/>
        </w:rPr>
        <w:t xml:space="preserve"> un nive</w:t>
      </w:r>
      <w:r w:rsidRPr="00857CDA">
        <w:rPr>
          <w:i/>
          <w:lang w:val="ro-RO"/>
        </w:rPr>
        <w:t>l</w:t>
      </w:r>
      <w:r w:rsidR="00342D08" w:rsidRPr="00857CDA">
        <w:rPr>
          <w:i/>
          <w:lang w:val="ro-RO"/>
        </w:rPr>
        <w:t xml:space="preserve"> de </w:t>
      </w:r>
      <w:r w:rsidRPr="00857CDA">
        <w:rPr>
          <w:i/>
          <w:lang w:val="ro-RO"/>
        </w:rPr>
        <w:t>încredere</w:t>
      </w:r>
      <w:r w:rsidR="00342D08" w:rsidRPr="00857CDA">
        <w:rPr>
          <w:i/>
          <w:lang w:val="ro-RO"/>
        </w:rPr>
        <w:t xml:space="preserve"> de 95 %</w:t>
      </w:r>
      <w:r w:rsidR="004C27AD" w:rsidRPr="00857CDA">
        <w:rPr>
          <w:i/>
          <w:lang w:val="ro-RO"/>
        </w:rPr>
        <w:t xml:space="preserve"> și </w:t>
      </w:r>
      <w:r w:rsidRPr="00857CDA">
        <w:rPr>
          <w:i/>
          <w:lang w:val="ro-RO"/>
        </w:rPr>
        <w:t>pentru o</w:t>
      </w:r>
      <w:r w:rsidR="00342D08" w:rsidRPr="00857CDA">
        <w:rPr>
          <w:i/>
          <w:lang w:val="ro-RO"/>
        </w:rPr>
        <w:t xml:space="preserve"> propor</w:t>
      </w:r>
      <w:r w:rsidRPr="00857CDA">
        <w:rPr>
          <w:i/>
          <w:lang w:val="ro-RO"/>
        </w:rPr>
        <w:t>ție din</w:t>
      </w:r>
      <w:r w:rsidR="00342D08" w:rsidRPr="00857CDA">
        <w:rPr>
          <w:i/>
          <w:lang w:val="ro-RO"/>
        </w:rPr>
        <w:t xml:space="preserve"> popula</w:t>
      </w:r>
      <w:r w:rsidRPr="00857CDA">
        <w:rPr>
          <w:i/>
          <w:lang w:val="ro-RO"/>
        </w:rPr>
        <w:t>ție</w:t>
      </w:r>
      <w:r w:rsidR="00342D08" w:rsidRPr="00857CDA">
        <w:rPr>
          <w:i/>
          <w:lang w:val="ro-RO"/>
        </w:rPr>
        <w:t xml:space="preserve"> </w:t>
      </w:r>
      <w:r w:rsidRPr="00857CDA">
        <w:rPr>
          <w:i/>
          <w:lang w:val="ro-RO"/>
        </w:rPr>
        <w:t>e</w:t>
      </w:r>
      <w:r w:rsidR="00342D08" w:rsidRPr="00857CDA">
        <w:rPr>
          <w:i/>
          <w:lang w:val="ro-RO"/>
        </w:rPr>
        <w:t xml:space="preserve">gal </w:t>
      </w:r>
      <w:r w:rsidRPr="00857CDA">
        <w:rPr>
          <w:i/>
          <w:lang w:val="ro-RO"/>
        </w:rPr>
        <w:t>cu</w:t>
      </w:r>
      <w:r w:rsidR="00342D08" w:rsidRPr="00857CDA">
        <w:rPr>
          <w:i/>
          <w:lang w:val="ro-RO"/>
        </w:rPr>
        <w:t xml:space="preserve"> 99,9999 %.</w:t>
      </w:r>
    </w:p>
    <w:p w:rsidR="00342D08" w:rsidRPr="00857CDA" w:rsidRDefault="00342D08" w:rsidP="00342D08">
      <w:pPr>
        <w:pStyle w:val="SingleTxtG"/>
        <w:rPr>
          <w:i/>
          <w:lang w:val="ro-RO"/>
        </w:rPr>
      </w:pPr>
      <w:r w:rsidRPr="00857CDA">
        <w:rPr>
          <w:i/>
          <w:lang w:val="ro-RO"/>
        </w:rPr>
        <w:t>Limit</w:t>
      </w:r>
      <w:r w:rsidR="004A028F" w:rsidRPr="00857CDA">
        <w:rPr>
          <w:i/>
          <w:lang w:val="ro-RO"/>
        </w:rPr>
        <w:t>a</w:t>
      </w:r>
      <w:r w:rsidRPr="00857CDA">
        <w:rPr>
          <w:i/>
          <w:lang w:val="ro-RO"/>
        </w:rPr>
        <w:t xml:space="preserve"> inf</w:t>
      </w:r>
      <w:r w:rsidR="004A028F" w:rsidRPr="00857CDA">
        <w:rPr>
          <w:i/>
          <w:lang w:val="ro-RO"/>
        </w:rPr>
        <w:t>e</w:t>
      </w:r>
      <w:r w:rsidRPr="00857CDA">
        <w:rPr>
          <w:i/>
          <w:lang w:val="ro-RO"/>
        </w:rPr>
        <w:t>ri</w:t>
      </w:r>
      <w:r w:rsidR="004A028F" w:rsidRPr="00857CDA">
        <w:rPr>
          <w:i/>
          <w:lang w:val="ro-RO"/>
        </w:rPr>
        <w:t>oa</w:t>
      </w:r>
      <w:r w:rsidRPr="00857CDA">
        <w:rPr>
          <w:i/>
          <w:lang w:val="ro-RO"/>
        </w:rPr>
        <w:t>r</w:t>
      </w:r>
      <w:r w:rsidR="004A028F" w:rsidRPr="00857CDA">
        <w:rPr>
          <w:i/>
          <w:lang w:val="ro-RO"/>
        </w:rPr>
        <w:t>ă</w:t>
      </w:r>
      <w:r w:rsidRPr="00857CDA">
        <w:rPr>
          <w:i/>
          <w:lang w:val="ro-RO"/>
        </w:rPr>
        <w:t xml:space="preserve"> de tol</w:t>
      </w:r>
      <w:r w:rsidR="004A028F" w:rsidRPr="00857CDA">
        <w:rPr>
          <w:i/>
          <w:lang w:val="ro-RO"/>
        </w:rPr>
        <w:t>e</w:t>
      </w:r>
      <w:r w:rsidRPr="00857CDA">
        <w:rPr>
          <w:i/>
          <w:lang w:val="ro-RO"/>
        </w:rPr>
        <w:t>ran</w:t>
      </w:r>
      <w:r w:rsidR="004A028F" w:rsidRPr="00857CDA">
        <w:rPr>
          <w:i/>
          <w:lang w:val="ro-RO"/>
        </w:rPr>
        <w:t>ță</w:t>
      </w:r>
      <w:r w:rsidRPr="00857CDA">
        <w:rPr>
          <w:i/>
          <w:lang w:val="ro-RO"/>
        </w:rPr>
        <w:t xml:space="preserve"> est</w:t>
      </w:r>
      <w:r w:rsidR="004A028F" w:rsidRPr="00857CDA">
        <w:rPr>
          <w:i/>
          <w:lang w:val="ro-RO"/>
        </w:rPr>
        <w:t>e</w:t>
      </w:r>
      <w:r w:rsidRPr="00857CDA">
        <w:rPr>
          <w:i/>
          <w:lang w:val="ro-RO"/>
        </w:rPr>
        <w:t xml:space="preserve"> repr</w:t>
      </w:r>
      <w:r w:rsidR="004A028F" w:rsidRPr="00857CDA">
        <w:rPr>
          <w:i/>
          <w:lang w:val="ro-RO"/>
        </w:rPr>
        <w:t>ez</w:t>
      </w:r>
      <w:r w:rsidRPr="00857CDA">
        <w:rPr>
          <w:i/>
          <w:lang w:val="ro-RO"/>
        </w:rPr>
        <w:t>ent</w:t>
      </w:r>
      <w:r w:rsidR="004A028F" w:rsidRPr="00857CDA">
        <w:rPr>
          <w:i/>
          <w:lang w:val="ro-RO"/>
        </w:rPr>
        <w:t>ată</w:t>
      </w:r>
      <w:r w:rsidR="00902C44" w:rsidRPr="00857CDA">
        <w:rPr>
          <w:i/>
          <w:lang w:val="ro-RO"/>
        </w:rPr>
        <w:t xml:space="preserve"> cu </w:t>
      </w:r>
      <w:r w:rsidR="004A028F" w:rsidRPr="00857CDA">
        <w:rPr>
          <w:i/>
          <w:lang w:val="ro-RO"/>
        </w:rPr>
        <w:t>o</w:t>
      </w:r>
      <w:r w:rsidRPr="00857CDA">
        <w:rPr>
          <w:i/>
          <w:lang w:val="ro-RO"/>
        </w:rPr>
        <w:t xml:space="preserve"> lin</w:t>
      </w:r>
      <w:r w:rsidR="004A028F" w:rsidRPr="00857CDA">
        <w:rPr>
          <w:i/>
          <w:lang w:val="ro-RO"/>
        </w:rPr>
        <w:t>i</w:t>
      </w:r>
      <w:r w:rsidRPr="00857CDA">
        <w:rPr>
          <w:i/>
          <w:lang w:val="ro-RO"/>
        </w:rPr>
        <w:t xml:space="preserve">e </w:t>
      </w:r>
      <w:r w:rsidR="004A028F" w:rsidRPr="00857CDA">
        <w:rPr>
          <w:i/>
          <w:lang w:val="ro-RO"/>
        </w:rPr>
        <w:t>a</w:t>
      </w:r>
      <w:r w:rsidRPr="00857CDA">
        <w:rPr>
          <w:i/>
          <w:lang w:val="ro-RO"/>
        </w:rPr>
        <w:t xml:space="preserve"> </w:t>
      </w:r>
      <w:r w:rsidR="004A028F" w:rsidRPr="00857CDA">
        <w:rPr>
          <w:i/>
          <w:lang w:val="ro-RO"/>
        </w:rPr>
        <w:t xml:space="preserve">gradului de supraviețuire </w:t>
      </w:r>
      <w:r w:rsidRPr="00857CDA">
        <w:rPr>
          <w:i/>
          <w:lang w:val="ro-RO"/>
        </w:rPr>
        <w:t>constant d</w:t>
      </w:r>
      <w:r w:rsidR="004A028F" w:rsidRPr="00857CDA">
        <w:rPr>
          <w:i/>
          <w:lang w:val="ro-RO"/>
        </w:rPr>
        <w:t>e</w:t>
      </w:r>
      <w:r w:rsidRPr="00857CDA">
        <w:rPr>
          <w:i/>
          <w:lang w:val="ro-RO"/>
        </w:rPr>
        <w:t>termin</w:t>
      </w:r>
      <w:r w:rsidR="004A028F" w:rsidRPr="00857CDA">
        <w:rPr>
          <w:i/>
          <w:lang w:val="ro-RO"/>
        </w:rPr>
        <w:t>ată prin intermediul</w:t>
      </w:r>
      <w:r w:rsidRPr="00857CDA">
        <w:rPr>
          <w:i/>
          <w:lang w:val="ro-RO"/>
        </w:rPr>
        <w:t xml:space="preserve"> formule</w:t>
      </w:r>
      <w:r w:rsidR="004A028F" w:rsidRPr="00857CDA">
        <w:rPr>
          <w:i/>
          <w:lang w:val="ro-RO"/>
        </w:rPr>
        <w:t>i</w:t>
      </w:r>
      <w:r w:rsidRPr="00857CDA">
        <w:rPr>
          <w:i/>
          <w:lang w:val="ro-RO"/>
        </w:rPr>
        <w:t xml:space="preserve"> de l</w:t>
      </w:r>
      <w:r w:rsidR="004A028F" w:rsidRPr="00857CDA">
        <w:rPr>
          <w:i/>
          <w:lang w:val="ro-RO"/>
        </w:rPr>
        <w:t>a et</w:t>
      </w:r>
      <w:r w:rsidRPr="00857CDA">
        <w:rPr>
          <w:i/>
          <w:lang w:val="ro-RO"/>
        </w:rPr>
        <w:t>ap</w:t>
      </w:r>
      <w:r w:rsidR="004A028F" w:rsidRPr="00857CDA">
        <w:rPr>
          <w:i/>
          <w:lang w:val="ro-RO"/>
        </w:rPr>
        <w:t>a</w:t>
      </w:r>
      <w:r w:rsidRPr="00857CDA">
        <w:rPr>
          <w:i/>
          <w:lang w:val="ro-RO"/>
        </w:rPr>
        <w:t xml:space="preserve"> 3.1 pr</w:t>
      </w:r>
      <w:r w:rsidR="004A028F" w:rsidRPr="00857CDA">
        <w:rPr>
          <w:i/>
          <w:lang w:val="ro-RO"/>
        </w:rPr>
        <w:t>e</w:t>
      </w:r>
      <w:r w:rsidRPr="00857CDA">
        <w:rPr>
          <w:i/>
          <w:lang w:val="ro-RO"/>
        </w:rPr>
        <w:t>c</w:t>
      </w:r>
      <w:r w:rsidR="004A028F" w:rsidRPr="00857CDA">
        <w:rPr>
          <w:i/>
          <w:lang w:val="ro-RO"/>
        </w:rPr>
        <w:t>e</w:t>
      </w:r>
      <w:r w:rsidRPr="00857CDA">
        <w:rPr>
          <w:i/>
          <w:lang w:val="ro-RO"/>
        </w:rPr>
        <w:t>dent</w:t>
      </w:r>
      <w:r w:rsidR="004A028F" w:rsidRPr="00857CDA">
        <w:rPr>
          <w:i/>
          <w:lang w:val="ro-RO"/>
        </w:rPr>
        <w:t>ă</w:t>
      </w:r>
      <w:r w:rsidRPr="00857CDA">
        <w:rPr>
          <w:i/>
          <w:lang w:val="ro-RO"/>
        </w:rPr>
        <w:t xml:space="preserve">, </w:t>
      </w:r>
      <w:r w:rsidR="004A028F" w:rsidRPr="00857CDA">
        <w:rPr>
          <w:i/>
          <w:lang w:val="ro-RO"/>
        </w:rPr>
        <w:t>unde</w:t>
      </w:r>
      <w:r w:rsidRPr="00857CDA">
        <w:rPr>
          <w:i/>
          <w:lang w:val="ro-RO"/>
        </w:rPr>
        <w:t xml:space="preserve"> fact</w:t>
      </w:r>
      <w:r w:rsidR="004A028F" w:rsidRPr="00857CDA">
        <w:rPr>
          <w:i/>
          <w:lang w:val="ro-RO"/>
        </w:rPr>
        <w:t>orii</w:t>
      </w:r>
      <w:r w:rsidRPr="00857CDA">
        <w:rPr>
          <w:i/>
          <w:lang w:val="ro-RO"/>
        </w:rPr>
        <w:t xml:space="preserve"> k3 s</w:t>
      </w:r>
      <w:r w:rsidR="004A028F" w:rsidRPr="00857CDA">
        <w:rPr>
          <w:i/>
          <w:lang w:val="ro-RO"/>
        </w:rPr>
        <w:t>u</w:t>
      </w:r>
      <w:r w:rsidRPr="00857CDA">
        <w:rPr>
          <w:i/>
          <w:lang w:val="ro-RO"/>
        </w:rPr>
        <w:t xml:space="preserve">nt </w:t>
      </w:r>
      <w:r w:rsidR="004A028F" w:rsidRPr="00857CDA">
        <w:rPr>
          <w:i/>
          <w:lang w:val="ro-RO"/>
        </w:rPr>
        <w:t>bazați și calculați pe proprietățile unei distribuții Weibull</w:t>
      </w:r>
      <w:r w:rsidRPr="00857CDA">
        <w:rPr>
          <w:i/>
          <w:lang w:val="ro-RO"/>
        </w:rPr>
        <w:t>.</w:t>
      </w:r>
    </w:p>
    <w:p w:rsidR="00342D08" w:rsidRPr="00857CDA" w:rsidRDefault="004A028F" w:rsidP="004A028F">
      <w:pPr>
        <w:pStyle w:val="SingleTxtG"/>
        <w:rPr>
          <w:i/>
          <w:lang w:val="ro-RO"/>
        </w:rPr>
      </w:pPr>
      <w:r w:rsidRPr="00857CDA">
        <w:rPr>
          <w:i/>
          <w:lang w:val="ro-RO"/>
        </w:rPr>
        <w:t>Valorile factorului k3, care corespunde unei distribuții Weibull, se regăsesc în tabelul de mai jos de la sfârșitul etapei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342D08" w:rsidRPr="0079052F" w:rsidTr="00342D08">
        <w:trPr>
          <w:tblHeader/>
        </w:trPr>
        <w:tc>
          <w:tcPr>
            <w:tcW w:w="7371" w:type="dxa"/>
            <w:gridSpan w:val="3"/>
            <w:tcBorders>
              <w:top w:val="single" w:sz="4" w:space="0" w:color="auto"/>
              <w:left w:val="single" w:sz="4" w:space="0" w:color="auto"/>
              <w:bottom w:val="single" w:sz="4" w:space="0" w:color="auto"/>
              <w:right w:val="single" w:sz="4" w:space="0" w:color="auto"/>
            </w:tcBorders>
            <w:hideMark/>
          </w:tcPr>
          <w:p w:rsidR="004A028F" w:rsidRPr="00857CDA" w:rsidRDefault="004A028F" w:rsidP="004A028F">
            <w:pPr>
              <w:suppressAutoHyphens w:val="0"/>
              <w:spacing w:line="240" w:lineRule="auto"/>
              <w:jc w:val="center"/>
              <w:rPr>
                <w:rFonts w:eastAsia="Calibri"/>
                <w:b/>
                <w:i/>
                <w:szCs w:val="24"/>
                <w:lang w:val="ro-RO"/>
              </w:rPr>
            </w:pPr>
            <w:r w:rsidRPr="00857CDA">
              <w:rPr>
                <w:rFonts w:eastAsia="Calibri"/>
                <w:b/>
                <w:i/>
                <w:szCs w:val="24"/>
                <w:lang w:val="ro-RO"/>
              </w:rPr>
              <w:t>Tabelul pentru k3</w:t>
            </w:r>
          </w:p>
          <w:p w:rsidR="00342D08" w:rsidRPr="00857CDA" w:rsidRDefault="00342D08">
            <w:pPr>
              <w:pStyle w:val="SingleTxtG"/>
              <w:ind w:left="0" w:right="141"/>
              <w:jc w:val="center"/>
              <w:rPr>
                <w:i/>
                <w:lang w:val="ro-RO"/>
              </w:rPr>
            </w:pPr>
            <w:r w:rsidRPr="00857CDA">
              <w:rPr>
                <w:i/>
                <w:sz w:val="18"/>
                <w:szCs w:val="18"/>
                <w:lang w:val="ro-RO"/>
              </w:rPr>
              <w:t>p = 99,9999 %</w:t>
            </w:r>
            <w:r w:rsidR="004C27AD" w:rsidRPr="00857CDA">
              <w:rPr>
                <w:i/>
                <w:sz w:val="18"/>
                <w:szCs w:val="18"/>
                <w:lang w:val="ro-RO"/>
              </w:rPr>
              <w:t xml:space="preserve"> și </w:t>
            </w:r>
            <w:r w:rsidRPr="00857CDA">
              <w:rPr>
                <w:i/>
                <w:sz w:val="18"/>
                <w:szCs w:val="18"/>
                <w:lang w:val="ro-RO"/>
              </w:rPr>
              <w:t>(1-α) = 0,95</w:t>
            </w:r>
          </w:p>
        </w:tc>
      </w:tr>
      <w:tr w:rsidR="004A028F" w:rsidRPr="00857CDA" w:rsidTr="00342D08">
        <w:trPr>
          <w:tblHeader/>
        </w:trPr>
        <w:tc>
          <w:tcPr>
            <w:tcW w:w="2468" w:type="dxa"/>
            <w:tcBorders>
              <w:top w:val="single" w:sz="4" w:space="0" w:color="auto"/>
              <w:left w:val="single" w:sz="4" w:space="0" w:color="auto"/>
              <w:bottom w:val="single" w:sz="4" w:space="0" w:color="auto"/>
              <w:right w:val="single" w:sz="4" w:space="0" w:color="auto"/>
            </w:tcBorders>
            <w:hideMark/>
          </w:tcPr>
          <w:p w:rsidR="004A028F" w:rsidRPr="00857CDA" w:rsidRDefault="004A028F" w:rsidP="0053564A">
            <w:pPr>
              <w:jc w:val="center"/>
              <w:rPr>
                <w:rFonts w:eastAsia="Calibri"/>
                <w:b/>
                <w:i/>
                <w:lang w:val="ro-RO"/>
              </w:rPr>
            </w:pPr>
            <w:r w:rsidRPr="00857CDA">
              <w:rPr>
                <w:rFonts w:eastAsia="Calibri"/>
                <w:b/>
                <w:i/>
                <w:lang w:val="ro-RO"/>
              </w:rPr>
              <w:t>Număr de eșantioane</w:t>
            </w:r>
          </w:p>
          <w:p w:rsidR="004A028F" w:rsidRPr="00857CDA" w:rsidRDefault="004A028F" w:rsidP="0053564A">
            <w:pPr>
              <w:jc w:val="center"/>
              <w:rPr>
                <w:rFonts w:eastAsia="Calibri"/>
                <w:b/>
                <w:i/>
                <w:lang w:val="ro-RO"/>
              </w:rPr>
            </w:pPr>
            <w:r w:rsidRPr="00857CDA">
              <w:rPr>
                <w:rFonts w:eastAsia="Calibri"/>
                <w:b/>
                <w:i/>
                <w:lang w:val="ro-RO"/>
              </w:rPr>
              <w:t>n</w:t>
            </w:r>
          </w:p>
        </w:tc>
        <w:tc>
          <w:tcPr>
            <w:tcW w:w="2404" w:type="dxa"/>
            <w:tcBorders>
              <w:top w:val="single" w:sz="4" w:space="0" w:color="auto"/>
              <w:left w:val="single" w:sz="4" w:space="0" w:color="auto"/>
              <w:bottom w:val="single" w:sz="4" w:space="0" w:color="auto"/>
              <w:right w:val="single" w:sz="4" w:space="0" w:color="auto"/>
            </w:tcBorders>
            <w:hideMark/>
          </w:tcPr>
          <w:p w:rsidR="004A028F" w:rsidRPr="00857CDA" w:rsidRDefault="004A028F" w:rsidP="0053564A">
            <w:pPr>
              <w:jc w:val="center"/>
              <w:rPr>
                <w:rFonts w:eastAsia="Calibri"/>
                <w:b/>
                <w:i/>
                <w:lang w:val="ro-RO"/>
              </w:rPr>
            </w:pPr>
            <w:r w:rsidRPr="00857CDA">
              <w:rPr>
                <w:rFonts w:eastAsia="Calibri"/>
                <w:b/>
                <w:i/>
                <w:lang w:val="ro-RO"/>
              </w:rPr>
              <w:t>distribuție normală</w:t>
            </w:r>
          </w:p>
          <w:p w:rsidR="004A028F" w:rsidRPr="00857CDA" w:rsidRDefault="004A028F" w:rsidP="0053564A">
            <w:pPr>
              <w:jc w:val="center"/>
              <w:rPr>
                <w:rFonts w:eastAsia="Calibri"/>
                <w:b/>
                <w:i/>
                <w:lang w:val="ro-RO"/>
              </w:rPr>
            </w:pPr>
            <w:r w:rsidRPr="00857CDA">
              <w:rPr>
                <w:rFonts w:eastAsia="Calibri"/>
                <w:b/>
                <w:i/>
                <w:lang w:val="ro-RO"/>
              </w:rPr>
              <w:t>k3</w:t>
            </w:r>
          </w:p>
        </w:tc>
        <w:tc>
          <w:tcPr>
            <w:tcW w:w="2499" w:type="dxa"/>
            <w:tcBorders>
              <w:top w:val="single" w:sz="4" w:space="0" w:color="auto"/>
              <w:left w:val="single" w:sz="4" w:space="0" w:color="auto"/>
              <w:bottom w:val="single" w:sz="4" w:space="0" w:color="auto"/>
              <w:right w:val="single" w:sz="4" w:space="0" w:color="auto"/>
            </w:tcBorders>
            <w:hideMark/>
          </w:tcPr>
          <w:p w:rsidR="004A028F" w:rsidRPr="00857CDA" w:rsidRDefault="004A028F" w:rsidP="0053564A">
            <w:pPr>
              <w:jc w:val="center"/>
              <w:rPr>
                <w:rFonts w:eastAsia="Calibri"/>
                <w:b/>
                <w:i/>
                <w:lang w:val="ro-RO"/>
              </w:rPr>
            </w:pPr>
            <w:r w:rsidRPr="00857CDA">
              <w:rPr>
                <w:rFonts w:eastAsia="Calibri"/>
                <w:b/>
                <w:i/>
                <w:lang w:val="ro-RO"/>
              </w:rPr>
              <w:t>Distribuție Weibull</w:t>
            </w:r>
          </w:p>
          <w:p w:rsidR="004A028F" w:rsidRPr="00857CDA" w:rsidRDefault="004A028F" w:rsidP="0053564A">
            <w:pPr>
              <w:jc w:val="center"/>
              <w:rPr>
                <w:rFonts w:eastAsia="Calibri"/>
                <w:b/>
                <w:i/>
                <w:lang w:val="ro-RO"/>
              </w:rPr>
            </w:pPr>
            <w:r w:rsidRPr="00857CDA">
              <w:rPr>
                <w:rFonts w:eastAsia="Calibri"/>
                <w:b/>
                <w:i/>
                <w:lang w:val="ro-RO"/>
              </w:rPr>
              <w:t>k3</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20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6,901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16,021</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22</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6,765</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15,722</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24</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6,651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15,472</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26</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6,553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15,258</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28</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6,468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15,072</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lastRenderedPageBreak/>
              <w:t>30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6,393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14,909</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35</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6,241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14,578</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40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6,123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14,321</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45</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6,028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14,116</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5,949</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13,947</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60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5,827</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13,683</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70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5,735</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13,485</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80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5,662</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13,329</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90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5,603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13,203</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5,554</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13,098</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5,393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12,754</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200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5,300</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12,557</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250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5,238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12,426</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300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5,193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12,330</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400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5,131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12,199</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5,089</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12,111</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1000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4,988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11,897</w:t>
            </w:r>
          </w:p>
        </w:tc>
      </w:tr>
      <w:tr w:rsidR="00342D08" w:rsidRPr="00857CDA"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4,753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857CDA" w:rsidRDefault="00342D08">
            <w:pPr>
              <w:suppressAutoHyphens w:val="0"/>
              <w:spacing w:before="40" w:after="80" w:line="200" w:lineRule="atLeast"/>
              <w:ind w:left="113" w:right="113"/>
              <w:jc w:val="center"/>
              <w:rPr>
                <w:i/>
                <w:sz w:val="18"/>
                <w:szCs w:val="18"/>
                <w:lang w:val="ro-RO"/>
              </w:rPr>
            </w:pPr>
            <w:r w:rsidRPr="00857CDA">
              <w:rPr>
                <w:i/>
                <w:sz w:val="18"/>
                <w:szCs w:val="18"/>
                <w:lang w:val="ro-RO"/>
              </w:rPr>
              <w:t>11,408</w:t>
            </w:r>
          </w:p>
        </w:tc>
      </w:tr>
    </w:tbl>
    <w:p w:rsidR="00342D08" w:rsidRPr="00857CDA" w:rsidRDefault="00342D08" w:rsidP="005D15C7">
      <w:pPr>
        <w:pStyle w:val="SingleTxtG"/>
        <w:spacing w:before="120"/>
        <w:rPr>
          <w:i/>
          <w:lang w:val="ro-RO"/>
        </w:rPr>
      </w:pPr>
      <w:r w:rsidRPr="00857CDA">
        <w:rPr>
          <w:b/>
          <w:i/>
          <w:lang w:val="ro-RO"/>
        </w:rPr>
        <w:t>NOT</w:t>
      </w:r>
      <w:r w:rsidR="004A028F" w:rsidRPr="00857CDA">
        <w:rPr>
          <w:b/>
          <w:i/>
          <w:lang w:val="ro-RO"/>
        </w:rPr>
        <w:t>Ă</w:t>
      </w:r>
      <w:r w:rsidR="00091658" w:rsidRPr="00857CDA">
        <w:rPr>
          <w:b/>
          <w:i/>
          <w:lang w:val="ro-RO"/>
        </w:rPr>
        <w:t>:</w:t>
      </w:r>
      <w:r w:rsidRPr="00857CDA">
        <w:rPr>
          <w:i/>
          <w:lang w:val="ro-RO"/>
        </w:rPr>
        <w:t xml:space="preserve"> </w:t>
      </w:r>
      <w:r w:rsidR="004A028F" w:rsidRPr="00857CDA">
        <w:rPr>
          <w:i/>
          <w:lang w:val="ro-RO"/>
        </w:rPr>
        <w:t xml:space="preserve">Dacă mărimea eșantionului se situează între două valori, selectați cea mai apropiată mărime </w:t>
      </w:r>
      <w:r w:rsidR="005D15C7" w:rsidRPr="00857CDA">
        <w:rPr>
          <w:i/>
          <w:lang w:val="ro-RO"/>
        </w:rPr>
        <w:t>inferioară</w:t>
      </w:r>
      <w:r w:rsidRPr="00857CDA">
        <w:rPr>
          <w:i/>
          <w:lang w:val="ro-RO"/>
        </w:rPr>
        <w:t>.</w:t>
      </w:r>
    </w:p>
    <w:p w:rsidR="00342D08" w:rsidRPr="00857CDA" w:rsidRDefault="00342D08" w:rsidP="00342D08">
      <w:pPr>
        <w:pStyle w:val="SingleTxtG"/>
        <w:rPr>
          <w:lang w:val="ro-RO"/>
        </w:rPr>
      </w:pPr>
      <w:r w:rsidRPr="00857CDA">
        <w:rPr>
          <w:lang w:val="ro-RO"/>
        </w:rPr>
        <w:t>h)</w:t>
      </w:r>
      <w:r w:rsidRPr="00857CDA">
        <w:rPr>
          <w:lang w:val="ro-RO"/>
        </w:rPr>
        <w:tab/>
        <w:t>M</w:t>
      </w:r>
      <w:r w:rsidR="005D15C7" w:rsidRPr="00857CDA">
        <w:rPr>
          <w:lang w:val="ro-RO"/>
        </w:rPr>
        <w:t>ă</w:t>
      </w:r>
      <w:r w:rsidRPr="00857CDA">
        <w:rPr>
          <w:lang w:val="ro-RO"/>
        </w:rPr>
        <w:t>sur</w:t>
      </w:r>
      <w:r w:rsidR="005D15C7" w:rsidRPr="00857CDA">
        <w:rPr>
          <w:lang w:val="ro-RO"/>
        </w:rPr>
        <w:t>i</w:t>
      </w:r>
      <w:r w:rsidRPr="00857CDA">
        <w:rPr>
          <w:lang w:val="ro-RO"/>
        </w:rPr>
        <w:t xml:space="preserve"> </w:t>
      </w:r>
      <w:r w:rsidR="005D15C7" w:rsidRPr="00857CDA">
        <w:rPr>
          <w:lang w:val="ro-RO"/>
        </w:rPr>
        <w:t>de</w:t>
      </w:r>
      <w:r w:rsidRPr="00857CDA">
        <w:rPr>
          <w:lang w:val="ro-RO"/>
        </w:rPr>
        <w:t xml:space="preserve"> </w:t>
      </w:r>
      <w:r w:rsidR="005D15C7" w:rsidRPr="00857CDA">
        <w:rPr>
          <w:lang w:val="ro-RO"/>
        </w:rPr>
        <w:t>între</w:t>
      </w:r>
      <w:r w:rsidRPr="00857CDA">
        <w:rPr>
          <w:lang w:val="ro-RO"/>
        </w:rPr>
        <w:t>pr</w:t>
      </w:r>
      <w:r w:rsidR="005D15C7" w:rsidRPr="00857CDA">
        <w:rPr>
          <w:lang w:val="ro-RO"/>
        </w:rPr>
        <w:t>ins</w:t>
      </w:r>
      <w:r w:rsidRPr="00857CDA">
        <w:rPr>
          <w:lang w:val="ro-RO"/>
        </w:rPr>
        <w:t xml:space="preserve"> </w:t>
      </w:r>
      <w:r w:rsidR="005D15C7" w:rsidRPr="00857CDA">
        <w:rPr>
          <w:lang w:val="ro-RO"/>
        </w:rPr>
        <w:t>dacă</w:t>
      </w:r>
      <w:r w:rsidRPr="00857CDA">
        <w:rPr>
          <w:lang w:val="ro-RO"/>
        </w:rPr>
        <w:t xml:space="preserve"> crit</w:t>
      </w:r>
      <w:r w:rsidR="005D15C7" w:rsidRPr="00857CDA">
        <w:rPr>
          <w:lang w:val="ro-RO"/>
        </w:rPr>
        <w:t>e</w:t>
      </w:r>
      <w:r w:rsidRPr="00857CDA">
        <w:rPr>
          <w:lang w:val="ro-RO"/>
        </w:rPr>
        <w:t>r</w:t>
      </w:r>
      <w:r w:rsidR="005D15C7" w:rsidRPr="00857CDA">
        <w:rPr>
          <w:lang w:val="ro-RO"/>
        </w:rPr>
        <w:t xml:space="preserve">iile </w:t>
      </w:r>
      <w:r w:rsidRPr="00857CDA">
        <w:rPr>
          <w:lang w:val="ro-RO"/>
        </w:rPr>
        <w:t>d</w:t>
      </w:r>
      <w:r w:rsidR="005D15C7" w:rsidRPr="00857CDA">
        <w:rPr>
          <w:lang w:val="ro-RO"/>
        </w:rPr>
        <w:t xml:space="preserve">e </w:t>
      </w:r>
      <w:r w:rsidRPr="00857CDA">
        <w:rPr>
          <w:lang w:val="ro-RO"/>
        </w:rPr>
        <w:t>accepta</w:t>
      </w:r>
      <w:r w:rsidR="005D15C7" w:rsidRPr="00857CDA">
        <w:rPr>
          <w:lang w:val="ro-RO"/>
        </w:rPr>
        <w:t>re</w:t>
      </w:r>
      <w:r w:rsidRPr="00857CDA">
        <w:rPr>
          <w:lang w:val="ro-RO"/>
        </w:rPr>
        <w:t xml:space="preserve"> n</w:t>
      </w:r>
      <w:r w:rsidR="005D15C7" w:rsidRPr="00857CDA">
        <w:rPr>
          <w:lang w:val="ro-RO"/>
        </w:rPr>
        <w:t>u</w:t>
      </w:r>
      <w:r w:rsidRPr="00857CDA">
        <w:rPr>
          <w:lang w:val="ro-RO"/>
        </w:rPr>
        <w:t xml:space="preserve"> s</w:t>
      </w:r>
      <w:r w:rsidR="005D15C7" w:rsidRPr="00857CDA">
        <w:rPr>
          <w:lang w:val="ro-RO"/>
        </w:rPr>
        <w:t>u</w:t>
      </w:r>
      <w:r w:rsidRPr="00857CDA">
        <w:rPr>
          <w:lang w:val="ro-RO"/>
        </w:rPr>
        <w:t>nt respect</w:t>
      </w:r>
      <w:r w:rsidR="005D15C7" w:rsidRPr="00857CDA">
        <w:rPr>
          <w:lang w:val="ro-RO"/>
        </w:rPr>
        <w:t>ate</w:t>
      </w:r>
    </w:p>
    <w:p w:rsidR="005D15C7" w:rsidRPr="00857CDA" w:rsidRDefault="005D15C7" w:rsidP="00342D08">
      <w:pPr>
        <w:pStyle w:val="SingleTxtG"/>
        <w:ind w:left="1701"/>
        <w:rPr>
          <w:lang w:val="ro-RO"/>
        </w:rPr>
      </w:pPr>
      <w:r w:rsidRPr="00857CDA">
        <w:rPr>
          <w:lang w:val="ro-RO"/>
        </w:rPr>
        <w:t xml:space="preserve">Dacă un rezultat al încercărilor </w:t>
      </w:r>
      <w:r w:rsidRPr="00857CDA">
        <w:rPr>
          <w:rFonts w:eastAsia="Calibri"/>
          <w:lang w:val="ro-RO"/>
        </w:rPr>
        <w:t>de rezistență la plesnire</w:t>
      </w:r>
      <w:r w:rsidRPr="00857CDA">
        <w:rPr>
          <w:lang w:val="ro-RO"/>
        </w:rPr>
        <w:t>, al încercărilor de jupuire și corosiune sau al încercărilor de aderență nu îndeplinește criteriile detaliate de la litera g), proprietarul separă sub-grupul de butelii metalice cu carcasă alocate examinări suplimentare deoarece aceste butelii nu trebuie umplute, oferite pentru transport sau utilizate.</w:t>
      </w:r>
    </w:p>
    <w:p w:rsidR="00024463" w:rsidRPr="00857CDA" w:rsidRDefault="00024463" w:rsidP="00342D08">
      <w:pPr>
        <w:pStyle w:val="SingleTxtG"/>
        <w:ind w:left="1701"/>
        <w:rPr>
          <w:lang w:val="ro-RO"/>
        </w:rPr>
      </w:pPr>
      <w:r w:rsidRPr="00857CDA">
        <w:rPr>
          <w:lang w:val="ro-RO"/>
        </w:rPr>
        <w:t xml:space="preserve">În acord cu autoritatea competentă sau cu organismul Xa care a emis omologarea de tip, trebuie efectuate noi încercări pentru a determina cauza principală a defecțiunii. </w:t>
      </w:r>
    </w:p>
    <w:p w:rsidR="00322E84" w:rsidRPr="00857CDA" w:rsidRDefault="00322E84" w:rsidP="00342D08">
      <w:pPr>
        <w:pStyle w:val="SingleTxtG"/>
        <w:ind w:left="1701"/>
        <w:rPr>
          <w:lang w:val="ro-RO"/>
        </w:rPr>
      </w:pPr>
      <w:r w:rsidRPr="00857CDA">
        <w:rPr>
          <w:lang w:val="ro-RO"/>
        </w:rPr>
        <w:t xml:space="preserve">În cazul în care cauza principală a defecțiunii nu poate fi dovedită ca fiind limitată la sub-grupul proprietarului în cauză, autoritatea competentă sau organismul Xa trebuie să ia măsuri privind întreaga populație de bază și, eventual, și alți ani de fabricație. </w:t>
      </w:r>
    </w:p>
    <w:p w:rsidR="00342D08" w:rsidRPr="00857CDA" w:rsidRDefault="00322E84" w:rsidP="00322E84">
      <w:pPr>
        <w:pStyle w:val="SingleTxtG"/>
        <w:ind w:left="1701"/>
        <w:rPr>
          <w:lang w:val="ro-RO"/>
        </w:rPr>
      </w:pPr>
      <w:r w:rsidRPr="00857CDA">
        <w:rPr>
          <w:lang w:val="ro-RO"/>
        </w:rPr>
        <w:t>Dacă se poate dovedi că, cauza principală se limitează la o parte a sub-grupului afectat, autoritatea competentă poate permite părților neafectate să revină în serviciu. Trebuie să se demonstreze că niciuna din buteliile metalice cu carcasă reîntoarsă în serviciu nu este afectată</w:t>
      </w:r>
      <w:r w:rsidR="00342D08" w:rsidRPr="00857CDA">
        <w:rPr>
          <w:lang w:val="ro-RO"/>
        </w:rPr>
        <w:t>.</w:t>
      </w:r>
    </w:p>
    <w:p w:rsidR="00342D08" w:rsidRPr="00857CDA" w:rsidRDefault="00342D08" w:rsidP="00342D08">
      <w:pPr>
        <w:pStyle w:val="SingleTxtG"/>
        <w:rPr>
          <w:lang w:val="ro-RO"/>
        </w:rPr>
      </w:pPr>
      <w:r w:rsidRPr="00857CDA">
        <w:rPr>
          <w:lang w:val="ro-RO"/>
        </w:rPr>
        <w:t>i)</w:t>
      </w:r>
      <w:r w:rsidRPr="00857CDA">
        <w:rPr>
          <w:lang w:val="ro-RO"/>
        </w:rPr>
        <w:tab/>
        <w:t>Prescrip</w:t>
      </w:r>
      <w:r w:rsidR="00322E84" w:rsidRPr="00857CDA">
        <w:rPr>
          <w:lang w:val="ro-RO"/>
        </w:rPr>
        <w:t>ții</w:t>
      </w:r>
      <w:r w:rsidRPr="00857CDA">
        <w:rPr>
          <w:lang w:val="ro-RO"/>
        </w:rPr>
        <w:t xml:space="preserve"> aplicab</w:t>
      </w:r>
      <w:r w:rsidR="00322E84" w:rsidRPr="00857CDA">
        <w:rPr>
          <w:lang w:val="ro-RO"/>
        </w:rPr>
        <w:t>i</w:t>
      </w:r>
      <w:r w:rsidRPr="00857CDA">
        <w:rPr>
          <w:lang w:val="ro-RO"/>
        </w:rPr>
        <w:t>le centre</w:t>
      </w:r>
      <w:r w:rsidR="00322E84" w:rsidRPr="00857CDA">
        <w:rPr>
          <w:lang w:val="ro-RO"/>
        </w:rPr>
        <w:t>lor</w:t>
      </w:r>
      <w:r w:rsidRPr="00857CDA">
        <w:rPr>
          <w:lang w:val="ro-RO"/>
        </w:rPr>
        <w:t xml:space="preserve"> de </w:t>
      </w:r>
      <w:r w:rsidR="00322E84" w:rsidRPr="00857CDA">
        <w:rPr>
          <w:lang w:val="ro-RO"/>
        </w:rPr>
        <w:t>umplere</w:t>
      </w:r>
    </w:p>
    <w:p w:rsidR="00322E84" w:rsidRPr="00857CDA" w:rsidRDefault="00322E84" w:rsidP="00342D08">
      <w:pPr>
        <w:pStyle w:val="SingleTxtG"/>
        <w:ind w:left="1701"/>
        <w:rPr>
          <w:lang w:val="ro-RO"/>
        </w:rPr>
      </w:pPr>
      <w:r w:rsidRPr="00857CDA">
        <w:rPr>
          <w:lang w:val="ro-RO"/>
        </w:rPr>
        <w:lastRenderedPageBreak/>
        <w:t xml:space="preserve">Proprietarul trebuie să pună la dispoziția autorității competente dovezi </w:t>
      </w:r>
      <w:r w:rsidR="00EE3C40" w:rsidRPr="00857CDA">
        <w:rPr>
          <w:lang w:val="ro-RO"/>
        </w:rPr>
        <w:t>prin care</w:t>
      </w:r>
      <w:r w:rsidRPr="00857CDA">
        <w:rPr>
          <w:lang w:val="ro-RO"/>
        </w:rPr>
        <w:t xml:space="preserve"> centrele de umplere: </w:t>
      </w:r>
    </w:p>
    <w:p w:rsidR="00342D08" w:rsidRPr="00857CDA" w:rsidRDefault="00342D08" w:rsidP="00342D08">
      <w:pPr>
        <w:pStyle w:val="SingleTxtG"/>
        <w:ind w:left="1701"/>
        <w:rPr>
          <w:lang w:val="ro-RO"/>
        </w:rPr>
      </w:pPr>
      <w:r w:rsidRPr="00857CDA">
        <w:rPr>
          <w:lang w:val="ro-RO"/>
        </w:rPr>
        <w:t>-</w:t>
      </w:r>
      <w:r w:rsidRPr="00857CDA">
        <w:rPr>
          <w:lang w:val="ro-RO"/>
        </w:rPr>
        <w:tab/>
        <w:t>Respect</w:t>
      </w:r>
      <w:r w:rsidR="00EE3C40" w:rsidRPr="00857CDA">
        <w:rPr>
          <w:lang w:val="ro-RO"/>
        </w:rPr>
        <w:t>ă</w:t>
      </w:r>
      <w:r w:rsidRPr="00857CDA">
        <w:rPr>
          <w:lang w:val="ro-RO"/>
        </w:rPr>
        <w:t xml:space="preserve"> dispo</w:t>
      </w:r>
      <w:r w:rsidR="00EE3C40" w:rsidRPr="00857CDA">
        <w:rPr>
          <w:lang w:val="ro-RO"/>
        </w:rPr>
        <w:t>z</w:t>
      </w:r>
      <w:r w:rsidRPr="00857CDA">
        <w:rPr>
          <w:lang w:val="ro-RO"/>
        </w:rPr>
        <w:t>i</w:t>
      </w:r>
      <w:r w:rsidR="00EE3C40" w:rsidRPr="00857CDA">
        <w:rPr>
          <w:lang w:val="ro-RO"/>
        </w:rPr>
        <w:t>țiile</w:t>
      </w:r>
      <w:r w:rsidRPr="00857CDA">
        <w:rPr>
          <w:lang w:val="ro-RO"/>
        </w:rPr>
        <w:t xml:space="preserve"> </w:t>
      </w:r>
      <w:r w:rsidR="00970E20" w:rsidRPr="00857CDA">
        <w:rPr>
          <w:lang w:val="ro-RO"/>
        </w:rPr>
        <w:t>paragraf</w:t>
      </w:r>
      <w:r w:rsidR="00EE3C40" w:rsidRPr="00857CDA">
        <w:rPr>
          <w:lang w:val="ro-RO"/>
        </w:rPr>
        <w:t>ului</w:t>
      </w:r>
      <w:r w:rsidRPr="00857CDA">
        <w:rPr>
          <w:lang w:val="ro-RO"/>
        </w:rPr>
        <w:t xml:space="preserve"> 7) d</w:t>
      </w:r>
      <w:r w:rsidR="00EE3C40" w:rsidRPr="00857CDA">
        <w:rPr>
          <w:lang w:val="ro-RO"/>
        </w:rPr>
        <w:t xml:space="preserve">in </w:t>
      </w:r>
      <w:r w:rsidR="006A1ED1" w:rsidRPr="00857CDA">
        <w:rPr>
          <w:lang w:val="ro-RO"/>
        </w:rPr>
        <w:t>instrucțiunea de ambalare</w:t>
      </w:r>
      <w:r w:rsidRPr="00857CDA">
        <w:rPr>
          <w:lang w:val="ro-RO"/>
        </w:rPr>
        <w:t xml:space="preserve"> P200 d</w:t>
      </w:r>
      <w:r w:rsidR="00EE3C40" w:rsidRPr="00857CDA">
        <w:rPr>
          <w:lang w:val="ro-RO"/>
        </w:rPr>
        <w:t>e la</w:t>
      </w:r>
      <w:r w:rsidRPr="00857CDA">
        <w:rPr>
          <w:lang w:val="ro-RO"/>
        </w:rPr>
        <w:t xml:space="preserve"> 4.1.4.1</w:t>
      </w:r>
      <w:r w:rsidR="004C27AD" w:rsidRPr="00857CDA">
        <w:rPr>
          <w:lang w:val="ro-RO"/>
        </w:rPr>
        <w:t xml:space="preserve"> și </w:t>
      </w:r>
      <w:r w:rsidR="00EE3C40" w:rsidRPr="00857CDA">
        <w:rPr>
          <w:lang w:val="ro-RO"/>
        </w:rPr>
        <w:t>sunt îndeplinite și aplicate corect</w:t>
      </w:r>
      <w:r w:rsidRPr="00857CDA">
        <w:rPr>
          <w:lang w:val="ro-RO"/>
        </w:rPr>
        <w:t xml:space="preserve"> prescrip</w:t>
      </w:r>
      <w:r w:rsidR="00EE3C40" w:rsidRPr="00857CDA">
        <w:rPr>
          <w:lang w:val="ro-RO"/>
        </w:rPr>
        <w:t>țiile</w:t>
      </w:r>
      <w:r w:rsidRPr="00857CDA">
        <w:rPr>
          <w:lang w:val="ro-RO"/>
        </w:rPr>
        <w:t xml:space="preserve"> </w:t>
      </w:r>
      <w:r w:rsidR="006A1ED1" w:rsidRPr="00857CDA">
        <w:rPr>
          <w:lang w:val="ro-RO"/>
        </w:rPr>
        <w:t>standardul</w:t>
      </w:r>
      <w:r w:rsidR="00EE3C40" w:rsidRPr="00857CDA">
        <w:rPr>
          <w:lang w:val="ro-RO"/>
        </w:rPr>
        <w:t>ui cu privire la</w:t>
      </w:r>
      <w:r w:rsidRPr="00857CDA">
        <w:rPr>
          <w:lang w:val="ro-RO"/>
        </w:rPr>
        <w:t xml:space="preserve"> contr</w:t>
      </w:r>
      <w:r w:rsidR="00EE3C40" w:rsidRPr="00857CDA">
        <w:rPr>
          <w:lang w:val="ro-RO"/>
        </w:rPr>
        <w:t>o</w:t>
      </w:r>
      <w:r w:rsidRPr="00857CDA">
        <w:rPr>
          <w:lang w:val="ro-RO"/>
        </w:rPr>
        <w:t>l</w:t>
      </w:r>
      <w:r w:rsidR="00EE3C40" w:rsidRPr="00857CDA">
        <w:rPr>
          <w:lang w:val="ro-RO"/>
        </w:rPr>
        <w:t>ul</w:t>
      </w:r>
      <w:r w:rsidRPr="00857CDA">
        <w:rPr>
          <w:lang w:val="ro-RO"/>
        </w:rPr>
        <w:t xml:space="preserve"> pr</w:t>
      </w:r>
      <w:r w:rsidR="00EE3C40" w:rsidRPr="00857CDA">
        <w:rPr>
          <w:lang w:val="ro-RO"/>
        </w:rPr>
        <w:t>e</w:t>
      </w:r>
      <w:r w:rsidRPr="00857CDA">
        <w:rPr>
          <w:lang w:val="ro-RO"/>
        </w:rPr>
        <w:t>alab</w:t>
      </w:r>
      <w:r w:rsidR="00EE3C40" w:rsidRPr="00857CDA">
        <w:rPr>
          <w:lang w:val="ro-RO"/>
        </w:rPr>
        <w:t>il</w:t>
      </w:r>
      <w:r w:rsidRPr="00857CDA">
        <w:rPr>
          <w:lang w:val="ro-RO"/>
        </w:rPr>
        <w:t xml:space="preserve"> </w:t>
      </w:r>
      <w:r w:rsidR="00EE3C40" w:rsidRPr="00857CDA">
        <w:rPr>
          <w:lang w:val="ro-RO"/>
        </w:rPr>
        <w:t>al</w:t>
      </w:r>
      <w:r w:rsidRPr="00857CDA">
        <w:rPr>
          <w:lang w:val="ro-RO"/>
        </w:rPr>
        <w:t xml:space="preserve"> </w:t>
      </w:r>
      <w:r w:rsidR="00EE3C40" w:rsidRPr="00857CDA">
        <w:rPr>
          <w:lang w:val="ro-RO"/>
        </w:rPr>
        <w:t>umplerii</w:t>
      </w:r>
      <w:r w:rsidRPr="00857CDA">
        <w:rPr>
          <w:lang w:val="ro-RO"/>
        </w:rPr>
        <w:t xml:space="preserve"> men</w:t>
      </w:r>
      <w:r w:rsidR="00EE3C40" w:rsidRPr="00857CDA">
        <w:rPr>
          <w:lang w:val="ro-RO"/>
        </w:rPr>
        <w:t>ț</w:t>
      </w:r>
      <w:r w:rsidRPr="00857CDA">
        <w:rPr>
          <w:lang w:val="ro-RO"/>
        </w:rPr>
        <w:t>ion</w:t>
      </w:r>
      <w:r w:rsidR="00EE3C40" w:rsidRPr="00857CDA">
        <w:rPr>
          <w:lang w:val="ro-RO"/>
        </w:rPr>
        <w:t>at</w:t>
      </w:r>
      <w:r w:rsidRPr="00857CDA">
        <w:rPr>
          <w:lang w:val="ro-RO"/>
        </w:rPr>
        <w:t xml:space="preserve"> </w:t>
      </w:r>
      <w:r w:rsidR="00EE3C40" w:rsidRPr="00857CDA">
        <w:rPr>
          <w:lang w:val="ro-RO"/>
        </w:rPr>
        <w:t>l</w:t>
      </w:r>
      <w:r w:rsidR="006A1ED1" w:rsidRPr="00857CDA">
        <w:rPr>
          <w:lang w:val="ro-RO"/>
        </w:rPr>
        <w:t>a paragraful</w:t>
      </w:r>
      <w:r w:rsidRPr="00857CDA">
        <w:rPr>
          <w:lang w:val="ro-RO"/>
        </w:rPr>
        <w:t xml:space="preserve"> 11) d</w:t>
      </w:r>
      <w:r w:rsidR="00EE3C40" w:rsidRPr="00857CDA">
        <w:rPr>
          <w:lang w:val="ro-RO"/>
        </w:rPr>
        <w:t xml:space="preserve">in </w:t>
      </w:r>
      <w:r w:rsidR="006A1ED1" w:rsidRPr="00857CDA">
        <w:rPr>
          <w:lang w:val="ro-RO"/>
        </w:rPr>
        <w:t>instrucțiunea de ambalare</w:t>
      </w:r>
      <w:r w:rsidRPr="00857CDA">
        <w:rPr>
          <w:lang w:val="ro-RO"/>
        </w:rPr>
        <w:t xml:space="preserve"> P200 d</w:t>
      </w:r>
      <w:r w:rsidR="00EE3C40" w:rsidRPr="00857CDA">
        <w:rPr>
          <w:lang w:val="ro-RO"/>
        </w:rPr>
        <w:t>e la</w:t>
      </w:r>
      <w:r w:rsidRPr="00857CDA">
        <w:rPr>
          <w:lang w:val="ro-RO"/>
        </w:rPr>
        <w:t xml:space="preserve"> 4.1.4.1;</w:t>
      </w:r>
    </w:p>
    <w:p w:rsidR="00342D08" w:rsidRPr="00857CDA" w:rsidRDefault="00342D08" w:rsidP="00EE3C40">
      <w:pPr>
        <w:pStyle w:val="SingleTxtG"/>
        <w:ind w:left="1701"/>
        <w:rPr>
          <w:lang w:val="ro-RO"/>
        </w:rPr>
      </w:pPr>
      <w:r w:rsidRPr="00857CDA">
        <w:rPr>
          <w:lang w:val="ro-RO"/>
        </w:rPr>
        <w:t>-</w:t>
      </w:r>
      <w:r w:rsidRPr="00857CDA">
        <w:rPr>
          <w:lang w:val="ro-RO"/>
        </w:rPr>
        <w:tab/>
        <w:t>Disp</w:t>
      </w:r>
      <w:r w:rsidR="00EE3C40" w:rsidRPr="00857CDA">
        <w:rPr>
          <w:lang w:val="ro-RO"/>
        </w:rPr>
        <w:t>un</w:t>
      </w:r>
      <w:r w:rsidRPr="00857CDA">
        <w:rPr>
          <w:lang w:val="ro-RO"/>
        </w:rPr>
        <w:t xml:space="preserve"> de </w:t>
      </w:r>
      <w:r w:rsidR="00EE3C40" w:rsidRPr="00857CDA">
        <w:rPr>
          <w:lang w:val="ro-RO"/>
        </w:rPr>
        <w:t>mijloace adecvate pentru a identifica buteliile metalice cu carcasă prin intermediul dispozitivelor electronice de identificare</w:t>
      </w:r>
      <w:r w:rsidRPr="00857CDA">
        <w:rPr>
          <w:lang w:val="ro-RO"/>
        </w:rPr>
        <w:t>;</w:t>
      </w:r>
    </w:p>
    <w:p w:rsidR="00342D08" w:rsidRPr="00857CDA" w:rsidRDefault="00342D08" w:rsidP="00342D08">
      <w:pPr>
        <w:pStyle w:val="SingleTxtG"/>
        <w:ind w:left="1701"/>
        <w:rPr>
          <w:lang w:val="ro-RO"/>
        </w:rPr>
      </w:pPr>
      <w:r w:rsidRPr="00857CDA">
        <w:rPr>
          <w:lang w:val="ro-RO"/>
        </w:rPr>
        <w:t>-</w:t>
      </w:r>
      <w:r w:rsidRPr="00857CDA">
        <w:rPr>
          <w:lang w:val="ro-RO"/>
        </w:rPr>
        <w:tab/>
      </w:r>
      <w:r w:rsidR="00EE3C40" w:rsidRPr="00857CDA">
        <w:rPr>
          <w:lang w:val="ro-RO"/>
        </w:rPr>
        <w:t>Au acces la baza de date definită la litera</w:t>
      </w:r>
      <w:r w:rsidRPr="00857CDA">
        <w:rPr>
          <w:lang w:val="ro-RO"/>
        </w:rPr>
        <w:t xml:space="preserve"> d);</w:t>
      </w:r>
    </w:p>
    <w:p w:rsidR="00342D08" w:rsidRPr="00857CDA" w:rsidRDefault="00342D08" w:rsidP="00342D08">
      <w:pPr>
        <w:pStyle w:val="SingleTxtG"/>
        <w:ind w:left="1701"/>
        <w:rPr>
          <w:lang w:val="ro-RO"/>
        </w:rPr>
      </w:pPr>
      <w:r w:rsidRPr="00857CDA">
        <w:rPr>
          <w:lang w:val="ro-RO"/>
        </w:rPr>
        <w:t>-</w:t>
      </w:r>
      <w:r w:rsidRPr="00857CDA">
        <w:rPr>
          <w:lang w:val="ro-RO"/>
        </w:rPr>
        <w:tab/>
      </w:r>
      <w:r w:rsidR="00EE3C40" w:rsidRPr="00857CDA">
        <w:rPr>
          <w:lang w:val="ro-RO"/>
        </w:rPr>
        <w:t>Au capacitatea de a actualiza baza de date</w:t>
      </w:r>
      <w:r w:rsidRPr="00857CDA">
        <w:rPr>
          <w:lang w:val="ro-RO"/>
        </w:rPr>
        <w:t>;</w:t>
      </w:r>
    </w:p>
    <w:p w:rsidR="00342D08" w:rsidRPr="00857CDA" w:rsidRDefault="00342D08" w:rsidP="00EE3C40">
      <w:pPr>
        <w:pStyle w:val="SingleTxtG"/>
        <w:ind w:left="1701"/>
        <w:rPr>
          <w:lang w:val="ro-RO"/>
        </w:rPr>
      </w:pPr>
      <w:r w:rsidRPr="00857CDA">
        <w:rPr>
          <w:lang w:val="ro-RO"/>
        </w:rPr>
        <w:t>-</w:t>
      </w:r>
      <w:r w:rsidRPr="00857CDA">
        <w:rPr>
          <w:lang w:val="ro-RO"/>
        </w:rPr>
        <w:tab/>
      </w:r>
      <w:r w:rsidR="00EE3C40" w:rsidRPr="00857CDA">
        <w:rPr>
          <w:lang w:val="ro-RO"/>
        </w:rPr>
        <w:t>Aplică un sistem de calitate în conformitate cu standardele din seria ISO 9000 sau cu standarde echivalente certificate de un organism independent acreditat care a fost recunoscut de autoritatea competentă</w:t>
      </w:r>
      <w:r w:rsidRPr="00857CDA">
        <w:rPr>
          <w:lang w:val="ro-RO"/>
        </w:rPr>
        <w:t>.</w:t>
      </w:r>
      <w:r w:rsidR="00660131" w:rsidRPr="00857CDA">
        <w:rPr>
          <w:lang w:val="ro-RO"/>
        </w:rPr>
        <w:t>”</w:t>
      </w:r>
      <w:r w:rsidRPr="00857CDA">
        <w:rPr>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4.1</w:t>
      </w:r>
    </w:p>
    <w:p w:rsidR="007F62A9" w:rsidRPr="00857CDA" w:rsidRDefault="009C55CA" w:rsidP="007F62A9">
      <w:pPr>
        <w:pStyle w:val="SingleTxtG"/>
        <w:rPr>
          <w:lang w:val="ro-RO"/>
        </w:rPr>
      </w:pPr>
      <w:r w:rsidRPr="00857CDA">
        <w:rPr>
          <w:lang w:val="ro-RO"/>
        </w:rPr>
        <w:t>După titlu</w:t>
      </w:r>
      <w:r w:rsidR="007F62A9" w:rsidRPr="00857CDA">
        <w:rPr>
          <w:lang w:val="ro-RO"/>
        </w:rPr>
        <w:t xml:space="preserve">, </w:t>
      </w:r>
      <w:r w:rsidR="00902C44" w:rsidRPr="00857CDA">
        <w:rPr>
          <w:lang w:val="ro-RO"/>
        </w:rPr>
        <w:t>se adaugă</w:t>
      </w:r>
      <w:r w:rsidR="007F62A9" w:rsidRPr="00857CDA">
        <w:rPr>
          <w:lang w:val="ro-RO"/>
        </w:rPr>
        <w:t xml:space="preserve"> </w:t>
      </w:r>
      <w:r w:rsidRPr="00857CDA">
        <w:rPr>
          <w:lang w:val="ro-RO"/>
        </w:rPr>
        <w:t>o nouă</w:t>
      </w:r>
      <w:r w:rsidR="007F62A9" w:rsidRPr="00857CDA">
        <w:rPr>
          <w:lang w:val="ro-RO"/>
        </w:rPr>
        <w:t xml:space="preserve"> Not</w:t>
      </w:r>
      <w:r w:rsidRPr="00857CDA">
        <w:rPr>
          <w:lang w:val="ro-RO"/>
        </w:rPr>
        <w:t>ă, după cum urmează</w:t>
      </w:r>
      <w:r w:rsidR="007F62A9" w:rsidRPr="00857CDA">
        <w:rPr>
          <w:lang w:val="ro-RO"/>
        </w:rPr>
        <w:t>:</w:t>
      </w:r>
    </w:p>
    <w:p w:rsidR="007F62A9" w:rsidRPr="00857CDA" w:rsidRDefault="00CD52C1" w:rsidP="00E62DA3">
      <w:pPr>
        <w:pStyle w:val="SingleTxtG"/>
        <w:rPr>
          <w:i/>
          <w:lang w:val="ro-RO"/>
        </w:rPr>
      </w:pPr>
      <w:r w:rsidRPr="00857CDA">
        <w:rPr>
          <w:lang w:val="ro-RO"/>
        </w:rPr>
        <w:t>„</w:t>
      </w:r>
      <w:r w:rsidR="007F62A9" w:rsidRPr="00857CDA">
        <w:rPr>
          <w:b/>
          <w:i/>
          <w:lang w:val="ro-RO"/>
        </w:rPr>
        <w:t>NOT</w:t>
      </w:r>
      <w:r w:rsidR="009C55CA" w:rsidRPr="00857CDA">
        <w:rPr>
          <w:b/>
          <w:i/>
          <w:lang w:val="ro-RO"/>
        </w:rPr>
        <w:t>Ă</w:t>
      </w:r>
      <w:r w:rsidR="007F62A9" w:rsidRPr="00857CDA">
        <w:rPr>
          <w:b/>
          <w:i/>
          <w:lang w:val="ro-RO"/>
        </w:rPr>
        <w:t>:</w:t>
      </w:r>
      <w:r w:rsidR="007F62A9" w:rsidRPr="00857CDA">
        <w:rPr>
          <w:i/>
          <w:lang w:val="ro-RO"/>
        </w:rPr>
        <w:tab/>
      </w:r>
      <w:r w:rsidR="00E62DA3" w:rsidRPr="00857CDA">
        <w:rPr>
          <w:i/>
          <w:lang w:val="ro-RO"/>
        </w:rPr>
        <w:t>Ambalajele, inclusiv IBC-urile și ambalajele mari, ale căror mărci corespund cu 6.1.3, 6.2.2.7, 6.2.2.8, 6.3.1, 6.5.2 sau 6.6.3, dar care au fost omologate într-o țară care nu este parte contractantă la ADR, pot fi, de asemenea, utilizate pentru transport în conformitate cu ADR</w:t>
      </w:r>
      <w:r w:rsidR="007F62A9" w:rsidRPr="00857CDA">
        <w:rPr>
          <w:i/>
          <w:lang w:val="ro-RO"/>
        </w:rPr>
        <w:t>.</w:t>
      </w:r>
      <w:r w:rsidR="00660131" w:rsidRPr="00857CDA">
        <w:rPr>
          <w:i/>
          <w:lang w:val="ro-RO"/>
        </w:rPr>
        <w:t>”</w:t>
      </w:r>
      <w:r w:rsidR="007F62A9" w:rsidRPr="00857CDA">
        <w:rPr>
          <w:lang w:val="ro-RO"/>
        </w:rPr>
        <w:t>.</w:t>
      </w:r>
    </w:p>
    <w:p w:rsidR="00196C06" w:rsidRPr="00857CDA" w:rsidRDefault="005C3A8A" w:rsidP="005C3A8A">
      <w:pPr>
        <w:pStyle w:val="SingleTxtG"/>
        <w:tabs>
          <w:tab w:val="left" w:pos="2268"/>
        </w:tabs>
        <w:rPr>
          <w:lang w:val="ro-RO"/>
        </w:rPr>
      </w:pPr>
      <w:r w:rsidRPr="00857CDA">
        <w:rPr>
          <w:lang w:val="ro-RO"/>
        </w:rPr>
        <w:t>4.1.1.11</w:t>
      </w:r>
      <w:r w:rsidR="00196C06" w:rsidRPr="00857CDA">
        <w:rPr>
          <w:lang w:val="ro-RO"/>
        </w:rPr>
        <w:tab/>
      </w:r>
      <w:r w:rsidR="00A72DEB" w:rsidRPr="00857CDA">
        <w:rPr>
          <w:lang w:val="ro-RO"/>
        </w:rPr>
        <w:t>La sfârșit</w:t>
      </w:r>
      <w:r w:rsidR="00196C06" w:rsidRPr="00857CDA">
        <w:rPr>
          <w:lang w:val="ro-RO"/>
        </w:rPr>
        <w:t xml:space="preserve">, </w:t>
      </w:r>
      <w:r w:rsidR="00A72DEB" w:rsidRPr="00857CDA">
        <w:rPr>
          <w:lang w:val="ro-RO"/>
        </w:rPr>
        <w:t>s</w:t>
      </w:r>
      <w:r w:rsidR="00902C44" w:rsidRPr="00857CDA">
        <w:rPr>
          <w:lang w:val="ro-RO"/>
        </w:rPr>
        <w:t>e modifică</w:t>
      </w:r>
      <w:r w:rsidR="00196C06" w:rsidRPr="00857CDA">
        <w:rPr>
          <w:lang w:val="ro-RO"/>
        </w:rPr>
        <w:t xml:space="preserve"> </w:t>
      </w:r>
      <w:r w:rsidR="00CD52C1"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CD52C1" w:rsidRPr="00857CDA">
        <w:rPr>
          <w:lang w:val="ro-RO"/>
        </w:rPr>
        <w:t>„</w:t>
      </w:r>
      <w:r w:rsidR="002B679C" w:rsidRPr="00857CDA">
        <w:rPr>
          <w:lang w:val="ro-RO"/>
        </w:rPr>
        <w:t>pericol</w:t>
      </w:r>
      <w:r w:rsidR="00660131" w:rsidRPr="00857CDA">
        <w:rPr>
          <w:lang w:val="ro-RO"/>
        </w:rPr>
        <w:t>”</w:t>
      </w:r>
      <w:r w:rsidR="00196C06" w:rsidRPr="00857CDA">
        <w:rPr>
          <w:lang w:val="ro-RO"/>
        </w:rPr>
        <w:t>.</w:t>
      </w:r>
    </w:p>
    <w:p w:rsidR="007F62A9" w:rsidRPr="00857CDA" w:rsidRDefault="007F62A9" w:rsidP="007F62A9">
      <w:pPr>
        <w:pStyle w:val="SingleTxtG"/>
        <w:rPr>
          <w:lang w:val="ro-RO"/>
        </w:rPr>
      </w:pPr>
      <w:r w:rsidRPr="00857CDA">
        <w:rPr>
          <w:lang w:val="ro-RO"/>
        </w:rPr>
        <w:t>4.1.1.17</w:t>
      </w:r>
      <w:r w:rsidRPr="00857CDA">
        <w:rPr>
          <w:lang w:val="ro-RO"/>
        </w:rPr>
        <w:tab/>
      </w:r>
      <w:r w:rsidR="00902C44" w:rsidRPr="00857CDA">
        <w:rPr>
          <w:lang w:val="ro-RO"/>
        </w:rPr>
        <w:t>Se șterge</w:t>
      </w:r>
      <w:r w:rsidR="004C27AD" w:rsidRPr="00857CDA">
        <w:rPr>
          <w:lang w:val="ro-RO"/>
        </w:rPr>
        <w:t xml:space="preserve"> și </w:t>
      </w:r>
      <w:r w:rsidR="00902C44" w:rsidRPr="00857CDA">
        <w:rPr>
          <w:lang w:val="ro-RO"/>
        </w:rPr>
        <w:t>se adaugă</w:t>
      </w:r>
      <w:r w:rsidR="00091658" w:rsidRPr="00857CDA">
        <w:rPr>
          <w:lang w:val="ro-RO"/>
        </w:rPr>
        <w:t>:</w:t>
      </w:r>
    </w:p>
    <w:p w:rsidR="007F62A9" w:rsidRPr="00857CDA" w:rsidRDefault="00CD52C1" w:rsidP="007F62A9">
      <w:pPr>
        <w:pStyle w:val="SingleTxtG"/>
        <w:rPr>
          <w:lang w:val="ro-RO"/>
        </w:rPr>
      </w:pPr>
      <w:r w:rsidRPr="00857CDA">
        <w:rPr>
          <w:lang w:val="ro-RO"/>
        </w:rPr>
        <w:t>„</w:t>
      </w:r>
      <w:r w:rsidR="007F62A9" w:rsidRPr="00857CDA">
        <w:rPr>
          <w:lang w:val="ro-RO"/>
        </w:rPr>
        <w:t>4.1.1.17</w:t>
      </w:r>
      <w:r w:rsidR="007F62A9" w:rsidRPr="00857CDA">
        <w:rPr>
          <w:lang w:val="ro-RO"/>
        </w:rPr>
        <w:tab/>
      </w:r>
      <w:r w:rsidR="007F62A9" w:rsidRPr="00857CDA">
        <w:rPr>
          <w:i/>
          <w:lang w:val="ro-RO"/>
        </w:rPr>
        <w:t>(</w:t>
      </w:r>
      <w:r w:rsidR="004C27AD" w:rsidRPr="00857CDA">
        <w:rPr>
          <w:i/>
          <w:lang w:val="ro-RO"/>
        </w:rPr>
        <w:t>Șters</w:t>
      </w:r>
      <w:r w:rsidR="007F62A9" w:rsidRPr="00857CDA">
        <w:rPr>
          <w:i/>
          <w:lang w:val="ro-RO"/>
        </w:rPr>
        <w:t>)</w:t>
      </w:r>
      <w:r w:rsidR="00660131" w:rsidRPr="00857CDA">
        <w:rPr>
          <w:i/>
          <w:lang w:val="ro-RO"/>
        </w:rPr>
        <w:t>”</w:t>
      </w:r>
      <w:r w:rsidR="007F62A9" w:rsidRPr="00857CDA">
        <w:rPr>
          <w:lang w:val="ro-RO"/>
        </w:rPr>
        <w:t xml:space="preserve">. </w:t>
      </w:r>
    </w:p>
    <w:p w:rsidR="00DB4351" w:rsidRPr="00857CDA" w:rsidRDefault="00DB4351" w:rsidP="00DB4351">
      <w:pPr>
        <w:pStyle w:val="SingleTxtG"/>
        <w:rPr>
          <w:lang w:val="ro-RO"/>
        </w:rPr>
      </w:pPr>
      <w:r w:rsidRPr="00857CDA">
        <w:rPr>
          <w:lang w:val="ro-RO"/>
        </w:rPr>
        <w:t xml:space="preserve">4.1.4.1, </w:t>
      </w:r>
      <w:r w:rsidR="006A1ED1" w:rsidRPr="00857CDA">
        <w:rPr>
          <w:lang w:val="ro-RO"/>
        </w:rPr>
        <w:t>instrucțiunea de ambalare</w:t>
      </w:r>
      <w:r w:rsidRPr="00857CDA">
        <w:rPr>
          <w:lang w:val="ro-RO"/>
        </w:rPr>
        <w:t xml:space="preserve"> P001</w:t>
      </w:r>
      <w:r w:rsidRPr="00857CDA">
        <w:rPr>
          <w:lang w:val="ro-RO"/>
        </w:rPr>
        <w:tab/>
      </w:r>
      <w:r w:rsidR="00A72DEB" w:rsidRPr="00857CDA">
        <w:rPr>
          <w:lang w:val="ro-RO"/>
        </w:rPr>
        <w:t>după</w:t>
      </w:r>
      <w:r w:rsidRPr="00857CDA">
        <w:rPr>
          <w:lang w:val="ro-RO"/>
        </w:rPr>
        <w:t xml:space="preserve"> </w:t>
      </w:r>
      <w:r w:rsidR="00CD52C1" w:rsidRPr="00857CDA">
        <w:rPr>
          <w:lang w:val="ro-RO"/>
        </w:rPr>
        <w:t>„</w:t>
      </w:r>
      <w:r w:rsidR="00A72DEB" w:rsidRPr="00857CDA">
        <w:rPr>
          <w:lang w:val="ro-RO"/>
        </w:rPr>
        <w:t>Ambalaje compozite</w:t>
      </w:r>
      <w:r w:rsidR="00660131" w:rsidRPr="00857CDA">
        <w:rPr>
          <w:lang w:val="ro-RO"/>
        </w:rPr>
        <w:t>”</w:t>
      </w:r>
      <w:r w:rsidRPr="00857CDA">
        <w:rPr>
          <w:lang w:val="ro-RO"/>
        </w:rPr>
        <w:t xml:space="preserve">, </w:t>
      </w:r>
      <w:r w:rsidR="00902C44" w:rsidRPr="00857CDA">
        <w:rPr>
          <w:lang w:val="ro-RO"/>
        </w:rPr>
        <w:t xml:space="preserve">În </w:t>
      </w:r>
      <w:r w:rsidR="00D85951" w:rsidRPr="00857CDA">
        <w:rPr>
          <w:lang w:val="ro-RO"/>
        </w:rPr>
        <w:t>prim</w:t>
      </w:r>
      <w:r w:rsidR="004D0C37" w:rsidRPr="00857CDA">
        <w:rPr>
          <w:lang w:val="ro-RO"/>
        </w:rPr>
        <w:t>ul rând</w:t>
      </w:r>
      <w:r w:rsidRPr="00857CDA">
        <w:rPr>
          <w:lang w:val="ro-RO"/>
        </w:rPr>
        <w:t xml:space="preserve">, </w:t>
      </w:r>
      <w:r w:rsidR="00902C44" w:rsidRPr="00857CDA">
        <w:rPr>
          <w:lang w:val="ro-RO"/>
        </w:rPr>
        <w:t>Se modifică</w:t>
      </w:r>
      <w:r w:rsidRPr="00857CDA">
        <w:rPr>
          <w:lang w:val="ro-RO"/>
        </w:rPr>
        <w:t xml:space="preserve"> </w:t>
      </w:r>
      <w:r w:rsidR="00CD52C1" w:rsidRPr="00857CDA">
        <w:rPr>
          <w:lang w:val="ro-RO"/>
        </w:rPr>
        <w:t>„</w:t>
      </w:r>
      <w:r w:rsidR="004D0C37" w:rsidRPr="00857CDA">
        <w:rPr>
          <w:lang w:val="ro-RO"/>
        </w:rPr>
        <w:t>sa</w:t>
      </w:r>
      <w:r w:rsidRPr="00857CDA">
        <w:rPr>
          <w:lang w:val="ro-RO"/>
        </w:rPr>
        <w:t>u aluminiu</w:t>
      </w:r>
      <w:r w:rsidR="00660131" w:rsidRPr="00857CDA">
        <w:rPr>
          <w:lang w:val="ro-RO"/>
        </w:rPr>
        <w:t>”</w:t>
      </w:r>
      <w:r w:rsidR="00902C44" w:rsidRPr="00857CDA">
        <w:rPr>
          <w:lang w:val="ro-RO"/>
        </w:rPr>
        <w:t xml:space="preserve"> cu </w:t>
      </w:r>
      <w:r w:rsidR="00660131" w:rsidRPr="00857CDA">
        <w:rPr>
          <w:lang w:val="ro-RO"/>
        </w:rPr>
        <w:t>“</w:t>
      </w:r>
      <w:r w:rsidRPr="00857CDA">
        <w:rPr>
          <w:lang w:val="ro-RO"/>
        </w:rPr>
        <w:t xml:space="preserve">, aluminiu </w:t>
      </w:r>
      <w:r w:rsidR="004D0C37" w:rsidRPr="00857CDA">
        <w:rPr>
          <w:lang w:val="ro-RO"/>
        </w:rPr>
        <w:t>sau</w:t>
      </w:r>
      <w:r w:rsidRPr="00857CDA">
        <w:rPr>
          <w:lang w:val="ro-RO"/>
        </w:rPr>
        <w:t xml:space="preserve"> plasti</w:t>
      </w:r>
      <w:r w:rsidR="004D0C37" w:rsidRPr="00857CDA">
        <w:rPr>
          <w:lang w:val="ro-RO"/>
        </w:rPr>
        <w:t>c</w:t>
      </w:r>
      <w:r w:rsidR="00660131" w:rsidRPr="00857CDA">
        <w:rPr>
          <w:lang w:val="ro-RO"/>
        </w:rPr>
        <w:t>”</w:t>
      </w:r>
      <w:r w:rsidR="004C27AD" w:rsidRPr="00857CDA">
        <w:rPr>
          <w:lang w:val="ro-RO"/>
        </w:rPr>
        <w:t xml:space="preserve"> și </w:t>
      </w:r>
      <w:r w:rsidR="00902C44" w:rsidRPr="00857CDA">
        <w:rPr>
          <w:lang w:val="ro-RO"/>
        </w:rPr>
        <w:t>se adaugă</w:t>
      </w:r>
      <w:r w:rsidRPr="00857CDA">
        <w:rPr>
          <w:lang w:val="ro-RO"/>
        </w:rPr>
        <w:t xml:space="preserve"> </w:t>
      </w:r>
      <w:r w:rsidR="00D85951" w:rsidRPr="00857CDA">
        <w:rPr>
          <w:lang w:val="ro-RO"/>
        </w:rPr>
        <w:t>“ ,</w:t>
      </w:r>
      <w:r w:rsidRPr="00857CDA">
        <w:rPr>
          <w:lang w:val="ro-RO"/>
        </w:rPr>
        <w:t xml:space="preserve"> 6HH1</w:t>
      </w:r>
      <w:r w:rsidR="00660131" w:rsidRPr="00857CDA">
        <w:rPr>
          <w:lang w:val="ro-RO"/>
        </w:rPr>
        <w:t>”</w:t>
      </w:r>
      <w:r w:rsidRPr="00857CDA">
        <w:rPr>
          <w:lang w:val="ro-RO"/>
        </w:rPr>
        <w:t xml:space="preserve"> </w:t>
      </w:r>
      <w:r w:rsidR="00991390" w:rsidRPr="00857CDA">
        <w:rPr>
          <w:lang w:val="ro-RO"/>
        </w:rPr>
        <w:t>după</w:t>
      </w:r>
      <w:r w:rsidRPr="00857CDA">
        <w:rPr>
          <w:lang w:val="ro-RO"/>
        </w:rPr>
        <w:t xml:space="preserve"> </w:t>
      </w:r>
      <w:r w:rsidR="00CD52C1" w:rsidRPr="00857CDA">
        <w:rPr>
          <w:lang w:val="ro-RO"/>
        </w:rPr>
        <w:t>„</w:t>
      </w:r>
      <w:r w:rsidRPr="00857CDA">
        <w:rPr>
          <w:lang w:val="ro-RO"/>
        </w:rPr>
        <w:t>6HB1</w:t>
      </w:r>
      <w:r w:rsidR="00660131" w:rsidRPr="00857CDA">
        <w:rPr>
          <w:lang w:val="ro-RO"/>
        </w:rPr>
        <w:t>”</w:t>
      </w:r>
      <w:r w:rsidRPr="00857CDA">
        <w:rPr>
          <w:lang w:val="ro-RO"/>
        </w:rPr>
        <w:t>.</w:t>
      </w:r>
    </w:p>
    <w:p w:rsidR="00DB4351" w:rsidRPr="00857CDA" w:rsidRDefault="00DB4351" w:rsidP="009F4509">
      <w:pPr>
        <w:pStyle w:val="SingleTxtG"/>
        <w:rPr>
          <w:lang w:val="ro-RO"/>
        </w:rPr>
      </w:pPr>
      <w:r w:rsidRPr="00857CDA">
        <w:rPr>
          <w:lang w:val="ro-RO"/>
        </w:rPr>
        <w:t xml:space="preserve">4.1.4.1, </w:t>
      </w:r>
      <w:r w:rsidR="006A1ED1" w:rsidRPr="00857CDA">
        <w:rPr>
          <w:lang w:val="ro-RO"/>
        </w:rPr>
        <w:t>instrucțiunea de ambalare</w:t>
      </w:r>
      <w:r w:rsidRPr="00857CDA">
        <w:rPr>
          <w:lang w:val="ro-RO"/>
        </w:rPr>
        <w:t xml:space="preserve"> P001</w:t>
      </w:r>
      <w:r w:rsidRPr="00857CDA">
        <w:rPr>
          <w:lang w:val="ro-RO"/>
        </w:rPr>
        <w:tab/>
      </w:r>
      <w:r w:rsidR="004D0C37" w:rsidRPr="00857CDA">
        <w:rPr>
          <w:lang w:val="ro-RO"/>
        </w:rPr>
        <w:t>după</w:t>
      </w:r>
      <w:r w:rsidRPr="00857CDA">
        <w:rPr>
          <w:lang w:val="ro-RO"/>
        </w:rPr>
        <w:t xml:space="preserve"> </w:t>
      </w:r>
      <w:r w:rsidR="006A1ED1" w:rsidRPr="00857CDA">
        <w:rPr>
          <w:lang w:val="ro-RO"/>
        </w:rPr>
        <w:t>„</w:t>
      </w:r>
      <w:r w:rsidR="004D0C37" w:rsidRPr="00857CDA">
        <w:rPr>
          <w:lang w:val="ro-RO"/>
        </w:rPr>
        <w:t>Ambalaje compozite</w:t>
      </w:r>
      <w:r w:rsidR="00660131" w:rsidRPr="00857CDA">
        <w:rPr>
          <w:lang w:val="ro-RO"/>
        </w:rPr>
        <w:t>”</w:t>
      </w:r>
      <w:r w:rsidRPr="00857CDA">
        <w:rPr>
          <w:lang w:val="ro-RO"/>
        </w:rPr>
        <w:t xml:space="preserve">, </w:t>
      </w:r>
      <w:r w:rsidR="00902C44" w:rsidRPr="00857CDA">
        <w:rPr>
          <w:lang w:val="ro-RO"/>
        </w:rPr>
        <w:t xml:space="preserve">În </w:t>
      </w:r>
      <w:r w:rsidR="004D0C37" w:rsidRPr="00857CDA">
        <w:rPr>
          <w:lang w:val="ro-RO"/>
        </w:rPr>
        <w:t>al doilea rând</w:t>
      </w:r>
      <w:r w:rsidRPr="00857CDA">
        <w:rPr>
          <w:lang w:val="ro-RO"/>
        </w:rPr>
        <w:t xml:space="preserve">, </w:t>
      </w:r>
      <w:r w:rsidR="00902C44" w:rsidRPr="00857CDA">
        <w:rPr>
          <w:lang w:val="ro-RO"/>
        </w:rPr>
        <w:t>Se modifică</w:t>
      </w:r>
      <w:r w:rsidRPr="00857CDA">
        <w:rPr>
          <w:lang w:val="ro-RO"/>
        </w:rPr>
        <w:t xml:space="preserve"> </w:t>
      </w:r>
      <w:r w:rsidR="00D85951" w:rsidRPr="00857CDA">
        <w:rPr>
          <w:lang w:val="ro-RO"/>
        </w:rPr>
        <w:t>“ ,</w:t>
      </w:r>
      <w:r w:rsidRPr="00857CDA">
        <w:rPr>
          <w:lang w:val="ro-RO"/>
        </w:rPr>
        <w:t xml:space="preserve"> plasti</w:t>
      </w:r>
      <w:r w:rsidR="004D0C37" w:rsidRPr="00857CDA">
        <w:rPr>
          <w:lang w:val="ro-RO"/>
        </w:rPr>
        <w:t>c sa</w:t>
      </w:r>
      <w:r w:rsidRPr="00857CDA">
        <w:rPr>
          <w:lang w:val="ro-RO"/>
        </w:rPr>
        <w:t>u pla</w:t>
      </w:r>
      <w:r w:rsidR="004D0C37" w:rsidRPr="00857CDA">
        <w:rPr>
          <w:lang w:val="ro-RO"/>
        </w:rPr>
        <w:t xml:space="preserve">caj </w:t>
      </w:r>
      <w:r w:rsidRPr="00857CDA">
        <w:rPr>
          <w:lang w:val="ro-RO"/>
        </w:rPr>
        <w:t>(6HG1, 6HH1, 6HD1)</w:t>
      </w:r>
      <w:r w:rsidR="00660131" w:rsidRPr="00857CDA">
        <w:rPr>
          <w:lang w:val="ro-RO"/>
        </w:rPr>
        <w:t>”</w:t>
      </w:r>
      <w:r w:rsidR="00902C44" w:rsidRPr="00857CDA">
        <w:rPr>
          <w:lang w:val="ro-RO"/>
        </w:rPr>
        <w:t xml:space="preserve"> cu </w:t>
      </w:r>
      <w:r w:rsidR="006A1ED1" w:rsidRPr="00857CDA">
        <w:rPr>
          <w:lang w:val="ro-RO"/>
        </w:rPr>
        <w:t>„</w:t>
      </w:r>
      <w:r w:rsidR="00AA4D91" w:rsidRPr="00857CDA">
        <w:rPr>
          <w:lang w:val="ro-RO"/>
        </w:rPr>
        <w:t>sa</w:t>
      </w:r>
      <w:r w:rsidRPr="00857CDA">
        <w:rPr>
          <w:lang w:val="ro-RO"/>
        </w:rPr>
        <w:t>u</w:t>
      </w:r>
      <w:r w:rsidR="00AA4D91" w:rsidRPr="00857CDA">
        <w:rPr>
          <w:lang w:val="ro-RO"/>
        </w:rPr>
        <w:t xml:space="preserve"> </w:t>
      </w:r>
      <w:r w:rsidRPr="00857CDA">
        <w:rPr>
          <w:lang w:val="ro-RO"/>
        </w:rPr>
        <w:t>pla</w:t>
      </w:r>
      <w:r w:rsidR="00AA4D91" w:rsidRPr="00857CDA">
        <w:rPr>
          <w:lang w:val="ro-RO"/>
        </w:rPr>
        <w:t>caj</w:t>
      </w:r>
      <w:r w:rsidRPr="00857CDA">
        <w:rPr>
          <w:lang w:val="ro-RO"/>
        </w:rPr>
        <w:t> (6HG1, 6HD1)</w:t>
      </w:r>
      <w:r w:rsidR="00660131" w:rsidRPr="00857CDA">
        <w:rPr>
          <w:lang w:val="ro-RO"/>
        </w:rPr>
        <w:t>”</w:t>
      </w:r>
      <w:r w:rsidRPr="00857CDA">
        <w:rPr>
          <w:lang w:val="ro-RO"/>
        </w:rPr>
        <w:t>.</w:t>
      </w:r>
    </w:p>
    <w:p w:rsidR="009D7EFD" w:rsidRPr="00857CDA" w:rsidRDefault="009D7EFD" w:rsidP="009D7EFD">
      <w:pPr>
        <w:pStyle w:val="SingleTxtG"/>
        <w:rPr>
          <w:bCs/>
          <w:lang w:val="ro-RO"/>
        </w:rPr>
      </w:pPr>
      <w:r w:rsidRPr="00857CDA">
        <w:rPr>
          <w:bCs/>
          <w:lang w:val="ro-RO"/>
        </w:rPr>
        <w:t>4.1.4.</w:t>
      </w:r>
      <w:r w:rsidR="005C3A8A" w:rsidRPr="00857CDA">
        <w:rPr>
          <w:bCs/>
          <w:lang w:val="ro-RO"/>
        </w:rPr>
        <w:t xml:space="preserve">1, </w:t>
      </w:r>
      <w:r w:rsidR="006A1ED1" w:rsidRPr="00857CDA">
        <w:rPr>
          <w:bCs/>
          <w:lang w:val="ro-RO"/>
        </w:rPr>
        <w:t>instrucțiunea de ambalare</w:t>
      </w:r>
      <w:r w:rsidR="005C3A8A" w:rsidRPr="00857CDA">
        <w:rPr>
          <w:bCs/>
          <w:lang w:val="ro-RO"/>
        </w:rPr>
        <w:t xml:space="preserve"> P200</w:t>
      </w:r>
      <w:r w:rsidRPr="00857CDA">
        <w:rPr>
          <w:bCs/>
          <w:lang w:val="ro-RO"/>
        </w:rPr>
        <w:tab/>
      </w:r>
      <w:r w:rsidR="00AA4D91" w:rsidRPr="00857CDA">
        <w:rPr>
          <w:bCs/>
          <w:lang w:val="ro-RO"/>
        </w:rPr>
        <w:t>l</w:t>
      </w:r>
      <w:r w:rsidR="006A1ED1" w:rsidRPr="00857CDA">
        <w:rPr>
          <w:bCs/>
          <w:lang w:val="ro-RO"/>
        </w:rPr>
        <w:t>a paragraful</w:t>
      </w:r>
      <w:r w:rsidRPr="00857CDA">
        <w:rPr>
          <w:bCs/>
          <w:lang w:val="ro-RO"/>
        </w:rPr>
        <w:t xml:space="preserve"> </w:t>
      </w:r>
      <w:r w:rsidR="004E2527">
        <w:rPr>
          <w:bCs/>
          <w:lang w:val="ro-RO"/>
        </w:rPr>
        <w:t>(</w:t>
      </w:r>
      <w:r w:rsidRPr="00857CDA">
        <w:rPr>
          <w:bCs/>
          <w:lang w:val="ro-RO"/>
        </w:rPr>
        <w:t xml:space="preserve">10), </w:t>
      </w:r>
      <w:r w:rsidR="00AA4D91" w:rsidRPr="00857CDA">
        <w:rPr>
          <w:bCs/>
          <w:lang w:val="ro-RO"/>
        </w:rPr>
        <w:t>î</w:t>
      </w:r>
      <w:r w:rsidR="00902C44" w:rsidRPr="00857CDA">
        <w:rPr>
          <w:bCs/>
          <w:lang w:val="ro-RO"/>
        </w:rPr>
        <w:t xml:space="preserve">n </w:t>
      </w:r>
      <w:r w:rsidR="0043120D" w:rsidRPr="00857CDA">
        <w:rPr>
          <w:bCs/>
          <w:lang w:val="ro-RO"/>
        </w:rPr>
        <w:t>Dispoziția specială</w:t>
      </w:r>
      <w:r w:rsidRPr="00857CDA">
        <w:rPr>
          <w:bCs/>
          <w:lang w:val="ro-RO"/>
        </w:rPr>
        <w:t xml:space="preserve"> </w:t>
      </w:r>
      <w:r w:rsidR="006A1ED1" w:rsidRPr="00857CDA">
        <w:rPr>
          <w:lang w:val="ro-RO"/>
        </w:rPr>
        <w:t>„</w:t>
      </w:r>
      <w:r w:rsidRPr="00857CDA">
        <w:rPr>
          <w:bCs/>
          <w:lang w:val="ro-RO"/>
        </w:rPr>
        <w:t>va</w:t>
      </w:r>
      <w:r w:rsidR="00660131" w:rsidRPr="00857CDA">
        <w:rPr>
          <w:bCs/>
          <w:lang w:val="ro-RO"/>
        </w:rPr>
        <w:t>”</w:t>
      </w:r>
      <w:r w:rsidRPr="00857CDA">
        <w:rPr>
          <w:bCs/>
          <w:lang w:val="ro-RO"/>
        </w:rPr>
        <w:t xml:space="preserve">, </w:t>
      </w:r>
      <w:r w:rsidR="00902C44" w:rsidRPr="00857CDA">
        <w:rPr>
          <w:bCs/>
          <w:lang w:val="ro-RO"/>
        </w:rPr>
        <w:t>se adaugă</w:t>
      </w:r>
      <w:r w:rsidRPr="00857CDA">
        <w:rPr>
          <w:bCs/>
          <w:lang w:val="ro-RO"/>
        </w:rPr>
        <w:t xml:space="preserve"> </w:t>
      </w:r>
      <w:r w:rsidR="006A1ED1" w:rsidRPr="00857CDA">
        <w:rPr>
          <w:lang w:val="ro-RO"/>
        </w:rPr>
        <w:t>„</w:t>
      </w:r>
      <w:r w:rsidR="00AA4D91" w:rsidRPr="00857CDA">
        <w:rPr>
          <w:bCs/>
          <w:lang w:val="ro-RO"/>
        </w:rPr>
        <w:t>sa</w:t>
      </w:r>
      <w:r w:rsidRPr="00857CDA">
        <w:rPr>
          <w:bCs/>
          <w:lang w:val="ro-RO"/>
        </w:rPr>
        <w:t>u EN ISO 15996:2017</w:t>
      </w:r>
      <w:r w:rsidR="00660131" w:rsidRPr="00857CDA">
        <w:rPr>
          <w:bCs/>
          <w:lang w:val="ro-RO"/>
        </w:rPr>
        <w:t>”</w:t>
      </w:r>
      <w:r w:rsidRPr="00857CDA">
        <w:rPr>
          <w:bCs/>
          <w:lang w:val="ro-RO"/>
        </w:rPr>
        <w:t xml:space="preserve"> </w:t>
      </w:r>
      <w:r w:rsidR="00991390" w:rsidRPr="00857CDA">
        <w:rPr>
          <w:bCs/>
          <w:lang w:val="ro-RO"/>
        </w:rPr>
        <w:t>după</w:t>
      </w:r>
      <w:r w:rsidRPr="00857CDA">
        <w:rPr>
          <w:bCs/>
          <w:lang w:val="ro-RO"/>
        </w:rPr>
        <w:t xml:space="preserve"> </w:t>
      </w:r>
      <w:r w:rsidR="006A1ED1" w:rsidRPr="00857CDA">
        <w:rPr>
          <w:lang w:val="ro-RO"/>
        </w:rPr>
        <w:t>„</w:t>
      </w:r>
      <w:r w:rsidRPr="00857CDA">
        <w:rPr>
          <w:bCs/>
          <w:lang w:val="ro-RO"/>
        </w:rPr>
        <w:t>EN ISO 15996:2005 + A1:2007</w:t>
      </w:r>
      <w:r w:rsidR="00660131" w:rsidRPr="00857CDA">
        <w:rPr>
          <w:bCs/>
          <w:lang w:val="ro-RO"/>
        </w:rPr>
        <w:t>”</w:t>
      </w:r>
      <w:r w:rsidRPr="00857CDA">
        <w:rPr>
          <w:bCs/>
          <w:lang w:val="ro-RO"/>
        </w:rPr>
        <w:t xml:space="preserve"> (de</w:t>
      </w:r>
      <w:r w:rsidR="00AA4D91" w:rsidRPr="00857CDA">
        <w:rPr>
          <w:bCs/>
          <w:lang w:val="ro-RO"/>
        </w:rPr>
        <w:t xml:space="preserve"> două ori</w:t>
      </w:r>
      <w:r w:rsidRPr="00857CDA">
        <w:rPr>
          <w:bCs/>
          <w:lang w:val="ro-RO"/>
        </w:rPr>
        <w:t>).</w:t>
      </w:r>
    </w:p>
    <w:p w:rsidR="00B415C2" w:rsidRPr="00857CDA" w:rsidRDefault="00B415C2" w:rsidP="00B415C2">
      <w:pPr>
        <w:pStyle w:val="SingleTxtG"/>
        <w:rPr>
          <w:lang w:val="ro-RO"/>
        </w:rPr>
      </w:pPr>
      <w:r w:rsidRPr="00857CDA">
        <w:rPr>
          <w:lang w:val="ro-RO"/>
        </w:rPr>
        <w:t xml:space="preserve">4.1.4.1, </w:t>
      </w:r>
      <w:r w:rsidR="006A1ED1" w:rsidRPr="00857CDA">
        <w:rPr>
          <w:lang w:val="ro-RO"/>
        </w:rPr>
        <w:t>instrucțiunea de ambalare</w:t>
      </w:r>
      <w:r w:rsidRPr="00857CDA">
        <w:rPr>
          <w:lang w:val="ro-RO"/>
        </w:rPr>
        <w:t xml:space="preserve"> P200</w:t>
      </w:r>
      <w:r w:rsidRPr="00857CDA">
        <w:rPr>
          <w:lang w:val="ro-RO"/>
        </w:rPr>
        <w:tab/>
      </w:r>
      <w:r w:rsidR="00AA4D91" w:rsidRPr="00857CDA">
        <w:rPr>
          <w:lang w:val="ro-RO"/>
        </w:rPr>
        <w:t>l</w:t>
      </w:r>
      <w:r w:rsidR="006A1ED1" w:rsidRPr="00857CDA">
        <w:rPr>
          <w:lang w:val="ro-RO"/>
        </w:rPr>
        <w:t>a paragraful</w:t>
      </w:r>
      <w:r w:rsidRPr="00857CDA">
        <w:rPr>
          <w:lang w:val="ro-RO"/>
        </w:rPr>
        <w:t xml:space="preserve"> </w:t>
      </w:r>
      <w:r w:rsidR="004E2527">
        <w:rPr>
          <w:lang w:val="ro-RO"/>
        </w:rPr>
        <w:t>(</w:t>
      </w:r>
      <w:r w:rsidRPr="00857CDA">
        <w:rPr>
          <w:lang w:val="ro-RO"/>
        </w:rPr>
        <w:t xml:space="preserve">11), </w:t>
      </w:r>
      <w:r w:rsidR="00AA4D91" w:rsidRPr="00857CDA">
        <w:rPr>
          <w:lang w:val="ro-RO"/>
        </w:rPr>
        <w:t>î</w:t>
      </w:r>
      <w:r w:rsidR="00902C44" w:rsidRPr="00857CDA">
        <w:rPr>
          <w:lang w:val="ro-RO"/>
        </w:rPr>
        <w:t xml:space="preserve">n </w:t>
      </w:r>
      <w:r w:rsidR="00463BBB" w:rsidRPr="00857CDA">
        <w:rPr>
          <w:lang w:val="ro-RO"/>
        </w:rPr>
        <w:t>tabel</w:t>
      </w:r>
      <w:r w:rsidRPr="00857CDA">
        <w:rPr>
          <w:lang w:val="ro-RO"/>
        </w:rPr>
        <w:t xml:space="preserve">, </w:t>
      </w:r>
      <w:r w:rsidR="00AA4D91" w:rsidRPr="00857CDA">
        <w:rPr>
          <w:lang w:val="ro-RO"/>
        </w:rPr>
        <w:t>s</w:t>
      </w:r>
      <w:r w:rsidR="00902C44" w:rsidRPr="00857CDA">
        <w:rPr>
          <w:lang w:val="ro-RO"/>
        </w:rPr>
        <w:t>e șterg</w:t>
      </w:r>
      <w:r w:rsidRPr="00857CDA">
        <w:rPr>
          <w:lang w:val="ro-RO"/>
        </w:rPr>
        <w:t xml:space="preserve"> pr</w:t>
      </w:r>
      <w:r w:rsidR="00AA4D91" w:rsidRPr="00857CDA">
        <w:rPr>
          <w:lang w:val="ro-RO"/>
        </w:rPr>
        <w:t>i</w:t>
      </w:r>
      <w:r w:rsidRPr="00857CDA">
        <w:rPr>
          <w:lang w:val="ro-RO"/>
        </w:rPr>
        <w:t>me</w:t>
      </w:r>
      <w:r w:rsidR="00AA4D91" w:rsidRPr="00857CDA">
        <w:rPr>
          <w:lang w:val="ro-RO"/>
        </w:rPr>
        <w:t>le două rânduri</w:t>
      </w:r>
      <w:r w:rsidRPr="00857CDA">
        <w:rPr>
          <w:lang w:val="ro-RO"/>
        </w:rPr>
        <w:t xml:space="preserve"> (</w:t>
      </w:r>
      <w:r w:rsidR="00991390" w:rsidRPr="00857CDA">
        <w:rPr>
          <w:lang w:val="ro-RO"/>
        </w:rPr>
        <w:t>pentru</w:t>
      </w:r>
      <w:r w:rsidRPr="00857CDA">
        <w:rPr>
          <w:lang w:val="ro-RO"/>
        </w:rPr>
        <w:t xml:space="preserve"> EN 1919:2000</w:t>
      </w:r>
      <w:r w:rsidR="004C27AD" w:rsidRPr="00857CDA">
        <w:rPr>
          <w:lang w:val="ro-RO"/>
        </w:rPr>
        <w:t xml:space="preserve"> și </w:t>
      </w:r>
      <w:r w:rsidRPr="00857CDA">
        <w:rPr>
          <w:lang w:val="ro-RO"/>
        </w:rPr>
        <w:t>EN 1920:2000)</w:t>
      </w:r>
      <w:r w:rsidR="004C27AD" w:rsidRPr="00857CDA">
        <w:rPr>
          <w:lang w:val="ro-RO"/>
        </w:rPr>
        <w:t xml:space="preserve"> și </w:t>
      </w:r>
      <w:r w:rsidR="00902C44" w:rsidRPr="00857CDA">
        <w:rPr>
          <w:lang w:val="ro-RO"/>
        </w:rPr>
        <w:t>se adaugă</w:t>
      </w:r>
      <w:r w:rsidRPr="00857CDA">
        <w:rPr>
          <w:lang w:val="ro-RO"/>
        </w:rPr>
        <w:t xml:space="preserve"> </w:t>
      </w:r>
      <w:r w:rsidR="00AA4D91" w:rsidRPr="00857CDA">
        <w:rPr>
          <w:lang w:val="ro-RO"/>
        </w:rPr>
        <w:t>un nou rând</w:t>
      </w:r>
      <w:r w:rsidR="00A06354" w:rsidRPr="00857CDA">
        <w:rPr>
          <w:lang w:val="ro-RO"/>
        </w:rPr>
        <w:t xml:space="preserve"> </w:t>
      </w:r>
      <w:r w:rsidR="00991390" w:rsidRPr="00857CDA">
        <w:rPr>
          <w:lang w:val="ro-RO"/>
        </w:rPr>
        <w:t>după</w:t>
      </w:r>
      <w:r w:rsidR="00A06354" w:rsidRPr="00857CDA">
        <w:rPr>
          <w:lang w:val="ro-RO"/>
        </w:rPr>
        <w:t xml:space="preserve"> </w:t>
      </w:r>
      <w:r w:rsidR="006A1ED1" w:rsidRPr="00857CDA">
        <w:rPr>
          <w:lang w:val="ro-RO"/>
        </w:rPr>
        <w:t>rândul</w:t>
      </w:r>
      <w:r w:rsidR="00A06354" w:rsidRPr="00857CDA">
        <w:rPr>
          <w:lang w:val="ro-RO"/>
        </w:rPr>
        <w:t xml:space="preserve"> </w:t>
      </w:r>
      <w:r w:rsidR="00991390" w:rsidRPr="00857CDA">
        <w:rPr>
          <w:lang w:val="ro-RO"/>
        </w:rPr>
        <w:t>pentru</w:t>
      </w:r>
      <w:r w:rsidR="00A06354" w:rsidRPr="00857CDA">
        <w:rPr>
          <w:lang w:val="ro-RO"/>
        </w:rPr>
        <w:t xml:space="preserve"> EN 13365:2002 + A1:2005</w:t>
      </w:r>
      <w:r w:rsidR="00AA4D91" w:rsidRPr="00857CDA">
        <w:rPr>
          <w:lang w:val="ro-RO"/>
        </w:rPr>
        <w:t>, după cum urmează</w:t>
      </w:r>
      <w:r w:rsidRPr="00857CDA">
        <w:rPr>
          <w:lang w:val="ro-RO"/>
        </w:rPr>
        <w:t>:</w:t>
      </w:r>
    </w:p>
    <w:tbl>
      <w:tblPr>
        <w:tblW w:w="74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0"/>
        <w:gridCol w:w="1760"/>
        <w:gridCol w:w="4366"/>
      </w:tblGrid>
      <w:tr w:rsidR="00B415C2" w:rsidRPr="007D305F" w:rsidTr="00AF3F82">
        <w:trPr>
          <w:trHeight w:val="20"/>
        </w:trPr>
        <w:tc>
          <w:tcPr>
            <w:tcW w:w="1320" w:type="dxa"/>
          </w:tcPr>
          <w:p w:rsidR="00B415C2" w:rsidRPr="00857CDA" w:rsidRDefault="004E2527" w:rsidP="00A06354">
            <w:pPr>
              <w:keepNext/>
              <w:keepLines/>
              <w:spacing w:before="20" w:after="20"/>
              <w:jc w:val="center"/>
              <w:rPr>
                <w:sz w:val="19"/>
                <w:szCs w:val="19"/>
                <w:lang w:val="ro-RO"/>
              </w:rPr>
            </w:pPr>
            <w:r>
              <w:rPr>
                <w:sz w:val="19"/>
                <w:szCs w:val="19"/>
                <w:lang w:val="ro-RO" w:bidi="ar-KW"/>
              </w:rPr>
              <w:t>(</w:t>
            </w:r>
            <w:r w:rsidR="00B415C2" w:rsidRPr="00857CDA">
              <w:rPr>
                <w:sz w:val="19"/>
                <w:szCs w:val="19"/>
                <w:lang w:val="ro-RO" w:bidi="ar-KW"/>
              </w:rPr>
              <w:t>7)</w:t>
            </w:r>
          </w:p>
        </w:tc>
        <w:tc>
          <w:tcPr>
            <w:tcW w:w="1760" w:type="dxa"/>
          </w:tcPr>
          <w:p w:rsidR="00B415C2" w:rsidRPr="00857CDA" w:rsidRDefault="00B415C2" w:rsidP="00A06354">
            <w:pPr>
              <w:keepNext/>
              <w:keepLines/>
              <w:spacing w:before="20" w:after="20"/>
              <w:jc w:val="center"/>
              <w:rPr>
                <w:sz w:val="19"/>
                <w:szCs w:val="19"/>
                <w:lang w:val="ro-RO"/>
              </w:rPr>
            </w:pPr>
            <w:r w:rsidRPr="00857CDA">
              <w:rPr>
                <w:sz w:val="19"/>
                <w:szCs w:val="19"/>
                <w:lang w:val="ro-RO" w:bidi="ar-KW"/>
              </w:rPr>
              <w:t>EN ISO 24431:2016</w:t>
            </w:r>
          </w:p>
        </w:tc>
        <w:tc>
          <w:tcPr>
            <w:tcW w:w="4366" w:type="dxa"/>
          </w:tcPr>
          <w:p w:rsidR="00B415C2" w:rsidRPr="00857CDA" w:rsidRDefault="00AA4D91" w:rsidP="00AA4D91">
            <w:pPr>
              <w:keepNext/>
              <w:keepLines/>
              <w:spacing w:before="20" w:after="20"/>
              <w:ind w:right="77"/>
              <w:rPr>
                <w:sz w:val="19"/>
                <w:szCs w:val="19"/>
                <w:lang w:val="ro-RO"/>
              </w:rPr>
            </w:pPr>
            <w:r w:rsidRPr="00857CDA">
              <w:rPr>
                <w:lang w:val="ro-RO"/>
              </w:rPr>
              <w:t>Butelii pentru gaz - Butelii pentru gaz comprimat şi lichefiat (cu excepţia acetilenei) fără sudură, sudate şi compozite - Inspecţie în momentul umplerii</w:t>
            </w:r>
          </w:p>
        </w:tc>
      </w:tr>
    </w:tbl>
    <w:p w:rsidR="003C38A4" w:rsidRPr="00857CDA" w:rsidRDefault="003C38A4" w:rsidP="00882DFF">
      <w:pPr>
        <w:pStyle w:val="SingleTxtG"/>
        <w:spacing w:before="120"/>
        <w:rPr>
          <w:lang w:val="ro-RO"/>
        </w:rPr>
      </w:pPr>
      <w:r w:rsidRPr="00857CDA">
        <w:rPr>
          <w:lang w:val="ro-RO"/>
        </w:rPr>
        <w:t xml:space="preserve">4.1.4.1, </w:t>
      </w:r>
      <w:r w:rsidR="006A1ED1" w:rsidRPr="00857CDA">
        <w:rPr>
          <w:lang w:val="ro-RO"/>
        </w:rPr>
        <w:t>instrucțiunea de ambalare</w:t>
      </w:r>
      <w:r w:rsidR="00CF7662" w:rsidRPr="00857CDA">
        <w:rPr>
          <w:lang w:val="ro-RO"/>
        </w:rPr>
        <w:t xml:space="preserve"> </w:t>
      </w:r>
      <w:r w:rsidRPr="00857CDA">
        <w:rPr>
          <w:lang w:val="ro-RO"/>
        </w:rPr>
        <w:t>P200</w:t>
      </w:r>
      <w:r w:rsidRPr="00857CDA">
        <w:rPr>
          <w:lang w:val="ro-RO"/>
        </w:rPr>
        <w:tab/>
      </w:r>
      <w:r w:rsidR="00AA4D91" w:rsidRPr="00857CDA">
        <w:rPr>
          <w:lang w:val="ro-RO"/>
        </w:rPr>
        <w:t>l</w:t>
      </w:r>
      <w:r w:rsidR="006A1ED1" w:rsidRPr="00857CDA">
        <w:rPr>
          <w:lang w:val="ro-RO"/>
        </w:rPr>
        <w:t>a paragraful</w:t>
      </w:r>
      <w:r w:rsidRPr="00857CDA">
        <w:rPr>
          <w:lang w:val="ro-RO"/>
        </w:rPr>
        <w:t xml:space="preserve"> </w:t>
      </w:r>
      <w:r w:rsidR="004E2527">
        <w:rPr>
          <w:lang w:val="ro-RO"/>
        </w:rPr>
        <w:t>(</w:t>
      </w:r>
      <w:r w:rsidRPr="00857CDA">
        <w:rPr>
          <w:lang w:val="ro-RO"/>
        </w:rPr>
        <w:t xml:space="preserve">11), </w:t>
      </w:r>
      <w:r w:rsidR="00AA4D91" w:rsidRPr="00857CDA">
        <w:rPr>
          <w:lang w:val="ro-RO"/>
        </w:rPr>
        <w:t>î</w:t>
      </w:r>
      <w:r w:rsidR="00902C44" w:rsidRPr="00857CDA">
        <w:rPr>
          <w:lang w:val="ro-RO"/>
        </w:rPr>
        <w:t xml:space="preserve">n </w:t>
      </w:r>
      <w:r w:rsidR="00463BBB" w:rsidRPr="00857CDA">
        <w:rPr>
          <w:lang w:val="ro-RO"/>
        </w:rPr>
        <w:t>tabel</w:t>
      </w:r>
      <w:r w:rsidRPr="00857CDA">
        <w:rPr>
          <w:lang w:val="ro-RO"/>
        </w:rPr>
        <w:t xml:space="preserve">, </w:t>
      </w:r>
      <w:r w:rsidR="00AA4D91" w:rsidRPr="00857CDA">
        <w:rPr>
          <w:lang w:val="ro-RO"/>
        </w:rPr>
        <w:t>î</w:t>
      </w:r>
      <w:r w:rsidR="00902C44" w:rsidRPr="00857CDA">
        <w:rPr>
          <w:lang w:val="ro-RO"/>
        </w:rPr>
        <w:t>n</w:t>
      </w:r>
      <w:r w:rsidRPr="00857CDA">
        <w:rPr>
          <w:lang w:val="ro-RO"/>
        </w:rPr>
        <w:t xml:space="preserve"> </w:t>
      </w:r>
      <w:r w:rsidR="00121893" w:rsidRPr="00857CDA">
        <w:rPr>
          <w:lang w:val="ro-RO"/>
        </w:rPr>
        <w:t>coloana</w:t>
      </w:r>
      <w:r w:rsidRPr="00857CDA">
        <w:rPr>
          <w:lang w:val="ro-RO"/>
        </w:rPr>
        <w:t xml:space="preserve"> </w:t>
      </w:r>
      <w:r w:rsidR="006A1ED1" w:rsidRPr="00857CDA">
        <w:rPr>
          <w:lang w:val="ro-RO"/>
        </w:rPr>
        <w:t>„</w:t>
      </w:r>
      <w:r w:rsidRPr="00857CDA">
        <w:rPr>
          <w:lang w:val="ro-RO"/>
        </w:rPr>
        <w:t>R</w:t>
      </w:r>
      <w:r w:rsidR="00AA4D91" w:rsidRPr="00857CDA">
        <w:rPr>
          <w:lang w:val="ro-RO"/>
        </w:rPr>
        <w:t>e</w:t>
      </w:r>
      <w:r w:rsidRPr="00857CDA">
        <w:rPr>
          <w:lang w:val="ro-RO"/>
        </w:rPr>
        <w:t>f</w:t>
      </w:r>
      <w:r w:rsidR="00AA4D91" w:rsidRPr="00857CDA">
        <w:rPr>
          <w:lang w:val="ro-RO"/>
        </w:rPr>
        <w:t>e</w:t>
      </w:r>
      <w:r w:rsidRPr="00857CDA">
        <w:rPr>
          <w:lang w:val="ro-RO"/>
        </w:rPr>
        <w:t>r</w:t>
      </w:r>
      <w:r w:rsidR="00AA4D91" w:rsidRPr="00857CDA">
        <w:rPr>
          <w:lang w:val="ro-RO"/>
        </w:rPr>
        <w:t>ință</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6A1ED1" w:rsidRPr="00857CDA">
        <w:rPr>
          <w:lang w:val="ro-RO"/>
        </w:rPr>
        <w:t>„</w:t>
      </w:r>
      <w:r w:rsidRPr="00857CDA">
        <w:rPr>
          <w:lang w:val="ro-RO"/>
        </w:rPr>
        <w:t xml:space="preserve">EN 1439:2008 </w:t>
      </w:r>
      <w:r w:rsidRPr="00857CDA">
        <w:rPr>
          <w:rFonts w:cs="Arial"/>
          <w:bCs/>
          <w:szCs w:val="18"/>
          <w:lang w:val="ro-RO"/>
        </w:rPr>
        <w:t>(</w:t>
      </w:r>
      <w:r w:rsidR="00AA4D91" w:rsidRPr="00857CDA">
        <w:rPr>
          <w:rFonts w:cs="Arial"/>
          <w:bCs/>
          <w:szCs w:val="18"/>
          <w:lang w:val="ro-RO"/>
        </w:rPr>
        <w:t>cu excepția</w:t>
      </w:r>
      <w:r w:rsidRPr="00857CDA">
        <w:rPr>
          <w:rFonts w:cs="Arial"/>
          <w:bCs/>
          <w:szCs w:val="18"/>
          <w:lang w:val="ro-RO"/>
        </w:rPr>
        <w:t xml:space="preserve"> 3.5</w:t>
      </w:r>
      <w:r w:rsidR="004C27AD" w:rsidRPr="00857CDA">
        <w:rPr>
          <w:rFonts w:cs="Arial"/>
          <w:bCs/>
          <w:szCs w:val="18"/>
          <w:lang w:val="ro-RO"/>
        </w:rPr>
        <w:t xml:space="preserve"> și </w:t>
      </w:r>
      <w:r w:rsidR="00AA4D91" w:rsidRPr="00857CDA">
        <w:rPr>
          <w:rFonts w:cs="Arial"/>
          <w:bCs/>
          <w:szCs w:val="18"/>
          <w:lang w:val="ro-RO"/>
        </w:rPr>
        <w:t xml:space="preserve">a </w:t>
      </w:r>
      <w:r w:rsidRPr="00857CDA">
        <w:rPr>
          <w:rFonts w:cs="Arial"/>
          <w:bCs/>
          <w:szCs w:val="18"/>
          <w:lang w:val="ro-RO"/>
        </w:rPr>
        <w:t>Anex</w:t>
      </w:r>
      <w:r w:rsidR="00AA4D91" w:rsidRPr="00857CDA">
        <w:rPr>
          <w:rFonts w:cs="Arial"/>
          <w:bCs/>
          <w:szCs w:val="18"/>
          <w:lang w:val="ro-RO"/>
        </w:rPr>
        <w:t>ei</w:t>
      </w:r>
      <w:r w:rsidRPr="00857CDA">
        <w:rPr>
          <w:rFonts w:cs="Arial"/>
          <w:bCs/>
          <w:szCs w:val="18"/>
          <w:lang w:val="ro-RO"/>
        </w:rPr>
        <w:t xml:space="preserve"> G)</w:t>
      </w:r>
      <w:r w:rsidR="00660131" w:rsidRPr="00857CDA">
        <w:rPr>
          <w:rFonts w:cs="Arial"/>
          <w:bCs/>
          <w:szCs w:val="18"/>
          <w:lang w:val="ro-RO"/>
        </w:rPr>
        <w:t>”</w:t>
      </w:r>
      <w:r w:rsidRPr="00857CDA">
        <w:rPr>
          <w:rFonts w:cs="Arial"/>
          <w:bCs/>
          <w:szCs w:val="18"/>
          <w:lang w:val="ro-RO"/>
        </w:rPr>
        <w:t xml:space="preserve"> </w:t>
      </w:r>
      <w:r w:rsidR="00AA4D91" w:rsidRPr="00857CDA">
        <w:rPr>
          <w:rFonts w:cs="Arial"/>
          <w:bCs/>
          <w:szCs w:val="18"/>
          <w:lang w:val="ro-RO"/>
        </w:rPr>
        <w:t>prin</w:t>
      </w:r>
      <w:r w:rsidRPr="00857CDA">
        <w:rPr>
          <w:rFonts w:cs="Arial"/>
          <w:bCs/>
          <w:szCs w:val="18"/>
          <w:lang w:val="ro-RO"/>
        </w:rPr>
        <w:t xml:space="preserve"> </w:t>
      </w:r>
      <w:r w:rsidR="006A1ED1" w:rsidRPr="00857CDA">
        <w:rPr>
          <w:lang w:val="ro-RO"/>
        </w:rPr>
        <w:t>„</w:t>
      </w:r>
      <w:r w:rsidRPr="00857CDA">
        <w:rPr>
          <w:lang w:val="ro-RO"/>
        </w:rPr>
        <w:t>EN 1439:2017</w:t>
      </w:r>
      <w:r w:rsidR="00660131" w:rsidRPr="00857CDA">
        <w:rPr>
          <w:lang w:val="ro-RO"/>
        </w:rPr>
        <w:t>”</w:t>
      </w:r>
      <w:r w:rsidRPr="00857CDA">
        <w:rPr>
          <w:lang w:val="ro-RO"/>
        </w:rPr>
        <w:t>.</w:t>
      </w:r>
    </w:p>
    <w:p w:rsidR="003C38A4" w:rsidRPr="00857CDA" w:rsidRDefault="003C38A4" w:rsidP="003C38A4">
      <w:pPr>
        <w:pStyle w:val="SingleTxtG"/>
        <w:rPr>
          <w:lang w:val="ro-RO"/>
        </w:rPr>
      </w:pPr>
      <w:r w:rsidRPr="00857CDA">
        <w:rPr>
          <w:lang w:val="ro-RO"/>
        </w:rPr>
        <w:t xml:space="preserve">4.1.4.1, </w:t>
      </w:r>
      <w:r w:rsidR="006A1ED1" w:rsidRPr="00857CDA">
        <w:rPr>
          <w:lang w:val="ro-RO"/>
        </w:rPr>
        <w:t>instrucțiunea de ambalare</w:t>
      </w:r>
      <w:r w:rsidR="00CF7662" w:rsidRPr="00857CDA">
        <w:rPr>
          <w:lang w:val="ro-RO"/>
        </w:rPr>
        <w:t xml:space="preserve"> </w:t>
      </w:r>
      <w:r w:rsidRPr="00857CDA">
        <w:rPr>
          <w:lang w:val="ro-RO"/>
        </w:rPr>
        <w:t>P200</w:t>
      </w:r>
      <w:r w:rsidRPr="00857CDA">
        <w:rPr>
          <w:lang w:val="ro-RO"/>
        </w:rPr>
        <w:tab/>
      </w:r>
      <w:r w:rsidR="00AA4D91" w:rsidRPr="00857CDA">
        <w:rPr>
          <w:lang w:val="ro-RO"/>
        </w:rPr>
        <w:t>l</w:t>
      </w:r>
      <w:r w:rsidR="006A1ED1" w:rsidRPr="00857CDA">
        <w:rPr>
          <w:lang w:val="ro-RO"/>
        </w:rPr>
        <w:t>a paragraful</w:t>
      </w:r>
      <w:r w:rsidRPr="00857CDA">
        <w:rPr>
          <w:lang w:val="ro-RO"/>
        </w:rPr>
        <w:t xml:space="preserve"> </w:t>
      </w:r>
      <w:r w:rsidR="004E2527">
        <w:rPr>
          <w:lang w:val="ro-RO"/>
        </w:rPr>
        <w:t>(</w:t>
      </w:r>
      <w:r w:rsidRPr="00857CDA">
        <w:rPr>
          <w:lang w:val="ro-RO"/>
        </w:rPr>
        <w:t xml:space="preserve">11), </w:t>
      </w:r>
      <w:r w:rsidR="00AA4D91" w:rsidRPr="00857CDA">
        <w:rPr>
          <w:lang w:val="ro-RO"/>
        </w:rPr>
        <w:t>î</w:t>
      </w:r>
      <w:r w:rsidR="00902C44" w:rsidRPr="00857CDA">
        <w:rPr>
          <w:lang w:val="ro-RO"/>
        </w:rPr>
        <w:t xml:space="preserve">n </w:t>
      </w:r>
      <w:r w:rsidR="00463BBB" w:rsidRPr="00857CDA">
        <w:rPr>
          <w:lang w:val="ro-RO"/>
        </w:rPr>
        <w:t>tabel</w:t>
      </w:r>
      <w:r w:rsidRPr="00857CDA">
        <w:rPr>
          <w:lang w:val="ro-RO"/>
        </w:rPr>
        <w:t xml:space="preserve">, </w:t>
      </w:r>
      <w:r w:rsidR="00991390" w:rsidRPr="00857CDA">
        <w:rPr>
          <w:lang w:val="ro-RO"/>
        </w:rPr>
        <w:t>după</w:t>
      </w:r>
      <w:r w:rsidRPr="00857CDA">
        <w:rPr>
          <w:lang w:val="ro-RO"/>
        </w:rPr>
        <w:t xml:space="preserve"> </w:t>
      </w:r>
      <w:r w:rsidR="006A1ED1" w:rsidRPr="00857CDA">
        <w:rPr>
          <w:lang w:val="ro-RO"/>
        </w:rPr>
        <w:t>rândul</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6A1ED1" w:rsidRPr="00857CDA">
        <w:rPr>
          <w:lang w:val="ro-RO"/>
        </w:rPr>
        <w:t>„</w:t>
      </w:r>
      <w:r w:rsidRPr="00857CDA">
        <w:rPr>
          <w:lang w:val="ro-RO"/>
        </w:rPr>
        <w:t>EN 1439:2017</w:t>
      </w:r>
      <w:r w:rsidR="00660131" w:rsidRPr="00857CDA">
        <w:rPr>
          <w:lang w:val="ro-RO"/>
        </w:rPr>
        <w:t>”</w:t>
      </w:r>
      <w:r w:rsidRPr="00857CDA">
        <w:rPr>
          <w:lang w:val="ro-RO"/>
        </w:rPr>
        <w:t xml:space="preserve">, </w:t>
      </w:r>
      <w:r w:rsidR="000022EF" w:rsidRPr="00857CDA">
        <w:rPr>
          <w:lang w:val="ro-RO"/>
        </w:rPr>
        <w:t>se introduce</w:t>
      </w:r>
      <w:r w:rsidRPr="00857CDA">
        <w:rPr>
          <w:lang w:val="ro-RO"/>
        </w:rPr>
        <w:t xml:space="preserve"> </w:t>
      </w:r>
      <w:r w:rsidR="00AA4D91" w:rsidRPr="00857CDA">
        <w:rPr>
          <w:lang w:val="ro-RO"/>
        </w:rPr>
        <w:t>un nou rând după cum urmează</w:t>
      </w:r>
      <w:r w:rsidR="00091658" w:rsidRPr="00857CDA">
        <w:rPr>
          <w:lang w:val="ro-RO"/>
        </w:rPr>
        <w:t>:</w:t>
      </w:r>
    </w:p>
    <w:tbl>
      <w:tblPr>
        <w:tblStyle w:val="TableGrid"/>
        <w:tblW w:w="7381" w:type="dxa"/>
        <w:tblInd w:w="1129" w:type="dxa"/>
        <w:tblLook w:val="04A0" w:firstRow="1" w:lastRow="0" w:firstColumn="1" w:lastColumn="0" w:noHBand="0" w:noVBand="1"/>
      </w:tblPr>
      <w:tblGrid>
        <w:gridCol w:w="1282"/>
        <w:gridCol w:w="1644"/>
        <w:gridCol w:w="4455"/>
      </w:tblGrid>
      <w:tr w:rsidR="003C38A4" w:rsidRPr="007D305F" w:rsidTr="00725BE1">
        <w:tc>
          <w:tcPr>
            <w:tcW w:w="1282" w:type="dxa"/>
            <w:vAlign w:val="center"/>
          </w:tcPr>
          <w:p w:rsidR="003C38A4" w:rsidRPr="00857CDA" w:rsidRDefault="004E2527" w:rsidP="00C82BCE">
            <w:pPr>
              <w:spacing w:before="120" w:after="120" w:line="240" w:lineRule="auto"/>
              <w:ind w:left="5"/>
              <w:jc w:val="center"/>
              <w:rPr>
                <w:lang w:val="ro-RO"/>
              </w:rPr>
            </w:pPr>
            <w:r>
              <w:rPr>
                <w:lang w:val="ro-RO"/>
              </w:rPr>
              <w:t>(</w:t>
            </w:r>
            <w:r w:rsidR="003C38A4" w:rsidRPr="00857CDA">
              <w:rPr>
                <w:lang w:val="ro-RO"/>
              </w:rPr>
              <w:t>7)</w:t>
            </w:r>
            <w:r w:rsidR="004C27AD" w:rsidRPr="00857CDA">
              <w:rPr>
                <w:lang w:val="ro-RO"/>
              </w:rPr>
              <w:t xml:space="preserve"> și </w:t>
            </w:r>
            <w:r>
              <w:rPr>
                <w:lang w:val="ro-RO"/>
              </w:rPr>
              <w:t>(</w:t>
            </w:r>
            <w:r w:rsidR="003C38A4" w:rsidRPr="00857CDA">
              <w:rPr>
                <w:lang w:val="ro-RO"/>
              </w:rPr>
              <w:t>10) ta b)</w:t>
            </w:r>
          </w:p>
        </w:tc>
        <w:tc>
          <w:tcPr>
            <w:tcW w:w="1644" w:type="dxa"/>
            <w:vAlign w:val="center"/>
          </w:tcPr>
          <w:p w:rsidR="003C38A4" w:rsidRPr="00857CDA" w:rsidRDefault="003C38A4" w:rsidP="00C82BCE">
            <w:pPr>
              <w:spacing w:before="120" w:after="120" w:line="240" w:lineRule="auto"/>
              <w:ind w:left="23"/>
              <w:jc w:val="center"/>
              <w:rPr>
                <w:lang w:val="ro-RO"/>
              </w:rPr>
            </w:pPr>
            <w:r w:rsidRPr="00857CDA">
              <w:rPr>
                <w:lang w:val="ro-RO"/>
              </w:rPr>
              <w:t>EN 13952:2017</w:t>
            </w:r>
          </w:p>
        </w:tc>
        <w:tc>
          <w:tcPr>
            <w:tcW w:w="4455" w:type="dxa"/>
            <w:vAlign w:val="center"/>
          </w:tcPr>
          <w:p w:rsidR="00B415C2" w:rsidRPr="00857CDA" w:rsidRDefault="00AA4D91" w:rsidP="00865675">
            <w:pPr>
              <w:spacing w:before="120" w:after="120" w:line="240" w:lineRule="auto"/>
              <w:ind w:left="97"/>
              <w:rPr>
                <w:lang w:val="ro-RO"/>
              </w:rPr>
            </w:pPr>
            <w:r w:rsidRPr="00857CDA">
              <w:rPr>
                <w:lang w:val="ro-RO"/>
              </w:rPr>
              <w:t xml:space="preserve">Echipamente şi accesorii pentru GPL </w:t>
            </w:r>
            <w:r w:rsidR="00865675">
              <w:rPr>
                <w:lang w:val="ro-RO"/>
              </w:rPr>
              <w:t>–</w:t>
            </w:r>
            <w:r w:rsidRPr="00857CDA">
              <w:rPr>
                <w:lang w:val="ro-RO"/>
              </w:rPr>
              <w:t xml:space="preserve"> Proceduri de umplere pentru butelii cu GPL</w:t>
            </w:r>
          </w:p>
        </w:tc>
      </w:tr>
    </w:tbl>
    <w:p w:rsidR="003C38A4" w:rsidRPr="00857CDA" w:rsidRDefault="003C38A4" w:rsidP="00882DFF">
      <w:pPr>
        <w:pStyle w:val="SingleTxtG"/>
        <w:spacing w:before="120"/>
        <w:rPr>
          <w:lang w:val="ro-RO"/>
        </w:rPr>
      </w:pPr>
      <w:r w:rsidRPr="00857CDA">
        <w:rPr>
          <w:lang w:val="ro-RO"/>
        </w:rPr>
        <w:lastRenderedPageBreak/>
        <w:t xml:space="preserve">4.1.4.1, </w:t>
      </w:r>
      <w:r w:rsidR="006A1ED1" w:rsidRPr="00857CDA">
        <w:rPr>
          <w:lang w:val="ro-RO"/>
        </w:rPr>
        <w:t>instrucțiunea de ambalare</w:t>
      </w:r>
      <w:r w:rsidR="00CF7662" w:rsidRPr="00857CDA">
        <w:rPr>
          <w:lang w:val="ro-RO"/>
        </w:rPr>
        <w:t xml:space="preserve"> </w:t>
      </w:r>
      <w:r w:rsidRPr="00857CDA">
        <w:rPr>
          <w:lang w:val="ro-RO"/>
        </w:rPr>
        <w:t>P200</w:t>
      </w:r>
      <w:r w:rsidRPr="00857CDA">
        <w:rPr>
          <w:lang w:val="ro-RO"/>
        </w:rPr>
        <w:tab/>
      </w:r>
      <w:r w:rsidR="00AA4D91" w:rsidRPr="00857CDA">
        <w:rPr>
          <w:lang w:val="ro-RO"/>
        </w:rPr>
        <w:t>l</w:t>
      </w:r>
      <w:r w:rsidR="006A1ED1" w:rsidRPr="00857CDA">
        <w:rPr>
          <w:lang w:val="ro-RO"/>
        </w:rPr>
        <w:t>a paragraful</w:t>
      </w:r>
      <w:r w:rsidRPr="00857CDA">
        <w:rPr>
          <w:lang w:val="ro-RO"/>
        </w:rPr>
        <w:t xml:space="preserve"> </w:t>
      </w:r>
      <w:r w:rsidR="004E2527">
        <w:rPr>
          <w:lang w:val="ro-RO"/>
        </w:rPr>
        <w:t>(</w:t>
      </w:r>
      <w:r w:rsidRPr="00857CDA">
        <w:rPr>
          <w:lang w:val="ro-RO"/>
        </w:rPr>
        <w:t xml:space="preserve">11), </w:t>
      </w:r>
      <w:r w:rsidR="00AA4D91" w:rsidRPr="00857CDA">
        <w:rPr>
          <w:lang w:val="ro-RO"/>
        </w:rPr>
        <w:t>s</w:t>
      </w:r>
      <w:r w:rsidR="00902C44" w:rsidRPr="00857CDA">
        <w:rPr>
          <w:lang w:val="ro-RO"/>
        </w:rPr>
        <w:t>e șterge</w:t>
      </w:r>
      <w:r w:rsidRPr="00857CDA">
        <w:rPr>
          <w:lang w:val="ro-RO"/>
        </w:rPr>
        <w:t xml:space="preserve"> </w:t>
      </w:r>
      <w:r w:rsidR="006A1ED1" w:rsidRPr="00857CDA">
        <w:rPr>
          <w:lang w:val="ro-RO"/>
        </w:rPr>
        <w:t>rândul</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6A1ED1" w:rsidRPr="00857CDA">
        <w:rPr>
          <w:lang w:val="ro-RO"/>
        </w:rPr>
        <w:t>„</w:t>
      </w:r>
      <w:r w:rsidRPr="00857CDA">
        <w:rPr>
          <w:lang w:val="ro-RO"/>
        </w:rPr>
        <w:t>EN 12755:2000</w:t>
      </w:r>
      <w:r w:rsidR="00660131" w:rsidRPr="00857CDA">
        <w:rPr>
          <w:lang w:val="ro-RO"/>
        </w:rPr>
        <w:t>”</w:t>
      </w:r>
      <w:r w:rsidRPr="00857CDA">
        <w:rPr>
          <w:lang w:val="ro-RO"/>
        </w:rPr>
        <w:t>.</w:t>
      </w:r>
    </w:p>
    <w:p w:rsidR="003C38A4" w:rsidRPr="00857CDA" w:rsidRDefault="003C38A4" w:rsidP="003C38A4">
      <w:pPr>
        <w:pStyle w:val="SingleTxtG"/>
        <w:rPr>
          <w:rFonts w:cs="Arial"/>
          <w:snapToGrid w:val="0"/>
          <w:szCs w:val="22"/>
          <w:lang w:val="ro-RO"/>
        </w:rPr>
      </w:pPr>
      <w:r w:rsidRPr="00857CDA">
        <w:rPr>
          <w:rFonts w:cs="Arial"/>
          <w:snapToGrid w:val="0"/>
          <w:szCs w:val="22"/>
          <w:lang w:val="ro-RO"/>
        </w:rPr>
        <w:t xml:space="preserve">4.1.4.1, </w:t>
      </w:r>
      <w:r w:rsidR="006A1ED1" w:rsidRPr="00857CDA">
        <w:rPr>
          <w:lang w:val="ro-RO"/>
        </w:rPr>
        <w:t>instrucțiunea de ambalare</w:t>
      </w:r>
      <w:r w:rsidR="00CF7662" w:rsidRPr="00857CDA">
        <w:rPr>
          <w:lang w:val="ro-RO"/>
        </w:rPr>
        <w:t xml:space="preserve"> </w:t>
      </w:r>
      <w:r w:rsidRPr="00857CDA">
        <w:rPr>
          <w:rFonts w:cs="Arial"/>
          <w:snapToGrid w:val="0"/>
          <w:szCs w:val="22"/>
          <w:lang w:val="ro-RO"/>
        </w:rPr>
        <w:t>P200</w:t>
      </w:r>
      <w:r w:rsidRPr="00857CDA">
        <w:rPr>
          <w:rFonts w:cs="Arial"/>
          <w:snapToGrid w:val="0"/>
          <w:szCs w:val="22"/>
          <w:lang w:val="ro-RO"/>
        </w:rPr>
        <w:tab/>
      </w:r>
      <w:r w:rsidR="0053564A" w:rsidRPr="00857CDA">
        <w:rPr>
          <w:lang w:val="ro-RO"/>
        </w:rPr>
        <w:t>l</w:t>
      </w:r>
      <w:r w:rsidR="006A1ED1" w:rsidRPr="00857CDA">
        <w:rPr>
          <w:lang w:val="ro-RO"/>
        </w:rPr>
        <w:t>a paragraful</w:t>
      </w:r>
      <w:r w:rsidR="004E2527">
        <w:rPr>
          <w:lang w:val="ro-RO"/>
        </w:rPr>
        <w:t xml:space="preserve"> (</w:t>
      </w:r>
      <w:r w:rsidRPr="00857CDA">
        <w:rPr>
          <w:lang w:val="ro-RO"/>
        </w:rPr>
        <w:t>12), p</w:t>
      </w:r>
      <w:r w:rsidR="00857CDA">
        <w:rPr>
          <w:lang w:val="ro-RO"/>
        </w:rPr>
        <w:t>unctul</w:t>
      </w:r>
      <w:r w:rsidRPr="00857CDA">
        <w:rPr>
          <w:lang w:val="ro-RO"/>
        </w:rPr>
        <w:t xml:space="preserve"> 2.1, </w:t>
      </w:r>
      <w:r w:rsidR="0053564A" w:rsidRPr="00857CDA">
        <w:rPr>
          <w:lang w:val="ro-RO"/>
        </w:rPr>
        <w:t>s</w:t>
      </w:r>
      <w:r w:rsidR="00902C44" w:rsidRPr="00857CDA">
        <w:rPr>
          <w:lang w:val="ro-RO"/>
        </w:rPr>
        <w:t>e modifică</w:t>
      </w:r>
      <w:r w:rsidRPr="00857CDA">
        <w:rPr>
          <w:lang w:val="ro-RO"/>
        </w:rPr>
        <w:t xml:space="preserve"> </w:t>
      </w:r>
      <w:r w:rsidR="00FF1403" w:rsidRPr="00857CDA">
        <w:rPr>
          <w:lang w:val="ro-RO"/>
        </w:rPr>
        <w:t>„</w:t>
      </w:r>
      <w:r w:rsidR="00865675">
        <w:rPr>
          <w:lang w:val="ro-RO"/>
        </w:rPr>
        <w:t xml:space="preserve">în </w:t>
      </w:r>
      <w:r w:rsidRPr="00857CDA">
        <w:rPr>
          <w:lang w:val="ro-RO"/>
        </w:rPr>
        <w:t>EN 1439:2008</w:t>
      </w:r>
      <w:r w:rsidR="00660131" w:rsidRPr="00857CDA">
        <w:rPr>
          <w:lang w:val="ro-RO"/>
        </w:rPr>
        <w:t>”</w:t>
      </w:r>
      <w:r w:rsidR="00902C44" w:rsidRPr="00857CDA">
        <w:rPr>
          <w:lang w:val="ro-RO"/>
        </w:rPr>
        <w:t xml:space="preserve"> cu </w:t>
      </w:r>
      <w:r w:rsidR="00FF1403" w:rsidRPr="00857CDA">
        <w:rPr>
          <w:lang w:val="ro-RO"/>
        </w:rPr>
        <w:t>„</w:t>
      </w:r>
      <w:r w:rsidR="00865675" w:rsidRPr="00857CDA">
        <w:rPr>
          <w:lang w:val="ro-RO"/>
        </w:rPr>
        <w:t xml:space="preserve">în </w:t>
      </w:r>
      <w:r w:rsidRPr="00857CDA">
        <w:rPr>
          <w:lang w:val="ro-RO"/>
        </w:rPr>
        <w:t>EN 1439:2017</w:t>
      </w:r>
      <w:r w:rsidR="004C27AD" w:rsidRPr="00857CDA">
        <w:rPr>
          <w:lang w:val="ro-RO"/>
        </w:rPr>
        <w:t xml:space="preserve"> și </w:t>
      </w:r>
      <w:r w:rsidRPr="00857CDA">
        <w:rPr>
          <w:lang w:val="ro-RO"/>
        </w:rPr>
        <w:t>EN 13952:2017</w:t>
      </w:r>
      <w:r w:rsidR="00660131" w:rsidRPr="00857CDA">
        <w:rPr>
          <w:lang w:val="ro-RO"/>
        </w:rPr>
        <w:t>”</w:t>
      </w:r>
      <w:r w:rsidRPr="00857CDA">
        <w:rPr>
          <w:lang w:val="ro-RO"/>
        </w:rPr>
        <w:t>.</w:t>
      </w:r>
    </w:p>
    <w:p w:rsidR="003C38A4" w:rsidRPr="00857CDA" w:rsidRDefault="003C38A4" w:rsidP="003C38A4">
      <w:pPr>
        <w:pStyle w:val="SingleTxtG"/>
        <w:rPr>
          <w:lang w:val="ro-RO"/>
        </w:rPr>
      </w:pPr>
      <w:r w:rsidRPr="00857CDA">
        <w:rPr>
          <w:lang w:val="ro-RO"/>
        </w:rPr>
        <w:t xml:space="preserve">4.1.4.1, </w:t>
      </w:r>
      <w:r w:rsidR="006A1ED1" w:rsidRPr="00857CDA">
        <w:rPr>
          <w:lang w:val="ro-RO"/>
        </w:rPr>
        <w:t>instrucțiunea de ambalare</w:t>
      </w:r>
      <w:r w:rsidR="00CF7662" w:rsidRPr="00857CDA">
        <w:rPr>
          <w:lang w:val="ro-RO"/>
        </w:rPr>
        <w:t xml:space="preserve"> </w:t>
      </w:r>
      <w:r w:rsidRPr="00857CDA">
        <w:rPr>
          <w:lang w:val="ro-RO"/>
        </w:rPr>
        <w:t xml:space="preserve">P200 </w:t>
      </w:r>
      <w:r w:rsidRPr="00857CDA">
        <w:rPr>
          <w:lang w:val="ro-RO"/>
        </w:rPr>
        <w:tab/>
      </w:r>
      <w:r w:rsidR="0053564A" w:rsidRPr="00857CDA">
        <w:rPr>
          <w:lang w:val="ro-RO"/>
        </w:rPr>
        <w:t>l</w:t>
      </w:r>
      <w:r w:rsidR="006A1ED1" w:rsidRPr="00857CDA">
        <w:rPr>
          <w:lang w:val="ro-RO"/>
        </w:rPr>
        <w:t>a paragraful</w:t>
      </w:r>
      <w:r w:rsidRPr="00857CDA">
        <w:rPr>
          <w:lang w:val="ro-RO"/>
        </w:rPr>
        <w:t xml:space="preserve"> </w:t>
      </w:r>
      <w:r w:rsidR="004E2527">
        <w:rPr>
          <w:lang w:val="ro-RO"/>
        </w:rPr>
        <w:t>(</w:t>
      </w:r>
      <w:r w:rsidRPr="00857CDA">
        <w:rPr>
          <w:lang w:val="ro-RO"/>
        </w:rPr>
        <w:t xml:space="preserve">13), </w:t>
      </w:r>
      <w:r w:rsidR="0053564A" w:rsidRPr="00857CDA">
        <w:rPr>
          <w:lang w:val="ro-RO"/>
        </w:rPr>
        <w:t>la</w:t>
      </w:r>
      <w:r w:rsidRPr="00857CDA">
        <w:rPr>
          <w:lang w:val="ro-RO"/>
        </w:rPr>
        <w:t xml:space="preserve"> 2.1, </w:t>
      </w:r>
      <w:r w:rsidR="0053564A" w:rsidRPr="00857CDA">
        <w:rPr>
          <w:lang w:val="ro-RO"/>
        </w:rPr>
        <w:t>s</w:t>
      </w:r>
      <w:r w:rsidR="00902C44" w:rsidRPr="00857CDA">
        <w:rPr>
          <w:lang w:val="ro-RO"/>
        </w:rPr>
        <w:t>e modifică</w:t>
      </w:r>
      <w:r w:rsidRPr="00857CDA">
        <w:rPr>
          <w:lang w:val="ro-RO"/>
        </w:rPr>
        <w:t xml:space="preserve"> </w:t>
      </w:r>
      <w:r w:rsidR="00FF1403" w:rsidRPr="00857CDA">
        <w:rPr>
          <w:lang w:val="ro-RO"/>
        </w:rPr>
        <w:t>„</w:t>
      </w:r>
      <w:r w:rsidRPr="00857CDA">
        <w:rPr>
          <w:lang w:val="ro-RO"/>
        </w:rPr>
        <w:t>EN 1919:2000, EN 1920:2000</w:t>
      </w:r>
      <w:r w:rsidR="00660131" w:rsidRPr="00857CDA">
        <w:rPr>
          <w:lang w:val="ro-RO"/>
        </w:rPr>
        <w:t>”</w:t>
      </w:r>
      <w:r w:rsidR="00902C44" w:rsidRPr="00857CDA">
        <w:rPr>
          <w:lang w:val="ro-RO"/>
        </w:rPr>
        <w:t xml:space="preserve"> cu </w:t>
      </w:r>
      <w:r w:rsidR="00FF1403" w:rsidRPr="00857CDA">
        <w:rPr>
          <w:lang w:val="ro-RO"/>
        </w:rPr>
        <w:t>„</w:t>
      </w:r>
      <w:r w:rsidRPr="00857CDA">
        <w:rPr>
          <w:lang w:val="ro-RO"/>
        </w:rPr>
        <w:t>EN ISO 24431:2016</w:t>
      </w:r>
      <w:r w:rsidR="00660131" w:rsidRPr="00857CDA">
        <w:rPr>
          <w:lang w:val="ro-RO"/>
        </w:rPr>
        <w:t>”</w:t>
      </w:r>
      <w:r w:rsidRPr="00857CDA">
        <w:rPr>
          <w:lang w:val="ro-RO"/>
        </w:rPr>
        <w:t>.</w:t>
      </w:r>
    </w:p>
    <w:p w:rsidR="00196C06" w:rsidRPr="00857CDA" w:rsidRDefault="00196C06" w:rsidP="00196C06">
      <w:pPr>
        <w:pStyle w:val="SingleTxtG"/>
        <w:rPr>
          <w:lang w:val="ro-RO" w:eastAsia="en-GB"/>
        </w:rPr>
      </w:pPr>
      <w:r w:rsidRPr="00857CDA">
        <w:rPr>
          <w:lang w:val="ro-RO"/>
        </w:rPr>
        <w:t xml:space="preserve">4.1.4.1, </w:t>
      </w:r>
      <w:r w:rsidR="006A1ED1" w:rsidRPr="00857CDA">
        <w:rPr>
          <w:lang w:val="ro-RO"/>
        </w:rPr>
        <w:t>instrucțiunea de ambalare</w:t>
      </w:r>
      <w:r w:rsidRPr="00857CDA">
        <w:rPr>
          <w:lang w:val="ro-RO"/>
        </w:rPr>
        <w:t xml:space="preserve"> P520, </w:t>
      </w:r>
      <w:r w:rsidR="006A1ED1" w:rsidRPr="00857CDA">
        <w:rPr>
          <w:lang w:val="ro-RO"/>
        </w:rPr>
        <w:t>dispoziția suplimentară</w:t>
      </w:r>
      <w:r w:rsidRPr="00857CDA">
        <w:rPr>
          <w:lang w:val="ro-RO"/>
        </w:rPr>
        <w:t xml:space="preserve"> 4 </w:t>
      </w:r>
      <w:r w:rsidR="0053564A" w:rsidRPr="00857CDA">
        <w:rPr>
          <w:lang w:val="ro-RO"/>
        </w:rPr>
        <w:t>s</w:t>
      </w:r>
      <w:r w:rsidR="00902C44" w:rsidRPr="00857CDA">
        <w:rPr>
          <w:lang w:val="ro-RO" w:eastAsia="en-GB"/>
        </w:rPr>
        <w:t>e modifică</w:t>
      </w:r>
      <w:r w:rsidRPr="00857CDA">
        <w:rPr>
          <w:lang w:val="ro-RO" w:eastAsia="en-GB"/>
        </w:rPr>
        <w:t xml:space="preserve"> </w:t>
      </w:r>
      <w:r w:rsidR="00FF1403" w:rsidRPr="00857CDA">
        <w:rPr>
          <w:lang w:val="ro-RO"/>
        </w:rPr>
        <w:t>„</w:t>
      </w:r>
      <w:r w:rsidR="002B679C" w:rsidRPr="00857CDA">
        <w:rPr>
          <w:lang w:val="ro-RO" w:eastAsia="en-GB"/>
        </w:rPr>
        <w:t>risc</w:t>
      </w:r>
      <w:r w:rsidR="00660131" w:rsidRPr="00857CDA">
        <w:rPr>
          <w:lang w:val="ro-RO"/>
        </w:rPr>
        <w:t>”</w:t>
      </w:r>
      <w:r w:rsidR="00902C44" w:rsidRPr="00857CDA">
        <w:rPr>
          <w:lang w:val="ro-RO" w:eastAsia="en-GB"/>
        </w:rPr>
        <w:t xml:space="preserve"> cu </w:t>
      </w:r>
      <w:r w:rsidR="00FF1403" w:rsidRPr="00857CDA">
        <w:rPr>
          <w:lang w:val="ro-RO"/>
        </w:rPr>
        <w:t>„</w:t>
      </w:r>
      <w:r w:rsidR="002B679C" w:rsidRPr="00857CDA">
        <w:rPr>
          <w:lang w:val="ro-RO" w:eastAsia="en-GB"/>
        </w:rPr>
        <w:t>pericol</w:t>
      </w:r>
      <w:r w:rsidR="00660131" w:rsidRPr="00857CDA">
        <w:rPr>
          <w:lang w:val="ro-RO"/>
        </w:rPr>
        <w:t>”</w:t>
      </w:r>
      <w:r w:rsidRPr="00857CDA">
        <w:rPr>
          <w:lang w:val="ro-RO" w:eastAsia="en-GB"/>
        </w:rPr>
        <w:t>.</w:t>
      </w:r>
    </w:p>
    <w:p w:rsidR="00C052E4" w:rsidRPr="00857CDA" w:rsidRDefault="00C052E4" w:rsidP="00C052E4">
      <w:pPr>
        <w:pStyle w:val="SingleTxtG"/>
        <w:rPr>
          <w:lang w:val="ro-RO" w:eastAsia="en-GB"/>
        </w:rPr>
      </w:pPr>
      <w:r w:rsidRPr="00857CDA">
        <w:rPr>
          <w:lang w:val="ro-RO"/>
        </w:rPr>
        <w:t xml:space="preserve">4.1.4.1, </w:t>
      </w:r>
      <w:r w:rsidR="006A1ED1" w:rsidRPr="00857CDA">
        <w:rPr>
          <w:lang w:val="ro-RO"/>
        </w:rPr>
        <w:t>instrucțiunea de ambalare</w:t>
      </w:r>
      <w:r w:rsidRPr="00857CDA">
        <w:rPr>
          <w:lang w:val="ro-RO"/>
        </w:rPr>
        <w:t xml:space="preserve"> P520</w:t>
      </w:r>
      <w:r w:rsidRPr="00857CDA">
        <w:rPr>
          <w:lang w:val="ro-RO"/>
        </w:rPr>
        <w:tab/>
      </w:r>
      <w:r w:rsidR="0053564A" w:rsidRPr="00857CDA">
        <w:rPr>
          <w:lang w:val="ro-RO"/>
        </w:rPr>
        <w:t>s</w:t>
      </w:r>
      <w:r w:rsidR="00902C44" w:rsidRPr="00857CDA">
        <w:rPr>
          <w:lang w:val="ro-RO"/>
        </w:rPr>
        <w:t>e adaugă</w:t>
      </w:r>
      <w:r w:rsidRPr="00857CDA">
        <w:rPr>
          <w:lang w:val="ro-RO"/>
        </w:rPr>
        <w:t xml:space="preserve"> </w:t>
      </w:r>
      <w:r w:rsidR="006A1ED1" w:rsidRPr="00857CDA">
        <w:rPr>
          <w:lang w:val="ro-RO"/>
        </w:rPr>
        <w:t>noile</w:t>
      </w:r>
      <w:r w:rsidRPr="00857CDA">
        <w:rPr>
          <w:lang w:val="ro-RO"/>
        </w:rPr>
        <w:t xml:space="preserve"> </w:t>
      </w:r>
      <w:r w:rsidR="006A1ED1" w:rsidRPr="00857CDA">
        <w:rPr>
          <w:lang w:val="ro-RO"/>
        </w:rPr>
        <w:t>dispoziții speciale</w:t>
      </w:r>
      <w:r w:rsidRPr="00857CDA">
        <w:rPr>
          <w:lang w:val="ro-RO"/>
        </w:rPr>
        <w:t xml:space="preserve"> </w:t>
      </w:r>
      <w:r w:rsidR="006A1ED1" w:rsidRPr="00857CDA">
        <w:rPr>
          <w:lang w:val="ro-RO"/>
        </w:rPr>
        <w:t>de ambalare</w:t>
      </w:r>
      <w:r w:rsidR="0053564A" w:rsidRPr="00857CDA">
        <w:rPr>
          <w:lang w:val="ro-RO"/>
        </w:rPr>
        <w:t>, după cum urmează</w:t>
      </w:r>
      <w:r w:rsidR="00091658" w:rsidRPr="00857CDA">
        <w:rPr>
          <w:lang w:val="ro-RO"/>
        </w:rPr>
        <w:t>:</w:t>
      </w:r>
    </w:p>
    <w:p w:rsidR="00C052E4" w:rsidRPr="00857CDA" w:rsidRDefault="00FF1403" w:rsidP="00C052E4">
      <w:pPr>
        <w:pStyle w:val="SingleTxtG"/>
        <w:rPr>
          <w:rStyle w:val="SingleTxtGChar"/>
          <w:lang w:val="ro-RO"/>
        </w:rPr>
      </w:pPr>
      <w:r w:rsidRPr="00857CDA">
        <w:rPr>
          <w:lang w:val="ro-RO"/>
        </w:rPr>
        <w:t>„</w:t>
      </w:r>
      <w:r w:rsidR="00C052E4" w:rsidRPr="00857CDA">
        <w:rPr>
          <w:rStyle w:val="SingleTxtGChar"/>
          <w:b/>
          <w:lang w:val="ro-RO"/>
        </w:rPr>
        <w:t>PP94</w:t>
      </w:r>
      <w:r w:rsidR="00C052E4" w:rsidRPr="00857CDA">
        <w:rPr>
          <w:rStyle w:val="SingleTxtGChar"/>
          <w:lang w:val="ro-RO"/>
        </w:rPr>
        <w:tab/>
      </w:r>
      <w:r w:rsidR="0053564A" w:rsidRPr="00857CDA">
        <w:rPr>
          <w:rStyle w:val="SingleTxtGChar"/>
          <w:lang w:val="ro-RO"/>
        </w:rPr>
        <w:t>Cantitățile foarte mici de eșantioane energetice de la 2.1.4.3 pot fi transportate la Nr. ONU 3223 sau Nr. ONU 3224, după caz, cu condiția ca</w:t>
      </w:r>
      <w:r w:rsidR="00091658" w:rsidRPr="00857CDA">
        <w:rPr>
          <w:lang w:val="ro-RO"/>
        </w:rPr>
        <w:t>:</w:t>
      </w:r>
    </w:p>
    <w:p w:rsidR="00C052E4" w:rsidRPr="00857CDA" w:rsidRDefault="00C052E4" w:rsidP="00C052E4">
      <w:pPr>
        <w:pStyle w:val="SingleTxtG"/>
        <w:rPr>
          <w:rStyle w:val="SingleTxtGChar"/>
          <w:lang w:val="ro-RO"/>
        </w:rPr>
      </w:pPr>
      <w:r w:rsidRPr="00857CDA">
        <w:rPr>
          <w:rStyle w:val="SingleTxtGChar"/>
          <w:lang w:val="ro-RO"/>
        </w:rPr>
        <w:t>1.</w:t>
      </w:r>
      <w:r w:rsidRPr="00857CDA">
        <w:rPr>
          <w:rStyle w:val="SingleTxtGChar"/>
          <w:lang w:val="ro-RO"/>
        </w:rPr>
        <w:tab/>
      </w:r>
      <w:r w:rsidR="00AB0278" w:rsidRPr="00857CDA">
        <w:rPr>
          <w:rStyle w:val="SingleTxtGChar"/>
          <w:lang w:val="ro-RO"/>
        </w:rPr>
        <w:t xml:space="preserve">Să fie utilizate numai ambalaje combinate în care ambalajul exterior este o cutie </w:t>
      </w:r>
      <w:r w:rsidRPr="00857CDA">
        <w:rPr>
          <w:rStyle w:val="SingleTxtGChar"/>
          <w:lang w:val="ro-RO"/>
        </w:rPr>
        <w:t>(4A, 4B, 4N, 4C1, 4C2, 4D, 4F, 4G, 4H1</w:t>
      </w:r>
      <w:r w:rsidR="004C27AD" w:rsidRPr="00857CDA">
        <w:rPr>
          <w:rStyle w:val="SingleTxtGChar"/>
          <w:lang w:val="ro-RO"/>
        </w:rPr>
        <w:t xml:space="preserve"> și </w:t>
      </w:r>
      <w:r w:rsidRPr="00857CDA">
        <w:rPr>
          <w:rStyle w:val="SingleTxtGChar"/>
          <w:lang w:val="ro-RO"/>
        </w:rPr>
        <w:t>4H2);</w:t>
      </w:r>
    </w:p>
    <w:p w:rsidR="00C052E4" w:rsidRPr="00857CDA" w:rsidRDefault="00C052E4" w:rsidP="00D30EFA">
      <w:pPr>
        <w:pStyle w:val="SingleTxtG"/>
        <w:rPr>
          <w:rStyle w:val="SingleTxtGChar"/>
          <w:lang w:val="ro-RO"/>
        </w:rPr>
      </w:pPr>
      <w:r w:rsidRPr="00857CDA">
        <w:rPr>
          <w:rStyle w:val="SingleTxtGChar"/>
          <w:lang w:val="ro-RO"/>
        </w:rPr>
        <w:t>2.</w:t>
      </w:r>
      <w:r w:rsidRPr="00857CDA">
        <w:rPr>
          <w:rStyle w:val="SingleTxtGChar"/>
          <w:lang w:val="ro-RO"/>
        </w:rPr>
        <w:tab/>
      </w:r>
      <w:r w:rsidR="00AB0278" w:rsidRPr="00857CDA">
        <w:rPr>
          <w:rStyle w:val="SingleTxtGChar"/>
          <w:lang w:val="ro-RO"/>
        </w:rPr>
        <w:t xml:space="preserve">Eșantioanele să fie transportate în </w:t>
      </w:r>
      <w:r w:rsidR="00D30EFA" w:rsidRPr="00857CDA">
        <w:rPr>
          <w:rStyle w:val="SingleTxtGChar"/>
          <w:lang w:val="ro-RO"/>
        </w:rPr>
        <w:t>p</w:t>
      </w:r>
      <w:r w:rsidR="00D30EFA" w:rsidRPr="00857CDA">
        <w:rPr>
          <w:lang w:val="ro-RO"/>
        </w:rPr>
        <w:t xml:space="preserve">laci pentru microtitrare </w:t>
      </w:r>
      <w:r w:rsidR="00AB0278" w:rsidRPr="00857CDA">
        <w:rPr>
          <w:rStyle w:val="SingleTxtGChar"/>
          <w:lang w:val="ro-RO"/>
        </w:rPr>
        <w:t>sau în plăci multi</w:t>
      </w:r>
      <w:r w:rsidR="00D30EFA" w:rsidRPr="00857CDA">
        <w:rPr>
          <w:rStyle w:val="SingleTxtGChar"/>
          <w:lang w:val="ro-RO"/>
        </w:rPr>
        <w:t xml:space="preserve">titrare </w:t>
      </w:r>
      <w:r w:rsidR="00AB0278" w:rsidRPr="00857CDA">
        <w:rPr>
          <w:rStyle w:val="SingleTxtGChar"/>
          <w:lang w:val="ro-RO"/>
        </w:rPr>
        <w:t xml:space="preserve">din plastic, sticlă, porțelan sau </w:t>
      </w:r>
      <w:r w:rsidR="00D30EFA" w:rsidRPr="00857CDA">
        <w:rPr>
          <w:rStyle w:val="SingleTxtGChar"/>
          <w:lang w:val="ro-RO"/>
        </w:rPr>
        <w:t>gresie</w:t>
      </w:r>
      <w:r w:rsidR="00AB0278" w:rsidRPr="00857CDA">
        <w:rPr>
          <w:rStyle w:val="SingleTxtGChar"/>
          <w:lang w:val="ro-RO"/>
        </w:rPr>
        <w:t xml:space="preserve"> ca ambalaje interioare</w:t>
      </w:r>
      <w:r w:rsidRPr="00857CDA">
        <w:rPr>
          <w:rStyle w:val="SingleTxtGChar"/>
          <w:lang w:val="ro-RO"/>
        </w:rPr>
        <w:t>;</w:t>
      </w:r>
    </w:p>
    <w:p w:rsidR="00C052E4" w:rsidRPr="00857CDA" w:rsidRDefault="00C052E4" w:rsidP="00C052E4">
      <w:pPr>
        <w:pStyle w:val="SingleTxtG"/>
        <w:rPr>
          <w:rStyle w:val="SingleTxtGChar"/>
          <w:lang w:val="ro-RO"/>
        </w:rPr>
      </w:pPr>
      <w:r w:rsidRPr="00857CDA">
        <w:rPr>
          <w:rStyle w:val="SingleTxtGChar"/>
          <w:lang w:val="ro-RO"/>
        </w:rPr>
        <w:t>3.</w:t>
      </w:r>
      <w:r w:rsidRPr="00857CDA">
        <w:rPr>
          <w:rStyle w:val="SingleTxtGChar"/>
          <w:lang w:val="ro-RO"/>
        </w:rPr>
        <w:tab/>
      </w:r>
      <w:r w:rsidR="00D30EFA" w:rsidRPr="00857CDA">
        <w:rPr>
          <w:rStyle w:val="SingleTxtGChar"/>
          <w:lang w:val="ro-RO"/>
        </w:rPr>
        <w:t>Cantitatea maximă per godeu (cavitate interioară) să nu depășească 0,01 g pentru substanțele solide sau 0,01 ml pentru substanțe lichide</w:t>
      </w:r>
      <w:r w:rsidRPr="00857CDA">
        <w:rPr>
          <w:rStyle w:val="SingleTxtGChar"/>
          <w:lang w:val="ro-RO"/>
        </w:rPr>
        <w:t>;</w:t>
      </w:r>
    </w:p>
    <w:p w:rsidR="00D30EFA" w:rsidRPr="00857CDA" w:rsidRDefault="00C052E4" w:rsidP="00C052E4">
      <w:pPr>
        <w:pStyle w:val="SingleTxtG"/>
        <w:rPr>
          <w:rStyle w:val="SingleTxtGChar"/>
          <w:lang w:val="ro-RO"/>
        </w:rPr>
      </w:pPr>
      <w:r w:rsidRPr="00857CDA">
        <w:rPr>
          <w:rStyle w:val="SingleTxtGChar"/>
          <w:lang w:val="ro-RO"/>
        </w:rPr>
        <w:t>4.</w:t>
      </w:r>
      <w:r w:rsidRPr="00857CDA">
        <w:rPr>
          <w:rStyle w:val="SingleTxtGChar"/>
          <w:lang w:val="ro-RO"/>
        </w:rPr>
        <w:tab/>
      </w:r>
      <w:r w:rsidR="00D30EFA" w:rsidRPr="00857CDA">
        <w:rPr>
          <w:rStyle w:val="SingleTxtGChar"/>
          <w:lang w:val="ro-RO"/>
        </w:rPr>
        <w:t xml:space="preserve">Cantitatea netă maximă pe ambalaj exterior </w:t>
      </w:r>
      <w:r w:rsidR="00ED030A" w:rsidRPr="00857CDA">
        <w:rPr>
          <w:rStyle w:val="SingleTxtGChar"/>
          <w:lang w:val="ro-RO"/>
        </w:rPr>
        <w:t>să fie</w:t>
      </w:r>
      <w:r w:rsidR="00D30EFA" w:rsidRPr="00857CDA">
        <w:rPr>
          <w:rStyle w:val="SingleTxtGChar"/>
          <w:lang w:val="ro-RO"/>
        </w:rPr>
        <w:t xml:space="preserve"> de 20 g pentru substanțele solide și 20 ml pentru </w:t>
      </w:r>
      <w:r w:rsidR="00857CDA" w:rsidRPr="00857CDA">
        <w:rPr>
          <w:rStyle w:val="SingleTxtGChar"/>
          <w:lang w:val="ro-RO"/>
        </w:rPr>
        <w:t>substanțele</w:t>
      </w:r>
      <w:r w:rsidR="00D30EFA" w:rsidRPr="00857CDA">
        <w:rPr>
          <w:rStyle w:val="SingleTxtGChar"/>
          <w:lang w:val="ro-RO"/>
        </w:rPr>
        <w:t xml:space="preserve"> lichide. În cazul ambalării în comun, suma masei în g și a volumului în ml </w:t>
      </w:r>
      <w:r w:rsidR="00ED030A" w:rsidRPr="00857CDA">
        <w:rPr>
          <w:rStyle w:val="SingleTxtGChar"/>
          <w:lang w:val="ro-RO"/>
        </w:rPr>
        <w:t xml:space="preserve">să </w:t>
      </w:r>
      <w:r w:rsidR="00D30EFA" w:rsidRPr="00857CDA">
        <w:rPr>
          <w:rStyle w:val="SingleTxtGChar"/>
          <w:lang w:val="ro-RO"/>
        </w:rPr>
        <w:t xml:space="preserve">nu depășească 20; și </w:t>
      </w:r>
    </w:p>
    <w:p w:rsidR="008D24BC" w:rsidRPr="00857CDA" w:rsidRDefault="00C052E4" w:rsidP="00C052E4">
      <w:pPr>
        <w:pStyle w:val="SingleTxtG"/>
        <w:rPr>
          <w:rStyle w:val="SingleTxtGChar"/>
          <w:lang w:val="ro-RO"/>
        </w:rPr>
      </w:pPr>
      <w:r w:rsidRPr="00857CDA">
        <w:rPr>
          <w:rStyle w:val="SingleTxtGChar"/>
          <w:lang w:val="ro-RO"/>
        </w:rPr>
        <w:t>5.</w:t>
      </w:r>
      <w:r w:rsidRPr="00857CDA">
        <w:rPr>
          <w:rStyle w:val="SingleTxtGChar"/>
          <w:lang w:val="ro-RO"/>
        </w:rPr>
        <w:tab/>
      </w:r>
      <w:r w:rsidR="008D24BC" w:rsidRPr="00857CDA">
        <w:rPr>
          <w:rStyle w:val="SingleTxtGChar"/>
          <w:lang w:val="ro-RO"/>
        </w:rPr>
        <w:t xml:space="preserve">Atunci când, pentru controlul calității, se folosește opțional, gheață carbonică sau azot lichid ca agent frigorific, </w:t>
      </w:r>
      <w:r w:rsidR="00ED030A" w:rsidRPr="00857CDA">
        <w:rPr>
          <w:rStyle w:val="SingleTxtGChar"/>
          <w:lang w:val="ro-RO"/>
        </w:rPr>
        <w:t>să fie</w:t>
      </w:r>
      <w:r w:rsidR="008D24BC" w:rsidRPr="00857CDA">
        <w:rPr>
          <w:rStyle w:val="SingleTxtGChar"/>
          <w:lang w:val="ro-RO"/>
        </w:rPr>
        <w:t xml:space="preserve"> îndeplinite prescripțiile de la 5.5.3. </w:t>
      </w:r>
      <w:r w:rsidR="00ED030A" w:rsidRPr="00857CDA">
        <w:rPr>
          <w:rStyle w:val="SingleTxtGChar"/>
          <w:lang w:val="ro-RO"/>
        </w:rPr>
        <w:t>Ambalajele trebuie să fie</w:t>
      </w:r>
      <w:r w:rsidR="008D24BC" w:rsidRPr="00857CDA">
        <w:rPr>
          <w:rStyle w:val="SingleTxtGChar"/>
          <w:lang w:val="ro-RO"/>
        </w:rPr>
        <w:t xml:space="preserve"> prevăzute </w:t>
      </w:r>
      <w:r w:rsidR="00ED030A" w:rsidRPr="00857CDA">
        <w:rPr>
          <w:rStyle w:val="SingleTxtGChar"/>
          <w:lang w:val="ro-RO"/>
        </w:rPr>
        <w:t xml:space="preserve">cu </w:t>
      </w:r>
      <w:r w:rsidR="008D24BC" w:rsidRPr="00857CDA">
        <w:rPr>
          <w:rStyle w:val="SingleTxtGChar"/>
          <w:lang w:val="ro-RO"/>
        </w:rPr>
        <w:t>suporturi interioare pentru a fixa ambalajele interioare în poziția lor inițială.</w:t>
      </w:r>
      <w:r w:rsidR="00ED030A" w:rsidRPr="00857CDA">
        <w:rPr>
          <w:rStyle w:val="SingleTxtGChar"/>
          <w:lang w:val="ro-RO"/>
        </w:rPr>
        <w:t xml:space="preserve"> </w:t>
      </w:r>
      <w:r w:rsidR="008D24BC" w:rsidRPr="00857CDA">
        <w:rPr>
          <w:rStyle w:val="SingleTxtGChar"/>
          <w:lang w:val="ro-RO"/>
        </w:rPr>
        <w:t>Ambalajele interioare și exterioare trebuie să-și mențină integritatea la temperatura agentului frigorific utilizat și la temperaturile și presiunile care ar rezulta d</w:t>
      </w:r>
      <w:r w:rsidR="00ED030A" w:rsidRPr="00857CDA">
        <w:rPr>
          <w:rStyle w:val="SingleTxtGChar"/>
          <w:lang w:val="ro-RO"/>
        </w:rPr>
        <w:t>upă</w:t>
      </w:r>
      <w:r w:rsidR="008D24BC" w:rsidRPr="00857CDA">
        <w:rPr>
          <w:rStyle w:val="SingleTxtGChar"/>
          <w:lang w:val="ro-RO"/>
        </w:rPr>
        <w:t xml:space="preserve"> oprirea refrigerării. </w:t>
      </w:r>
    </w:p>
    <w:p w:rsidR="00C052E4" w:rsidRPr="00857CDA" w:rsidRDefault="00C052E4" w:rsidP="00C052E4">
      <w:pPr>
        <w:pStyle w:val="SingleTxtG"/>
        <w:rPr>
          <w:rStyle w:val="SingleTxtGChar"/>
          <w:lang w:val="ro-RO"/>
        </w:rPr>
      </w:pPr>
      <w:r w:rsidRPr="00857CDA">
        <w:rPr>
          <w:b/>
          <w:lang w:val="ro-RO"/>
        </w:rPr>
        <w:t>PP95</w:t>
      </w:r>
      <w:r w:rsidRPr="00857CDA">
        <w:rPr>
          <w:lang w:val="ro-RO"/>
        </w:rPr>
        <w:tab/>
      </w:r>
      <w:r w:rsidR="00ED030A" w:rsidRPr="00857CDA">
        <w:rPr>
          <w:rStyle w:val="SingleTxtGChar"/>
          <w:lang w:val="ro-RO"/>
        </w:rPr>
        <w:t>Cantitățile foarte mici de eșantioane energetice de la 2.1.4.3 pot fi transportate la Nr. ONU 3223 sau Nr. ONU 3224, după caz, cu condiția ca</w:t>
      </w:r>
      <w:r w:rsidR="00091658" w:rsidRPr="00857CDA">
        <w:rPr>
          <w:lang w:val="ro-RO"/>
        </w:rPr>
        <w:t>:</w:t>
      </w:r>
    </w:p>
    <w:p w:rsidR="00ED030A" w:rsidRPr="00857CDA" w:rsidRDefault="00C052E4" w:rsidP="00C052E4">
      <w:pPr>
        <w:pStyle w:val="SingleTxtG"/>
        <w:rPr>
          <w:lang w:val="ro-RO"/>
        </w:rPr>
      </w:pPr>
      <w:r w:rsidRPr="00857CDA">
        <w:rPr>
          <w:lang w:val="ro-RO"/>
        </w:rPr>
        <w:t>1.</w:t>
      </w:r>
      <w:r w:rsidRPr="00857CDA">
        <w:rPr>
          <w:lang w:val="ro-RO"/>
        </w:rPr>
        <w:tab/>
      </w:r>
      <w:r w:rsidR="00ED030A" w:rsidRPr="00857CDA">
        <w:rPr>
          <w:lang w:val="ro-RO"/>
        </w:rPr>
        <w:t>Ambalajele exterioare să constea din cutii de carton ondulat de tip 4G cu dimensiuni minime de, lungime 60 cm, lățime 40,5 cm și înălțime 30 cm, precum și o grosime minimă a peretelui de 1,3 cm;</w:t>
      </w:r>
    </w:p>
    <w:p w:rsidR="0028712D" w:rsidRPr="00857CDA" w:rsidRDefault="00C052E4" w:rsidP="00C052E4">
      <w:pPr>
        <w:pStyle w:val="SingleTxtG"/>
        <w:rPr>
          <w:lang w:val="ro-RO"/>
        </w:rPr>
      </w:pPr>
      <w:r w:rsidRPr="00857CDA">
        <w:rPr>
          <w:lang w:val="ro-RO"/>
        </w:rPr>
        <w:t>2.</w:t>
      </w:r>
      <w:r w:rsidRPr="00857CDA">
        <w:rPr>
          <w:lang w:val="ro-RO"/>
        </w:rPr>
        <w:tab/>
      </w:r>
      <w:r w:rsidR="0028712D" w:rsidRPr="00857CDA">
        <w:rPr>
          <w:lang w:val="ro-RO"/>
        </w:rPr>
        <w:t>Substanța să fie conținută într-un ambalaj interior de sticlă sau plastic cu o capacitate maximă de 30 ml plasat într-o matrice expandabilă de spumă de polietilenă de cel puțin 130 mm grosime cu o densitate de 18 ± 1 g/l;</w:t>
      </w:r>
    </w:p>
    <w:p w:rsidR="00D764AD" w:rsidRPr="00857CDA" w:rsidRDefault="00C052E4" w:rsidP="00C052E4">
      <w:pPr>
        <w:pStyle w:val="SingleTxtG"/>
        <w:rPr>
          <w:lang w:val="ro-RO"/>
        </w:rPr>
      </w:pPr>
      <w:r w:rsidRPr="00857CDA">
        <w:rPr>
          <w:lang w:val="ro-RO"/>
        </w:rPr>
        <w:t>3.</w:t>
      </w:r>
      <w:r w:rsidRPr="00857CDA">
        <w:rPr>
          <w:lang w:val="ro-RO"/>
        </w:rPr>
        <w:tab/>
      </w:r>
      <w:r w:rsidR="00D764AD" w:rsidRPr="00857CDA">
        <w:rPr>
          <w:lang w:val="ro-RO"/>
        </w:rPr>
        <w:t>În suportul de spumă, ambalajele interioare să fie separate unele de altele la o distanță de cel puțin 40 mm și de peretele ambalajului exterior la o distanță de cel puțin 70 mm. Ambalajele pot conține până la două straturi de astfel de matrițe de spumă, fiecare dintre acestea putând conține până la 28 de ambalaje interioare;</w:t>
      </w:r>
    </w:p>
    <w:p w:rsidR="00D764AD" w:rsidRPr="00857CDA" w:rsidRDefault="00C052E4" w:rsidP="00D764AD">
      <w:pPr>
        <w:pStyle w:val="SingleTxtG"/>
        <w:rPr>
          <w:lang w:val="ro-RO"/>
        </w:rPr>
      </w:pPr>
      <w:r w:rsidRPr="00857CDA">
        <w:rPr>
          <w:lang w:val="ro-RO"/>
        </w:rPr>
        <w:t>4.</w:t>
      </w:r>
      <w:r w:rsidRPr="00857CDA">
        <w:rPr>
          <w:lang w:val="ro-RO"/>
        </w:rPr>
        <w:tab/>
      </w:r>
      <w:r w:rsidR="00D764AD" w:rsidRPr="00857CDA">
        <w:rPr>
          <w:lang w:val="ro-RO"/>
        </w:rPr>
        <w:t>Fiecare ambalaj interior să nu conțină mai mult de 1 g pentru solide sau 1 ml pentru lichide;</w:t>
      </w:r>
    </w:p>
    <w:p w:rsidR="00D764AD" w:rsidRPr="00857CDA" w:rsidRDefault="00D764AD" w:rsidP="00D764AD">
      <w:pPr>
        <w:pStyle w:val="SingleTxtG"/>
        <w:rPr>
          <w:lang w:val="ro-RO"/>
        </w:rPr>
      </w:pPr>
      <w:r w:rsidRPr="00857CDA">
        <w:rPr>
          <w:lang w:val="ro-RO"/>
        </w:rPr>
        <w:t xml:space="preserve">5. </w:t>
      </w:r>
      <w:r w:rsidRPr="00857CDA">
        <w:rPr>
          <w:lang w:val="ro-RO"/>
        </w:rPr>
        <w:tab/>
        <w:t>Cantitatea netă maximă pe ambalaj exterior să fie de 56 g pentru solide și 56 ml pentru lichide. În cazul ambalării în comun, suma masei în g și a volumului în ml să nu depășească 56; și</w:t>
      </w:r>
    </w:p>
    <w:p w:rsidR="00C052E4" w:rsidRPr="00857CDA" w:rsidRDefault="00C052E4" w:rsidP="00D764AD">
      <w:pPr>
        <w:pStyle w:val="SingleTxtG"/>
        <w:rPr>
          <w:rStyle w:val="SingleTxtGChar"/>
          <w:lang w:val="ro-RO"/>
        </w:rPr>
      </w:pPr>
      <w:r w:rsidRPr="00857CDA">
        <w:rPr>
          <w:rStyle w:val="SingleTxtGChar"/>
          <w:lang w:val="ro-RO"/>
        </w:rPr>
        <w:lastRenderedPageBreak/>
        <w:t>6.</w:t>
      </w:r>
      <w:r w:rsidRPr="00857CDA">
        <w:rPr>
          <w:rStyle w:val="SingleTxtGChar"/>
          <w:lang w:val="ro-RO"/>
        </w:rPr>
        <w:tab/>
      </w:r>
      <w:r w:rsidR="00D764AD" w:rsidRPr="00857CDA">
        <w:rPr>
          <w:rStyle w:val="SingleTxtGChar"/>
          <w:lang w:val="ro-RO"/>
        </w:rPr>
        <w:t>Atunci când, pentru controlul calității, se folosește opțional, gheață carbonică sau azot lichid ca agent frigorific, să fie îndeplinite prescripțiile de la 5.5.3. Ambalajele trebuie să fie prevăzute cu suporturi interioare pentru a fixa ambalajele interioare în poziția lor inițială. Ambalajele interioare și exterioare trebuie să-și mențină integritatea la temperatura agentului frigorific utilizat și la temperaturile și presiunile care ar rezulta după oprirea refrigerării</w:t>
      </w:r>
      <w:r w:rsidRPr="00857CDA">
        <w:rPr>
          <w:rStyle w:val="SingleTxtGChar"/>
          <w:lang w:val="ro-RO"/>
        </w:rPr>
        <w:t>.</w:t>
      </w:r>
      <w:r w:rsidR="00660131" w:rsidRPr="00857CDA">
        <w:rPr>
          <w:lang w:val="ro-RO"/>
        </w:rPr>
        <w:t>”</w:t>
      </w:r>
      <w:r w:rsidRPr="00857CDA">
        <w:rPr>
          <w:rStyle w:val="SingleTxtGChar"/>
          <w:lang w:val="ro-RO"/>
        </w:rPr>
        <w:t>.</w:t>
      </w:r>
    </w:p>
    <w:p w:rsidR="004215B9" w:rsidRPr="00857CDA" w:rsidRDefault="004215B9" w:rsidP="00083606">
      <w:pPr>
        <w:pStyle w:val="SingleTxtG"/>
        <w:rPr>
          <w:lang w:val="ro-RO"/>
        </w:rPr>
      </w:pPr>
      <w:r w:rsidRPr="00857CDA">
        <w:rPr>
          <w:rStyle w:val="SingleTxtGChar"/>
          <w:lang w:val="ro-RO"/>
        </w:rPr>
        <w:t xml:space="preserve">4.1.4.1, </w:t>
      </w:r>
      <w:r w:rsidR="006A1ED1" w:rsidRPr="00857CDA">
        <w:rPr>
          <w:rStyle w:val="SingleTxtGChar"/>
          <w:lang w:val="ro-RO"/>
        </w:rPr>
        <w:t>instrucțiunea de ambalare</w:t>
      </w:r>
      <w:r w:rsidR="003F0288" w:rsidRPr="00857CDA">
        <w:rPr>
          <w:rStyle w:val="SingleTxtGChar"/>
          <w:lang w:val="ro-RO"/>
        </w:rPr>
        <w:t xml:space="preserve"> P620</w:t>
      </w:r>
      <w:r w:rsidRPr="00857CDA">
        <w:rPr>
          <w:rStyle w:val="SingleTxtGChar"/>
          <w:lang w:val="ro-RO"/>
        </w:rPr>
        <w:tab/>
      </w:r>
      <w:r w:rsidR="00FF1403" w:rsidRPr="00857CDA">
        <w:rPr>
          <w:rStyle w:val="SingleTxtGChar"/>
          <w:lang w:val="ro-RO"/>
        </w:rPr>
        <w:t>î</w:t>
      </w:r>
      <w:r w:rsidR="00902C44" w:rsidRPr="00857CDA">
        <w:rPr>
          <w:rStyle w:val="SingleTxtGChar"/>
          <w:lang w:val="ro-RO"/>
        </w:rPr>
        <w:t xml:space="preserve">n </w:t>
      </w:r>
      <w:r w:rsidR="006A1ED1" w:rsidRPr="00857CDA">
        <w:rPr>
          <w:rStyle w:val="SingleTxtGChar"/>
          <w:lang w:val="ro-RO"/>
        </w:rPr>
        <w:t>dispoziția suplimentară</w:t>
      </w:r>
      <w:r w:rsidRPr="00857CDA">
        <w:rPr>
          <w:rStyle w:val="SingleTxtGChar"/>
          <w:lang w:val="ro-RO"/>
        </w:rPr>
        <w:t xml:space="preserve"> 3., la </w:t>
      </w:r>
      <w:r w:rsidR="00FF1403" w:rsidRPr="00857CDA">
        <w:rPr>
          <w:rStyle w:val="SingleTxtGChar"/>
          <w:lang w:val="ro-RO"/>
        </w:rPr>
        <w:t>sfârșit</w:t>
      </w:r>
      <w:r w:rsidRPr="00857CDA">
        <w:rPr>
          <w:rStyle w:val="SingleTxtGChar"/>
          <w:lang w:val="ro-RO"/>
        </w:rPr>
        <w:t xml:space="preserve">, </w:t>
      </w:r>
      <w:r w:rsidR="00FF1403" w:rsidRPr="00857CDA">
        <w:rPr>
          <w:rStyle w:val="SingleTxtGChar"/>
          <w:lang w:val="ro-RO"/>
        </w:rPr>
        <w:t>s</w:t>
      </w:r>
      <w:r w:rsidR="00902C44" w:rsidRPr="00857CDA">
        <w:rPr>
          <w:rStyle w:val="SingleTxtGChar"/>
          <w:lang w:val="ro-RO"/>
        </w:rPr>
        <w:t>e șterge</w:t>
      </w:r>
      <w:r w:rsidRPr="00857CDA">
        <w:rPr>
          <w:rStyle w:val="SingleTxtGChar"/>
          <w:lang w:val="ro-RO"/>
        </w:rPr>
        <w:t xml:space="preserve"> </w:t>
      </w:r>
      <w:r w:rsidR="00FF1403" w:rsidRPr="00857CDA">
        <w:rPr>
          <w:lang w:val="ro-RO"/>
        </w:rPr>
        <w:t>„</w:t>
      </w:r>
      <w:r w:rsidR="00FF1403" w:rsidRPr="00857CDA">
        <w:rPr>
          <w:rStyle w:val="SingleTxtGChar"/>
          <w:lang w:val="ro-RO"/>
        </w:rPr>
        <w:t>și la temperaturi cuprinse între -40 °C și +55 °C</w:t>
      </w:r>
      <w:r w:rsidR="00660131" w:rsidRPr="00857CDA">
        <w:rPr>
          <w:rStyle w:val="SingleTxtGChar"/>
          <w:lang w:val="ro-RO"/>
        </w:rPr>
        <w:t>”</w:t>
      </w:r>
      <w:r w:rsidR="004C27AD" w:rsidRPr="00857CDA">
        <w:rPr>
          <w:lang w:val="ro-RO"/>
        </w:rPr>
        <w:t xml:space="preserve"> și </w:t>
      </w:r>
      <w:r w:rsidR="00902C44" w:rsidRPr="00857CDA">
        <w:rPr>
          <w:lang w:val="ro-RO"/>
        </w:rPr>
        <w:t>se adaugă</w:t>
      </w:r>
      <w:r w:rsidRPr="00857CDA">
        <w:rPr>
          <w:lang w:val="ro-RO"/>
        </w:rPr>
        <w:t xml:space="preserve"> </w:t>
      </w:r>
      <w:r w:rsidR="00FF1403" w:rsidRPr="00857CDA">
        <w:rPr>
          <w:lang w:val="ro-RO"/>
        </w:rPr>
        <w:t>o nouă</w:t>
      </w:r>
      <w:r w:rsidRPr="00857CDA">
        <w:rPr>
          <w:lang w:val="ro-RO"/>
        </w:rPr>
        <w:t xml:space="preserve"> </w:t>
      </w:r>
      <w:r w:rsidR="00970E20" w:rsidRPr="00857CDA">
        <w:rPr>
          <w:lang w:val="ro-RO"/>
        </w:rPr>
        <w:t>frază</w:t>
      </w:r>
      <w:r w:rsidR="00FF1403" w:rsidRPr="00857CDA">
        <w:rPr>
          <w:lang w:val="ro-RO"/>
        </w:rPr>
        <w:t>, după cum urmează</w:t>
      </w:r>
      <w:r w:rsidR="00091658" w:rsidRPr="00857CDA">
        <w:rPr>
          <w:lang w:val="ro-RO"/>
        </w:rPr>
        <w:t>:</w:t>
      </w:r>
      <w:r w:rsidRPr="00857CDA">
        <w:rPr>
          <w:lang w:val="ro-RO"/>
        </w:rPr>
        <w:t xml:space="preserve"> </w:t>
      </w:r>
      <w:r w:rsidR="00FF1403" w:rsidRPr="00857CDA">
        <w:rPr>
          <w:lang w:val="ro-RO"/>
        </w:rPr>
        <w:t>„</w:t>
      </w:r>
      <w:r w:rsidR="0003454F" w:rsidRPr="00857CDA">
        <w:rPr>
          <w:lang w:val="ro-RO"/>
        </w:rPr>
        <w:t xml:space="preserve">Acest recipient primar sau ambalaj secundar trebuie să poată rezista la temperaturi </w:t>
      </w:r>
      <w:r w:rsidR="00083606" w:rsidRPr="00857CDA">
        <w:rPr>
          <w:lang w:val="ro-RO"/>
        </w:rPr>
        <w:t>cuprinse între</w:t>
      </w:r>
      <w:r w:rsidR="0003454F" w:rsidRPr="00857CDA">
        <w:rPr>
          <w:lang w:val="ro-RO"/>
        </w:rPr>
        <w:t xml:space="preserve"> -40 °C </w:t>
      </w:r>
      <w:r w:rsidR="00083606" w:rsidRPr="00857CDA">
        <w:rPr>
          <w:lang w:val="ro-RO"/>
        </w:rPr>
        <w:t>și +55 °C</w:t>
      </w:r>
      <w:r w:rsidRPr="00857CDA">
        <w:rPr>
          <w:lang w:val="ro-RO"/>
        </w:rPr>
        <w:t>.</w:t>
      </w:r>
      <w:r w:rsidR="00660131" w:rsidRPr="00857CDA">
        <w:rPr>
          <w:lang w:val="ro-RO"/>
        </w:rPr>
        <w:t>”</w:t>
      </w:r>
      <w:r w:rsidRPr="00857CDA">
        <w:rPr>
          <w:lang w:val="ro-RO"/>
        </w:rPr>
        <w:t xml:space="preserve">. </w:t>
      </w:r>
    </w:p>
    <w:p w:rsidR="00196C06" w:rsidRPr="00857CDA" w:rsidRDefault="00196C06" w:rsidP="00196C06">
      <w:pPr>
        <w:spacing w:before="120" w:after="120" w:line="240" w:lineRule="auto"/>
        <w:ind w:left="1134" w:right="1134"/>
        <w:jc w:val="both"/>
        <w:rPr>
          <w:i/>
          <w:iCs/>
          <w:lang w:val="ro-RO"/>
        </w:rPr>
      </w:pPr>
      <w:r w:rsidRPr="00857CDA">
        <w:rPr>
          <w:lang w:val="ro-RO"/>
        </w:rPr>
        <w:t xml:space="preserve">4.1.4.1, </w:t>
      </w:r>
      <w:r w:rsidR="006A1ED1" w:rsidRPr="00857CDA">
        <w:rPr>
          <w:lang w:val="ro-RO"/>
        </w:rPr>
        <w:t>instrucțiunea de ambalare</w:t>
      </w:r>
      <w:r w:rsidRPr="00857CDA">
        <w:rPr>
          <w:lang w:val="ro-RO"/>
        </w:rPr>
        <w:t xml:space="preserve"> P901</w:t>
      </w:r>
      <w:r w:rsidR="00EA0411" w:rsidRPr="00857CDA">
        <w:rPr>
          <w:lang w:val="ro-RO"/>
        </w:rPr>
        <w:tab/>
      </w:r>
      <w:r w:rsidR="00D01D46" w:rsidRPr="00857CDA">
        <w:rPr>
          <w:iCs/>
          <w:lang w:val="ro-RO"/>
        </w:rPr>
        <w:t xml:space="preserve">se modifică </w:t>
      </w:r>
      <w:r w:rsidR="006A1ED1" w:rsidRPr="00857CDA">
        <w:rPr>
          <w:iCs/>
          <w:lang w:val="ro-RO"/>
        </w:rPr>
        <w:t>dispoziția suplimentară</w:t>
      </w:r>
      <w:r w:rsidRPr="00857CDA">
        <w:rPr>
          <w:iCs/>
          <w:lang w:val="ro-RO"/>
        </w:rPr>
        <w:t xml:space="preserve">, </w:t>
      </w:r>
      <w:r w:rsidR="00D01D46" w:rsidRPr="00857CDA">
        <w:rPr>
          <w:iCs/>
          <w:lang w:val="ro-RO"/>
        </w:rPr>
        <w:t>după cum urează:</w:t>
      </w:r>
      <w:r w:rsidRPr="00857CDA">
        <w:rPr>
          <w:iCs/>
          <w:lang w:val="ro-RO"/>
        </w:rPr>
        <w:t xml:space="preserve"> </w:t>
      </w:r>
      <w:r w:rsidR="00FF1403" w:rsidRPr="00857CDA">
        <w:rPr>
          <w:lang w:val="ro-RO"/>
        </w:rPr>
        <w:t>„</w:t>
      </w:r>
      <w:r w:rsidR="00D01D46" w:rsidRPr="00857CDA">
        <w:rPr>
          <w:lang w:val="ro-RO"/>
        </w:rPr>
        <w:t>Mărfurile periculoase din trusă trebuie să fie plasate în ambalaje interioare care trebuie să fie protejate de celelalte materiale din trusă.</w:t>
      </w:r>
      <w:r w:rsidR="00660131" w:rsidRPr="00857CDA">
        <w:rPr>
          <w:lang w:val="ro-RO"/>
        </w:rPr>
        <w:t>”</w:t>
      </w:r>
      <w:r w:rsidRPr="00857CDA">
        <w:rPr>
          <w:iCs/>
          <w:lang w:val="ro-RO"/>
        </w:rPr>
        <w:t>.</w:t>
      </w:r>
    </w:p>
    <w:p w:rsidR="004215B9" w:rsidRPr="00857CDA" w:rsidRDefault="004215B9" w:rsidP="004068DE">
      <w:pPr>
        <w:pStyle w:val="SingleTxtG"/>
        <w:rPr>
          <w:lang w:val="ro-RO"/>
        </w:rPr>
      </w:pPr>
      <w:r w:rsidRPr="00857CDA">
        <w:rPr>
          <w:lang w:val="ro-RO"/>
        </w:rPr>
        <w:t>4.1.4.</w:t>
      </w:r>
      <w:r w:rsidR="003F0288" w:rsidRPr="00857CDA">
        <w:rPr>
          <w:lang w:val="ro-RO"/>
        </w:rPr>
        <w:t xml:space="preserve">1, </w:t>
      </w:r>
      <w:r w:rsidR="006A1ED1" w:rsidRPr="00857CDA">
        <w:rPr>
          <w:lang w:val="ro-RO"/>
        </w:rPr>
        <w:t>instrucțiunea de ambalare</w:t>
      </w:r>
      <w:r w:rsidR="003F0288" w:rsidRPr="00857CDA">
        <w:rPr>
          <w:lang w:val="ro-RO"/>
        </w:rPr>
        <w:t xml:space="preserve"> P902</w:t>
      </w:r>
      <w:r w:rsidRPr="00857CDA">
        <w:rPr>
          <w:lang w:val="ro-RO"/>
        </w:rPr>
        <w:tab/>
      </w:r>
      <w:r w:rsidR="00D01D46" w:rsidRPr="00857CDA">
        <w:rPr>
          <w:lang w:val="ro-RO"/>
        </w:rPr>
        <w:t>î</w:t>
      </w:r>
      <w:r w:rsidR="00902C44" w:rsidRPr="00857CDA">
        <w:rPr>
          <w:lang w:val="ro-RO"/>
        </w:rPr>
        <w:t>n</w:t>
      </w:r>
      <w:r w:rsidRPr="00857CDA">
        <w:rPr>
          <w:lang w:val="ro-RO"/>
        </w:rPr>
        <w:t xml:space="preserve"> </w:t>
      </w:r>
      <w:r w:rsidR="00970E20" w:rsidRPr="00857CDA">
        <w:rPr>
          <w:lang w:val="ro-RO"/>
        </w:rPr>
        <w:t>paragraf</w:t>
      </w:r>
      <w:r w:rsidR="00C95D05">
        <w:rPr>
          <w:lang w:val="ro-RO"/>
        </w:rPr>
        <w:t>ul</w:t>
      </w:r>
      <w:r w:rsidRPr="00857CDA">
        <w:rPr>
          <w:lang w:val="ro-RO"/>
        </w:rPr>
        <w:t xml:space="preserve"> </w:t>
      </w:r>
      <w:r w:rsidR="00D01D46" w:rsidRPr="00857CDA">
        <w:rPr>
          <w:lang w:val="ro-RO"/>
        </w:rPr>
        <w:t>de după</w:t>
      </w:r>
      <w:r w:rsidRPr="00857CDA">
        <w:rPr>
          <w:lang w:val="ro-RO"/>
        </w:rPr>
        <w:t xml:space="preserve"> </w:t>
      </w:r>
      <w:r w:rsidR="00FF1403" w:rsidRPr="00857CDA">
        <w:rPr>
          <w:lang w:val="ro-RO"/>
        </w:rPr>
        <w:t>„</w:t>
      </w:r>
      <w:r w:rsidRPr="00857CDA">
        <w:rPr>
          <w:lang w:val="ro-RO"/>
        </w:rPr>
        <w:t>Ob</w:t>
      </w:r>
      <w:r w:rsidR="00D01D46" w:rsidRPr="00857CDA">
        <w:rPr>
          <w:lang w:val="ro-RO"/>
        </w:rPr>
        <w:t>iec</w:t>
      </w:r>
      <w:r w:rsidRPr="00857CDA">
        <w:rPr>
          <w:lang w:val="ro-RO"/>
        </w:rPr>
        <w:t>t</w:t>
      </w:r>
      <w:r w:rsidR="00D01D46" w:rsidRPr="00857CDA">
        <w:rPr>
          <w:lang w:val="ro-RO"/>
        </w:rPr>
        <w:t>e</w:t>
      </w:r>
      <w:r w:rsidRPr="00857CDA">
        <w:rPr>
          <w:lang w:val="ro-RO"/>
        </w:rPr>
        <w:t xml:space="preserve"> n</w:t>
      </w:r>
      <w:r w:rsidR="00D01D46" w:rsidRPr="00857CDA">
        <w:rPr>
          <w:lang w:val="ro-RO"/>
        </w:rPr>
        <w:t>ea</w:t>
      </w:r>
      <w:r w:rsidRPr="00857CDA">
        <w:rPr>
          <w:lang w:val="ro-RO"/>
        </w:rPr>
        <w:t>mbal</w:t>
      </w:r>
      <w:r w:rsidR="00D01D46" w:rsidRPr="00857CDA">
        <w:rPr>
          <w:lang w:val="ro-RO"/>
        </w:rPr>
        <w:t>ate</w:t>
      </w:r>
      <w:r w:rsidRPr="00857CDA">
        <w:rPr>
          <w:lang w:val="ro-RO"/>
        </w:rPr>
        <w:t>:</w:t>
      </w:r>
      <w:r w:rsidR="00660131" w:rsidRPr="00857CDA">
        <w:rPr>
          <w:lang w:val="ro-RO"/>
        </w:rPr>
        <w:t>”</w:t>
      </w:r>
      <w:r w:rsidRPr="00857CDA">
        <w:rPr>
          <w:lang w:val="ro-RO"/>
        </w:rPr>
        <w:t xml:space="preserve">, la </w:t>
      </w:r>
      <w:r w:rsidR="00D01D46" w:rsidRPr="00857CDA">
        <w:rPr>
          <w:lang w:val="ro-RO"/>
        </w:rPr>
        <w:t>sfârșit</w:t>
      </w:r>
      <w:r w:rsidRPr="00857CDA">
        <w:rPr>
          <w:lang w:val="ro-RO"/>
        </w:rPr>
        <w:t xml:space="preserve">, </w:t>
      </w:r>
      <w:r w:rsidR="00902C44" w:rsidRPr="00857CDA">
        <w:rPr>
          <w:lang w:val="ro-RO"/>
        </w:rPr>
        <w:t xml:space="preserve">se </w:t>
      </w:r>
      <w:r w:rsidR="00D01D46" w:rsidRPr="00857CDA">
        <w:rPr>
          <w:lang w:val="ro-RO"/>
        </w:rPr>
        <w:t xml:space="preserve">înlocuiește „atunci când ele sunt transportate de la locul de fabricaţie la locul de asamblare” cu „atunci când sunt transportate de la locul de fabricaţie la locul de asamblare și invers, incluzând </w:t>
      </w:r>
      <w:r w:rsidR="004068DE" w:rsidRPr="00857CDA">
        <w:rPr>
          <w:lang w:val="ro-RO"/>
        </w:rPr>
        <w:t>parcursul care include puncte</w:t>
      </w:r>
      <w:r w:rsidR="00775F7C" w:rsidRPr="00857CDA">
        <w:rPr>
          <w:lang w:val="ro-RO"/>
        </w:rPr>
        <w:t>le</w:t>
      </w:r>
      <w:r w:rsidR="004068DE" w:rsidRPr="00857CDA">
        <w:rPr>
          <w:lang w:val="ro-RO"/>
        </w:rPr>
        <w:t xml:space="preserve"> de manipulare intermediare.</w:t>
      </w:r>
      <w:r w:rsidR="00660131" w:rsidRPr="00857CDA">
        <w:rPr>
          <w:lang w:val="ro-RO"/>
        </w:rPr>
        <w:t>”</w:t>
      </w:r>
      <w:r w:rsidRPr="00857CDA">
        <w:rPr>
          <w:lang w:val="ro-RO"/>
        </w:rPr>
        <w:t>.</w:t>
      </w:r>
    </w:p>
    <w:p w:rsidR="00196C06" w:rsidRPr="00857CDA" w:rsidRDefault="00196C06" w:rsidP="00775F7C">
      <w:pPr>
        <w:spacing w:before="120" w:after="120" w:line="240" w:lineRule="auto"/>
        <w:ind w:left="1134" w:right="1134"/>
        <w:jc w:val="both"/>
        <w:rPr>
          <w:i/>
          <w:iCs/>
          <w:lang w:val="ro-RO"/>
        </w:rPr>
      </w:pPr>
      <w:r w:rsidRPr="00857CDA">
        <w:rPr>
          <w:lang w:val="ro-RO"/>
        </w:rPr>
        <w:t xml:space="preserve">4.1.4.1, </w:t>
      </w:r>
      <w:r w:rsidR="006A1ED1" w:rsidRPr="00857CDA">
        <w:rPr>
          <w:lang w:val="ro-RO"/>
        </w:rPr>
        <w:t>instrucțiunea de ambalare</w:t>
      </w:r>
      <w:r w:rsidRPr="00857CDA">
        <w:rPr>
          <w:lang w:val="ro-RO"/>
        </w:rPr>
        <w:t xml:space="preserve"> P903</w:t>
      </w:r>
      <w:r w:rsidRPr="00857CDA">
        <w:rPr>
          <w:lang w:val="ro-RO"/>
        </w:rPr>
        <w:tab/>
      </w:r>
      <w:r w:rsidR="00775F7C" w:rsidRPr="00857CDA">
        <w:rPr>
          <w:lang w:val="ro-RO"/>
        </w:rPr>
        <w:t>s</w:t>
      </w:r>
      <w:r w:rsidR="00902C44" w:rsidRPr="00857CDA">
        <w:rPr>
          <w:lang w:val="ro-RO"/>
        </w:rPr>
        <w:t>e adaugă</w:t>
      </w:r>
      <w:r w:rsidRPr="00857CDA">
        <w:rPr>
          <w:lang w:val="ro-RO"/>
        </w:rPr>
        <w:t xml:space="preserve"> </w:t>
      </w:r>
      <w:r w:rsidR="00775F7C" w:rsidRPr="00857CDA">
        <w:rPr>
          <w:lang w:val="ro-RO"/>
        </w:rPr>
        <w:t>o nouă frază la începutul celui de al doilea rând, după cum urmează</w:t>
      </w:r>
      <w:r w:rsidR="00091658" w:rsidRPr="00857CDA">
        <w:rPr>
          <w:lang w:val="ro-RO"/>
        </w:rPr>
        <w:t>:</w:t>
      </w:r>
      <w:r w:rsidRPr="00857CDA">
        <w:rPr>
          <w:lang w:val="ro-RO"/>
        </w:rPr>
        <w:t xml:space="preserve"> </w:t>
      </w:r>
      <w:r w:rsidR="00FF1403" w:rsidRPr="00857CDA">
        <w:rPr>
          <w:lang w:val="ro-RO"/>
        </w:rPr>
        <w:t>„</w:t>
      </w:r>
      <w:r w:rsidR="00775F7C" w:rsidRPr="00857CDA">
        <w:rPr>
          <w:lang w:val="ro-RO"/>
        </w:rPr>
        <w:t>În sensul prezentei instrucțiuni de ambalare, „</w:t>
      </w:r>
      <w:r w:rsidR="00775F7C" w:rsidRPr="00857CDA">
        <w:rPr>
          <w:i/>
          <w:lang w:val="ro-RO"/>
        </w:rPr>
        <w:t>echipament</w:t>
      </w:r>
      <w:r w:rsidR="00775F7C" w:rsidRPr="00857CDA">
        <w:rPr>
          <w:lang w:val="ro-RO"/>
        </w:rPr>
        <w:t>” înseamnă un aparat alimentat de pile sau baterii cu litiu.</w:t>
      </w:r>
      <w:r w:rsidR="00660131" w:rsidRPr="00857CDA">
        <w:rPr>
          <w:lang w:val="ro-RO"/>
        </w:rPr>
        <w:t>”</w:t>
      </w:r>
      <w:r w:rsidRPr="00857CDA">
        <w:rPr>
          <w:lang w:val="ro-RO"/>
        </w:rPr>
        <w:t xml:space="preserve">. </w:t>
      </w:r>
    </w:p>
    <w:p w:rsidR="00196C06" w:rsidRPr="00857CDA" w:rsidRDefault="00196C06" w:rsidP="00196C06">
      <w:pPr>
        <w:pStyle w:val="SingleTxtG"/>
        <w:rPr>
          <w:i/>
          <w:iCs/>
          <w:lang w:val="ro-RO"/>
        </w:rPr>
      </w:pPr>
      <w:r w:rsidRPr="00857CDA">
        <w:rPr>
          <w:lang w:val="ro-RO"/>
        </w:rPr>
        <w:t xml:space="preserve">4.1.4.1, </w:t>
      </w:r>
      <w:r w:rsidR="006A1ED1" w:rsidRPr="00857CDA">
        <w:rPr>
          <w:lang w:val="ro-RO"/>
        </w:rPr>
        <w:t>instrucțiunea de ambalare</w:t>
      </w:r>
      <w:r w:rsidR="00882DFF" w:rsidRPr="00857CDA">
        <w:rPr>
          <w:lang w:val="ro-RO"/>
        </w:rPr>
        <w:t xml:space="preserve"> P903, </w:t>
      </w:r>
      <w:r w:rsidR="00775F7C" w:rsidRPr="00857CDA">
        <w:rPr>
          <w:lang w:val="ro-RO"/>
        </w:rPr>
        <w:t>(</w:t>
      </w:r>
      <w:r w:rsidR="00882DFF" w:rsidRPr="00857CDA">
        <w:rPr>
          <w:lang w:val="ro-RO"/>
        </w:rPr>
        <w:t>3)</w:t>
      </w:r>
      <w:r w:rsidR="007D23F6" w:rsidRPr="00857CDA">
        <w:rPr>
          <w:lang w:val="ro-RO"/>
        </w:rPr>
        <w:tab/>
        <w:t>s</w:t>
      </w:r>
      <w:r w:rsidR="00902C44" w:rsidRPr="00857CDA">
        <w:rPr>
          <w:lang w:val="ro-RO"/>
        </w:rPr>
        <w:t>e șterge</w:t>
      </w:r>
      <w:r w:rsidRPr="00857CDA">
        <w:rPr>
          <w:lang w:val="ro-RO"/>
        </w:rPr>
        <w:t xml:space="preserve"> </w:t>
      </w:r>
      <w:r w:rsidR="00970E20" w:rsidRPr="00857CDA">
        <w:rPr>
          <w:lang w:val="ro-RO"/>
        </w:rPr>
        <w:t>ultima frază</w:t>
      </w:r>
      <w:r w:rsidRPr="00857CDA">
        <w:rPr>
          <w:lang w:val="ro-RO"/>
        </w:rPr>
        <w:t>.</w:t>
      </w:r>
    </w:p>
    <w:p w:rsidR="00196C06" w:rsidRPr="00857CDA" w:rsidRDefault="00196C06" w:rsidP="00196C06">
      <w:pPr>
        <w:pStyle w:val="SingleTxtG"/>
        <w:rPr>
          <w:lang w:val="ro-RO"/>
        </w:rPr>
      </w:pPr>
      <w:r w:rsidRPr="00857CDA">
        <w:rPr>
          <w:lang w:val="ro-RO"/>
        </w:rPr>
        <w:t xml:space="preserve">4.1.4.1, </w:t>
      </w:r>
      <w:r w:rsidR="006A1ED1" w:rsidRPr="00857CDA">
        <w:rPr>
          <w:lang w:val="ro-RO"/>
        </w:rPr>
        <w:t>instrucțiunea de ambalare</w:t>
      </w:r>
      <w:r w:rsidRPr="00857CDA">
        <w:rPr>
          <w:lang w:val="ro-RO"/>
        </w:rPr>
        <w:t xml:space="preserve"> P908</w:t>
      </w:r>
      <w:r w:rsidRPr="00857CDA">
        <w:rPr>
          <w:lang w:val="ro-RO"/>
        </w:rPr>
        <w:tab/>
      </w:r>
      <w:r w:rsidR="00775F7C" w:rsidRPr="00857CDA">
        <w:rPr>
          <w:lang w:val="ro-RO"/>
        </w:rPr>
        <w:t xml:space="preserve">în </w:t>
      </w:r>
      <w:r w:rsidR="00970E20" w:rsidRPr="00857CDA">
        <w:rPr>
          <w:lang w:val="ro-RO"/>
        </w:rPr>
        <w:t>paragraf</w:t>
      </w:r>
      <w:r w:rsidR="00775F7C" w:rsidRPr="00857CDA">
        <w:rPr>
          <w:lang w:val="ro-RO"/>
        </w:rPr>
        <w:t>ele</w:t>
      </w:r>
      <w:r w:rsidRPr="00857CDA">
        <w:rPr>
          <w:lang w:val="ro-RO"/>
        </w:rPr>
        <w:t xml:space="preserve"> 2</w:t>
      </w:r>
      <w:r w:rsidR="00775F7C" w:rsidRPr="00857CDA">
        <w:rPr>
          <w:lang w:val="ro-RO"/>
        </w:rPr>
        <w:t>.</w:t>
      </w:r>
      <w:r w:rsidR="004C27AD" w:rsidRPr="00857CDA">
        <w:rPr>
          <w:lang w:val="ro-RO"/>
        </w:rPr>
        <w:t xml:space="preserve"> și </w:t>
      </w:r>
      <w:r w:rsidRPr="00857CDA">
        <w:rPr>
          <w:lang w:val="ro-RO"/>
        </w:rPr>
        <w:t>4</w:t>
      </w:r>
      <w:r w:rsidR="00775F7C" w:rsidRPr="00857CDA">
        <w:rPr>
          <w:lang w:val="ro-RO"/>
        </w:rPr>
        <w:t>.</w:t>
      </w:r>
      <w:r w:rsidRPr="00857CDA">
        <w:rPr>
          <w:lang w:val="ro-RO"/>
        </w:rPr>
        <w:t xml:space="preserve">, </w:t>
      </w:r>
      <w:r w:rsidR="00775F7C" w:rsidRPr="00857CDA">
        <w:rPr>
          <w:lang w:val="ro-RO"/>
        </w:rPr>
        <w:t>s</w:t>
      </w:r>
      <w:r w:rsidR="00902C44" w:rsidRPr="00857CDA">
        <w:rPr>
          <w:lang w:val="ro-RO"/>
        </w:rPr>
        <w:t>e modifică</w:t>
      </w:r>
      <w:r w:rsidRPr="00857CDA">
        <w:rPr>
          <w:lang w:val="ro-RO"/>
        </w:rPr>
        <w:t xml:space="preserve"> </w:t>
      </w:r>
      <w:r w:rsidR="00256E1C" w:rsidRPr="00857CDA">
        <w:rPr>
          <w:lang w:val="ro-RO"/>
        </w:rPr>
        <w:t>„</w:t>
      </w:r>
      <w:r w:rsidR="007D23F6" w:rsidRPr="00857CDA">
        <w:rPr>
          <w:lang w:val="ro-RO"/>
        </w:rPr>
        <w:t>neconductiv</w:t>
      </w:r>
      <w:r w:rsidR="00660131" w:rsidRPr="00857CDA">
        <w:rPr>
          <w:lang w:val="ro-RO"/>
        </w:rPr>
        <w:t>”</w:t>
      </w:r>
      <w:r w:rsidR="00902C44" w:rsidRPr="00857CDA">
        <w:rPr>
          <w:lang w:val="ro-RO"/>
        </w:rPr>
        <w:t xml:space="preserve"> cu </w:t>
      </w:r>
      <w:r w:rsidR="00256E1C" w:rsidRPr="00857CDA">
        <w:rPr>
          <w:lang w:val="ro-RO"/>
        </w:rPr>
        <w:t>„</w:t>
      </w:r>
      <w:r w:rsidRPr="00857CDA">
        <w:rPr>
          <w:lang w:val="ro-RO"/>
        </w:rPr>
        <w:t>n</w:t>
      </w:r>
      <w:r w:rsidR="007D23F6" w:rsidRPr="00857CDA">
        <w:rPr>
          <w:lang w:val="ro-RO"/>
        </w:rPr>
        <w:t>econducător de electricitate</w:t>
      </w:r>
      <w:r w:rsidR="00660131" w:rsidRPr="00857CDA">
        <w:rPr>
          <w:lang w:val="ro-RO"/>
        </w:rPr>
        <w:t>”</w:t>
      </w:r>
      <w:r w:rsidRPr="00857CDA">
        <w:rPr>
          <w:lang w:val="ro-RO"/>
        </w:rPr>
        <w:t>.</w:t>
      </w:r>
    </w:p>
    <w:p w:rsidR="00196C06" w:rsidRPr="00857CDA" w:rsidRDefault="00196C06" w:rsidP="00196C06">
      <w:pPr>
        <w:pStyle w:val="SingleTxtG"/>
        <w:rPr>
          <w:lang w:val="ro-RO"/>
        </w:rPr>
      </w:pPr>
      <w:r w:rsidRPr="00857CDA">
        <w:rPr>
          <w:lang w:val="ro-RO"/>
        </w:rPr>
        <w:t xml:space="preserve">4.1.4.1, </w:t>
      </w:r>
      <w:r w:rsidR="006A1ED1" w:rsidRPr="00857CDA">
        <w:rPr>
          <w:lang w:val="ro-RO"/>
        </w:rPr>
        <w:t>instrucțiunea de ambalare</w:t>
      </w:r>
      <w:r w:rsidRPr="00857CDA">
        <w:rPr>
          <w:lang w:val="ro-RO"/>
        </w:rPr>
        <w:t xml:space="preserve"> P909</w:t>
      </w:r>
      <w:r w:rsidRPr="00857CDA">
        <w:rPr>
          <w:lang w:val="ro-RO"/>
        </w:rPr>
        <w:tab/>
      </w:r>
      <w:r w:rsidR="00BC6891" w:rsidRPr="00857CDA">
        <w:rPr>
          <w:lang w:val="ro-RO"/>
        </w:rPr>
        <w:t xml:space="preserve">în </w:t>
      </w:r>
      <w:r w:rsidRPr="00857CDA">
        <w:rPr>
          <w:lang w:val="ro-RO"/>
        </w:rPr>
        <w:t>alin</w:t>
      </w:r>
      <w:r w:rsidR="00BC6891" w:rsidRPr="00857CDA">
        <w:rPr>
          <w:lang w:val="ro-RO"/>
        </w:rPr>
        <w:t>eatul (</w:t>
      </w:r>
      <w:r w:rsidRPr="00857CDA">
        <w:rPr>
          <w:lang w:val="ro-RO"/>
        </w:rPr>
        <w:t>c) d</w:t>
      </w:r>
      <w:r w:rsidR="00BC6891" w:rsidRPr="00857CDA">
        <w:rPr>
          <w:lang w:val="ro-RO"/>
        </w:rPr>
        <w:t>e</w:t>
      </w:r>
      <w:r w:rsidRPr="00857CDA">
        <w:rPr>
          <w:lang w:val="ro-RO"/>
        </w:rPr>
        <w:t xml:space="preserve"> </w:t>
      </w:r>
      <w:r w:rsidR="00BC6891" w:rsidRPr="00857CDA">
        <w:rPr>
          <w:lang w:val="ro-RO"/>
        </w:rPr>
        <w:t xml:space="preserve">la </w:t>
      </w:r>
      <w:r w:rsidR="00970E20" w:rsidRPr="00857CDA">
        <w:rPr>
          <w:lang w:val="ro-RO"/>
        </w:rPr>
        <w:t>paragraf</w:t>
      </w:r>
      <w:r w:rsidR="00BC6891" w:rsidRPr="00857CDA">
        <w:rPr>
          <w:lang w:val="ro-RO"/>
        </w:rPr>
        <w:t>ul</w:t>
      </w:r>
      <w:r w:rsidRPr="00857CDA">
        <w:rPr>
          <w:lang w:val="ro-RO"/>
        </w:rPr>
        <w:t xml:space="preserve"> 1, </w:t>
      </w:r>
      <w:r w:rsidR="00BC6891" w:rsidRPr="00857CDA">
        <w:rPr>
          <w:lang w:val="ro-RO"/>
        </w:rPr>
        <w:t xml:space="preserve">în </w:t>
      </w:r>
      <w:r w:rsidRPr="00857CDA">
        <w:rPr>
          <w:lang w:val="ro-RO"/>
        </w:rPr>
        <w:t>alin</w:t>
      </w:r>
      <w:r w:rsidR="00BC6891" w:rsidRPr="00857CDA">
        <w:rPr>
          <w:lang w:val="ro-RO"/>
        </w:rPr>
        <w:t>e</w:t>
      </w:r>
      <w:r w:rsidRPr="00857CDA">
        <w:rPr>
          <w:lang w:val="ro-RO"/>
        </w:rPr>
        <w:t>a</w:t>
      </w:r>
      <w:r w:rsidR="00BC6891" w:rsidRPr="00857CDA">
        <w:rPr>
          <w:lang w:val="ro-RO"/>
        </w:rPr>
        <w:t>tul</w:t>
      </w:r>
      <w:r w:rsidRPr="00857CDA">
        <w:rPr>
          <w:lang w:val="ro-RO"/>
        </w:rPr>
        <w:t> </w:t>
      </w:r>
      <w:r w:rsidR="00BC6891" w:rsidRPr="00857CDA">
        <w:rPr>
          <w:lang w:val="ro-RO"/>
        </w:rPr>
        <w:t>(</w:t>
      </w:r>
      <w:r w:rsidRPr="00857CDA">
        <w:rPr>
          <w:lang w:val="ro-RO"/>
        </w:rPr>
        <w:t>b) d</w:t>
      </w:r>
      <w:r w:rsidR="00BC6891" w:rsidRPr="00857CDA">
        <w:rPr>
          <w:lang w:val="ro-RO"/>
        </w:rPr>
        <w:t>e la</w:t>
      </w:r>
      <w:r w:rsidRPr="00857CDA">
        <w:rPr>
          <w:lang w:val="ro-RO"/>
        </w:rPr>
        <w:t xml:space="preserve"> </w:t>
      </w:r>
      <w:r w:rsidR="00970E20" w:rsidRPr="00857CDA">
        <w:rPr>
          <w:lang w:val="ro-RO"/>
        </w:rPr>
        <w:t>paragraf</w:t>
      </w:r>
      <w:r w:rsidR="00BC6891" w:rsidRPr="00857CDA">
        <w:rPr>
          <w:lang w:val="ro-RO"/>
        </w:rPr>
        <w:t>ul</w:t>
      </w:r>
      <w:r w:rsidRPr="00857CDA">
        <w:rPr>
          <w:lang w:val="ro-RO"/>
        </w:rPr>
        <w:t xml:space="preserve"> 2, </w:t>
      </w:r>
      <w:r w:rsidR="00BC6891" w:rsidRPr="00857CDA">
        <w:rPr>
          <w:lang w:val="ro-RO"/>
        </w:rPr>
        <w:t>în cel de al patrulea alineat al</w:t>
      </w:r>
      <w:r w:rsidRPr="00857CDA">
        <w:rPr>
          <w:lang w:val="ro-RO"/>
        </w:rPr>
        <w:t xml:space="preserve"> </w:t>
      </w:r>
      <w:r w:rsidR="006A1ED1" w:rsidRPr="00857CDA">
        <w:rPr>
          <w:lang w:val="ro-RO"/>
        </w:rPr>
        <w:t>dispoziți</w:t>
      </w:r>
      <w:r w:rsidR="00BC6891" w:rsidRPr="00857CDA">
        <w:rPr>
          <w:lang w:val="ro-RO"/>
        </w:rPr>
        <w:t>ei</w:t>
      </w:r>
      <w:r w:rsidR="006A1ED1" w:rsidRPr="00857CDA">
        <w:rPr>
          <w:lang w:val="ro-RO"/>
        </w:rPr>
        <w:t xml:space="preserve"> suplimentar</w:t>
      </w:r>
      <w:r w:rsidR="00BC6891" w:rsidRPr="00857CDA">
        <w:rPr>
          <w:lang w:val="ro-RO"/>
        </w:rPr>
        <w:t>e</w:t>
      </w:r>
      <w:r w:rsidRPr="00857CDA">
        <w:rPr>
          <w:lang w:val="ro-RO"/>
        </w:rPr>
        <w:t xml:space="preserve"> 2</w:t>
      </w:r>
      <w:r w:rsidR="004C27AD" w:rsidRPr="00857CDA">
        <w:rPr>
          <w:lang w:val="ro-RO"/>
        </w:rPr>
        <w:t xml:space="preserve"> și </w:t>
      </w:r>
      <w:r w:rsidRPr="00857CDA">
        <w:rPr>
          <w:lang w:val="ro-RO"/>
        </w:rPr>
        <w:t xml:space="preserve">la </w:t>
      </w:r>
      <w:r w:rsidR="006A1ED1" w:rsidRPr="00857CDA">
        <w:rPr>
          <w:lang w:val="ro-RO"/>
        </w:rPr>
        <w:t>dispoziția suplimentară</w:t>
      </w:r>
      <w:r w:rsidRPr="00857CDA">
        <w:rPr>
          <w:lang w:val="ro-RO"/>
        </w:rPr>
        <w:t xml:space="preserve"> 3, </w:t>
      </w:r>
      <w:r w:rsidR="00BC6891" w:rsidRPr="00857CDA">
        <w:rPr>
          <w:lang w:val="ro-RO"/>
        </w:rPr>
        <w:t>s</w:t>
      </w:r>
      <w:r w:rsidR="00902C44" w:rsidRPr="00857CDA">
        <w:rPr>
          <w:lang w:val="ro-RO"/>
        </w:rPr>
        <w:t>e modifică</w:t>
      </w:r>
      <w:r w:rsidRPr="00857CDA">
        <w:rPr>
          <w:lang w:val="ro-RO"/>
        </w:rPr>
        <w:t xml:space="preserve"> </w:t>
      </w:r>
      <w:r w:rsidR="00256E1C" w:rsidRPr="00857CDA">
        <w:rPr>
          <w:lang w:val="ro-RO"/>
        </w:rPr>
        <w:t>„</w:t>
      </w:r>
      <w:r w:rsidRPr="00857CDA">
        <w:rPr>
          <w:lang w:val="ro-RO"/>
        </w:rPr>
        <w:t>n</w:t>
      </w:r>
      <w:r w:rsidR="00BC6891" w:rsidRPr="00857CDA">
        <w:rPr>
          <w:lang w:val="ro-RO"/>
        </w:rPr>
        <w:t>econductiv</w:t>
      </w:r>
      <w:r w:rsidR="00660131" w:rsidRPr="00857CDA">
        <w:rPr>
          <w:lang w:val="ro-RO"/>
        </w:rPr>
        <w:t>”</w:t>
      </w:r>
      <w:r w:rsidR="00902C44" w:rsidRPr="00857CDA">
        <w:rPr>
          <w:lang w:val="ro-RO"/>
        </w:rPr>
        <w:t xml:space="preserve"> cu </w:t>
      </w:r>
      <w:r w:rsidR="00256E1C" w:rsidRPr="00857CDA">
        <w:rPr>
          <w:lang w:val="ro-RO"/>
        </w:rPr>
        <w:t>„</w:t>
      </w:r>
      <w:r w:rsidRPr="00857CDA">
        <w:rPr>
          <w:lang w:val="ro-RO"/>
        </w:rPr>
        <w:t>n</w:t>
      </w:r>
      <w:r w:rsidR="00BC6891" w:rsidRPr="00857CDA">
        <w:rPr>
          <w:lang w:val="ro-RO"/>
        </w:rPr>
        <w:t>econducător de electricitate</w:t>
      </w:r>
      <w:r w:rsidR="00660131" w:rsidRPr="00857CDA">
        <w:rPr>
          <w:lang w:val="ro-RO"/>
        </w:rPr>
        <w:t>”</w:t>
      </w:r>
      <w:r w:rsidRPr="00857CDA">
        <w:rPr>
          <w:lang w:val="ro-RO"/>
        </w:rPr>
        <w:t>.</w:t>
      </w:r>
    </w:p>
    <w:p w:rsidR="00196C06" w:rsidRPr="00857CDA" w:rsidRDefault="00196C06" w:rsidP="00196C06">
      <w:pPr>
        <w:pStyle w:val="SingleTxtG"/>
        <w:tabs>
          <w:tab w:val="left" w:pos="4536"/>
        </w:tabs>
        <w:rPr>
          <w:lang w:val="ro-RO"/>
        </w:rPr>
      </w:pPr>
      <w:r w:rsidRPr="00857CDA">
        <w:rPr>
          <w:lang w:val="ro-RO"/>
        </w:rPr>
        <w:t xml:space="preserve">4.1.4.1, </w:t>
      </w:r>
      <w:r w:rsidR="006A1ED1" w:rsidRPr="00857CDA">
        <w:rPr>
          <w:lang w:val="ro-RO"/>
        </w:rPr>
        <w:t>instrucțiunea de ambalare</w:t>
      </w:r>
      <w:r w:rsidRPr="00857CDA">
        <w:rPr>
          <w:lang w:val="ro-RO"/>
        </w:rPr>
        <w:t xml:space="preserve"> P910</w:t>
      </w:r>
      <w:r w:rsidRPr="00857CDA">
        <w:rPr>
          <w:lang w:val="ro-RO"/>
        </w:rPr>
        <w:tab/>
      </w:r>
      <w:r w:rsidR="00BC6891" w:rsidRPr="00857CDA">
        <w:rPr>
          <w:lang w:val="ro-RO"/>
        </w:rPr>
        <w:t xml:space="preserve">în </w:t>
      </w:r>
      <w:r w:rsidR="003634AA" w:rsidRPr="00857CDA">
        <w:rPr>
          <w:lang w:val="ro-RO"/>
        </w:rPr>
        <w:t>prima frază</w:t>
      </w:r>
      <w:r w:rsidRPr="00857CDA">
        <w:rPr>
          <w:lang w:val="ro-RO"/>
        </w:rPr>
        <w:t xml:space="preserve">, </w:t>
      </w:r>
      <w:r w:rsidR="00BC6891" w:rsidRPr="00857CDA">
        <w:rPr>
          <w:lang w:val="ro-RO"/>
        </w:rPr>
        <w:t>s</w:t>
      </w:r>
      <w:r w:rsidR="00902C44" w:rsidRPr="00857CDA">
        <w:rPr>
          <w:lang w:val="ro-RO"/>
        </w:rPr>
        <w:t>e modifică</w:t>
      </w:r>
      <w:r w:rsidRPr="00857CDA">
        <w:rPr>
          <w:lang w:val="ro-RO"/>
        </w:rPr>
        <w:t xml:space="preserve"> </w:t>
      </w:r>
      <w:r w:rsidR="00256E1C" w:rsidRPr="00857CDA">
        <w:rPr>
          <w:lang w:val="ro-RO"/>
        </w:rPr>
        <w:t>„</w:t>
      </w:r>
      <w:r w:rsidRPr="00857CDA">
        <w:rPr>
          <w:lang w:val="ro-RO"/>
        </w:rPr>
        <w:t>pile</w:t>
      </w:r>
      <w:r w:rsidR="004C27AD" w:rsidRPr="00857CDA">
        <w:rPr>
          <w:lang w:val="ro-RO"/>
        </w:rPr>
        <w:t xml:space="preserve"> și </w:t>
      </w:r>
      <w:r w:rsidRPr="00857CDA">
        <w:rPr>
          <w:lang w:val="ro-RO"/>
        </w:rPr>
        <w:t>bateri</w:t>
      </w:r>
      <w:r w:rsidR="00BC6891" w:rsidRPr="00857CDA">
        <w:rPr>
          <w:lang w:val="ro-RO"/>
        </w:rPr>
        <w:t>i</w:t>
      </w:r>
      <w:r w:rsidR="00660131" w:rsidRPr="00857CDA">
        <w:rPr>
          <w:lang w:val="ro-RO"/>
        </w:rPr>
        <w:t>”</w:t>
      </w:r>
      <w:r w:rsidR="00902C44" w:rsidRPr="00857CDA">
        <w:rPr>
          <w:lang w:val="ro-RO"/>
        </w:rPr>
        <w:t xml:space="preserve"> cu </w:t>
      </w:r>
      <w:r w:rsidR="00256E1C" w:rsidRPr="00857CDA">
        <w:rPr>
          <w:lang w:val="ro-RO"/>
        </w:rPr>
        <w:t>„</w:t>
      </w:r>
      <w:r w:rsidRPr="00857CDA">
        <w:rPr>
          <w:lang w:val="ro-RO"/>
        </w:rPr>
        <w:t xml:space="preserve">pile </w:t>
      </w:r>
      <w:r w:rsidR="00BC6891" w:rsidRPr="00857CDA">
        <w:rPr>
          <w:lang w:val="ro-RO"/>
        </w:rPr>
        <w:t>sa</w:t>
      </w:r>
      <w:r w:rsidRPr="00857CDA">
        <w:rPr>
          <w:lang w:val="ro-RO"/>
        </w:rPr>
        <w:t>u bateri</w:t>
      </w:r>
      <w:r w:rsidR="00BC6891" w:rsidRPr="00857CDA">
        <w:rPr>
          <w:lang w:val="ro-RO"/>
        </w:rPr>
        <w:t>i</w:t>
      </w:r>
      <w:r w:rsidR="00660131" w:rsidRPr="00857CDA">
        <w:rPr>
          <w:lang w:val="ro-RO"/>
        </w:rPr>
        <w:t>”</w:t>
      </w:r>
      <w:r w:rsidRPr="00857CDA">
        <w:rPr>
          <w:lang w:val="ro-RO"/>
        </w:rPr>
        <w:t xml:space="preserve"> (de</w:t>
      </w:r>
      <w:r w:rsidR="00BC6891" w:rsidRPr="00857CDA">
        <w:rPr>
          <w:lang w:val="ro-RO"/>
        </w:rPr>
        <w:t xml:space="preserve"> două ori</w:t>
      </w:r>
      <w:r w:rsidRPr="00857CDA">
        <w:rPr>
          <w:lang w:val="ro-RO"/>
        </w:rPr>
        <w:t>).</w:t>
      </w:r>
    </w:p>
    <w:p w:rsidR="00196C06" w:rsidRPr="00857CDA" w:rsidRDefault="00196C06" w:rsidP="00196C06">
      <w:pPr>
        <w:pStyle w:val="SingleTxtG"/>
        <w:tabs>
          <w:tab w:val="left" w:pos="4536"/>
        </w:tabs>
        <w:rPr>
          <w:lang w:val="ro-RO"/>
        </w:rPr>
      </w:pPr>
      <w:r w:rsidRPr="00857CDA">
        <w:rPr>
          <w:lang w:val="ro-RO"/>
        </w:rPr>
        <w:t xml:space="preserve">4.1.4.1, </w:t>
      </w:r>
      <w:r w:rsidR="006A1ED1" w:rsidRPr="00857CDA">
        <w:rPr>
          <w:lang w:val="ro-RO"/>
        </w:rPr>
        <w:t>instrucțiunea de ambalare</w:t>
      </w:r>
      <w:r w:rsidRPr="00857CDA">
        <w:rPr>
          <w:lang w:val="ro-RO"/>
        </w:rPr>
        <w:t xml:space="preserve"> P910</w:t>
      </w:r>
      <w:r w:rsidRPr="00857CDA">
        <w:rPr>
          <w:lang w:val="ro-RO"/>
        </w:rPr>
        <w:tab/>
      </w:r>
      <w:r w:rsidR="00BC6891" w:rsidRPr="00857CDA">
        <w:rPr>
          <w:lang w:val="ro-RO"/>
        </w:rPr>
        <w:t xml:space="preserve">în </w:t>
      </w:r>
      <w:r w:rsidRPr="00857CDA">
        <w:rPr>
          <w:lang w:val="ro-RO"/>
        </w:rPr>
        <w:t>alin</w:t>
      </w:r>
      <w:r w:rsidR="00BC6891" w:rsidRPr="00857CDA">
        <w:rPr>
          <w:lang w:val="ro-RO"/>
        </w:rPr>
        <w:t>eatele</w:t>
      </w:r>
      <w:r w:rsidR="00375009" w:rsidRPr="00857CDA">
        <w:rPr>
          <w:lang w:val="ro-RO"/>
        </w:rPr>
        <w:t xml:space="preserve"> </w:t>
      </w:r>
      <w:r w:rsidRPr="00857CDA">
        <w:rPr>
          <w:lang w:val="ro-RO"/>
        </w:rPr>
        <w:t>c)</w:t>
      </w:r>
      <w:r w:rsidR="004C27AD" w:rsidRPr="00857CDA">
        <w:rPr>
          <w:i/>
          <w:lang w:val="ro-RO"/>
        </w:rPr>
        <w:t xml:space="preserve"> și </w:t>
      </w:r>
      <w:r w:rsidRPr="00857CDA">
        <w:rPr>
          <w:lang w:val="ro-RO"/>
        </w:rPr>
        <w:t>d)</w:t>
      </w:r>
      <w:r w:rsidRPr="00857CDA">
        <w:rPr>
          <w:i/>
          <w:lang w:val="ro-RO"/>
        </w:rPr>
        <w:t xml:space="preserve"> </w:t>
      </w:r>
      <w:r w:rsidR="00BC6891" w:rsidRPr="00857CDA">
        <w:rPr>
          <w:lang w:val="ro-RO"/>
        </w:rPr>
        <w:t>ale</w:t>
      </w:r>
      <w:r w:rsidRPr="00857CDA">
        <w:rPr>
          <w:lang w:val="ro-RO"/>
        </w:rPr>
        <w:t xml:space="preserve"> </w:t>
      </w:r>
      <w:r w:rsidR="00970E20" w:rsidRPr="00857CDA">
        <w:rPr>
          <w:lang w:val="ro-RO"/>
        </w:rPr>
        <w:t>paragraf</w:t>
      </w:r>
      <w:r w:rsidR="00BC6891" w:rsidRPr="00857CDA">
        <w:rPr>
          <w:lang w:val="ro-RO"/>
        </w:rPr>
        <w:t>ului</w:t>
      </w:r>
      <w:r w:rsidRPr="00857CDA">
        <w:rPr>
          <w:lang w:val="ro-RO"/>
        </w:rPr>
        <w:t xml:space="preserve"> 1, </w:t>
      </w:r>
      <w:r w:rsidR="00BC6891" w:rsidRPr="00857CDA">
        <w:rPr>
          <w:lang w:val="ro-RO"/>
        </w:rPr>
        <w:t>în a</w:t>
      </w:r>
      <w:r w:rsidRPr="00857CDA">
        <w:rPr>
          <w:lang w:val="ro-RO"/>
        </w:rPr>
        <w:t>lin</w:t>
      </w:r>
      <w:r w:rsidR="00BC6891" w:rsidRPr="00857CDA">
        <w:rPr>
          <w:lang w:val="ro-RO"/>
        </w:rPr>
        <w:t>e</w:t>
      </w:r>
      <w:r w:rsidRPr="00857CDA">
        <w:rPr>
          <w:lang w:val="ro-RO"/>
        </w:rPr>
        <w:t>a</w:t>
      </w:r>
      <w:r w:rsidR="00BC6891" w:rsidRPr="00857CDA">
        <w:rPr>
          <w:lang w:val="ro-RO"/>
        </w:rPr>
        <w:t>tul</w:t>
      </w:r>
      <w:r w:rsidR="00375009" w:rsidRPr="00857CDA">
        <w:rPr>
          <w:lang w:val="ro-RO"/>
        </w:rPr>
        <w:t xml:space="preserve"> </w:t>
      </w:r>
      <w:r w:rsidRPr="00857CDA">
        <w:rPr>
          <w:lang w:val="ro-RO"/>
        </w:rPr>
        <w:t>c) d</w:t>
      </w:r>
      <w:r w:rsidR="00BC6891" w:rsidRPr="00857CDA">
        <w:rPr>
          <w:lang w:val="ro-RO"/>
        </w:rPr>
        <w:t>e la</w:t>
      </w:r>
      <w:r w:rsidRPr="00857CDA">
        <w:rPr>
          <w:lang w:val="ro-RO"/>
        </w:rPr>
        <w:t xml:space="preserve"> </w:t>
      </w:r>
      <w:r w:rsidR="00970E20" w:rsidRPr="00857CDA">
        <w:rPr>
          <w:lang w:val="ro-RO"/>
        </w:rPr>
        <w:t>paragraf</w:t>
      </w:r>
      <w:r w:rsidR="00BC6891" w:rsidRPr="00857CDA">
        <w:rPr>
          <w:lang w:val="ro-RO"/>
        </w:rPr>
        <w:t>ul</w:t>
      </w:r>
      <w:r w:rsidRPr="00857CDA">
        <w:rPr>
          <w:lang w:val="ro-RO"/>
        </w:rPr>
        <w:t xml:space="preserve"> 2</w:t>
      </w:r>
      <w:r w:rsidR="004C27AD" w:rsidRPr="00857CDA">
        <w:rPr>
          <w:lang w:val="ro-RO"/>
        </w:rPr>
        <w:t xml:space="preserve"> și </w:t>
      </w:r>
      <w:r w:rsidR="00BC6891" w:rsidRPr="00857CDA">
        <w:rPr>
          <w:lang w:val="ro-RO"/>
        </w:rPr>
        <w:t>în cel de la patrulea alineat al</w:t>
      </w:r>
      <w:r w:rsidRPr="00857CDA">
        <w:rPr>
          <w:lang w:val="ro-RO"/>
        </w:rPr>
        <w:t xml:space="preserve"> dispo</w:t>
      </w:r>
      <w:r w:rsidR="00BC6891" w:rsidRPr="00857CDA">
        <w:rPr>
          <w:lang w:val="ro-RO"/>
        </w:rPr>
        <w:t>ziției</w:t>
      </w:r>
      <w:r w:rsidRPr="00857CDA">
        <w:rPr>
          <w:lang w:val="ro-RO"/>
        </w:rPr>
        <w:t xml:space="preserve"> supl</w:t>
      </w:r>
      <w:r w:rsidR="00BC6891" w:rsidRPr="00857CDA">
        <w:rPr>
          <w:lang w:val="ro-RO"/>
        </w:rPr>
        <w:t>i</w:t>
      </w:r>
      <w:r w:rsidRPr="00857CDA">
        <w:rPr>
          <w:lang w:val="ro-RO"/>
        </w:rPr>
        <w:t xml:space="preserve">mentare, </w:t>
      </w:r>
      <w:r w:rsidR="00BC6891" w:rsidRPr="00857CDA">
        <w:rPr>
          <w:lang w:val="ro-RO"/>
        </w:rPr>
        <w:t>s</w:t>
      </w:r>
      <w:r w:rsidR="00902C44" w:rsidRPr="00857CDA">
        <w:rPr>
          <w:lang w:val="ro-RO"/>
        </w:rPr>
        <w:t>e modifică</w:t>
      </w:r>
      <w:r w:rsidRPr="00857CDA">
        <w:rPr>
          <w:lang w:val="ro-RO"/>
        </w:rPr>
        <w:t xml:space="preserve"> </w:t>
      </w:r>
      <w:r w:rsidR="00256E1C" w:rsidRPr="00857CDA">
        <w:rPr>
          <w:lang w:val="ro-RO"/>
        </w:rPr>
        <w:t>„</w:t>
      </w:r>
      <w:r w:rsidRPr="00857CDA">
        <w:rPr>
          <w:lang w:val="ro-RO"/>
        </w:rPr>
        <w:t>n</w:t>
      </w:r>
      <w:r w:rsidR="00BC6891" w:rsidRPr="00857CDA">
        <w:rPr>
          <w:lang w:val="ro-RO"/>
        </w:rPr>
        <w:t>econductiv</w:t>
      </w:r>
      <w:r w:rsidR="00660131" w:rsidRPr="00857CDA">
        <w:rPr>
          <w:lang w:val="ro-RO"/>
        </w:rPr>
        <w:t>”</w:t>
      </w:r>
      <w:r w:rsidR="00902C44" w:rsidRPr="00857CDA">
        <w:rPr>
          <w:lang w:val="ro-RO"/>
        </w:rPr>
        <w:t xml:space="preserve"> cu </w:t>
      </w:r>
      <w:r w:rsidR="00256E1C" w:rsidRPr="00857CDA">
        <w:rPr>
          <w:lang w:val="ro-RO"/>
        </w:rPr>
        <w:t>„</w:t>
      </w:r>
      <w:r w:rsidR="00A87113" w:rsidRPr="00857CDA">
        <w:rPr>
          <w:lang w:val="ro-RO"/>
        </w:rPr>
        <w:t>neconducător de electricitate</w:t>
      </w:r>
      <w:r w:rsidR="00660131" w:rsidRPr="00857CDA">
        <w:rPr>
          <w:lang w:val="ro-RO"/>
        </w:rPr>
        <w:t>”</w:t>
      </w:r>
      <w:r w:rsidRPr="00857CDA">
        <w:rPr>
          <w:lang w:val="ro-RO"/>
        </w:rPr>
        <w:t>.</w:t>
      </w:r>
    </w:p>
    <w:p w:rsidR="009360D3" w:rsidRPr="00857CDA" w:rsidRDefault="009360D3" w:rsidP="009360D3">
      <w:pPr>
        <w:pStyle w:val="SingleTxtG"/>
        <w:tabs>
          <w:tab w:val="left" w:pos="4536"/>
        </w:tabs>
        <w:rPr>
          <w:lang w:val="ro-RO"/>
        </w:rPr>
      </w:pPr>
      <w:r w:rsidRPr="00857CDA">
        <w:rPr>
          <w:lang w:val="ro-RO"/>
        </w:rPr>
        <w:t xml:space="preserve">4.1.4.1, </w:t>
      </w:r>
      <w:r w:rsidR="006A1ED1" w:rsidRPr="00857CDA">
        <w:rPr>
          <w:lang w:val="ro-RO"/>
        </w:rPr>
        <w:t>instrucțiunea de ambalare</w:t>
      </w:r>
      <w:r w:rsidRPr="00857CDA">
        <w:rPr>
          <w:lang w:val="ro-RO"/>
        </w:rPr>
        <w:t xml:space="preserve"> R001</w:t>
      </w:r>
      <w:r w:rsidR="00A54F23" w:rsidRPr="00857CDA">
        <w:rPr>
          <w:lang w:val="ro-RO"/>
        </w:rPr>
        <w:tab/>
      </w:r>
      <w:r w:rsidR="00A87113" w:rsidRPr="00857CDA">
        <w:rPr>
          <w:lang w:val="ro-RO"/>
        </w:rPr>
        <w:t xml:space="preserve">în </w:t>
      </w:r>
      <w:r w:rsidR="00A54F23" w:rsidRPr="00857CDA">
        <w:rPr>
          <w:lang w:val="ro-RO"/>
        </w:rPr>
        <w:t xml:space="preserve">Nota 2, </w:t>
      </w:r>
      <w:r w:rsidR="00A87113" w:rsidRPr="00857CDA">
        <w:rPr>
          <w:lang w:val="ro-RO"/>
        </w:rPr>
        <w:t>s</w:t>
      </w:r>
      <w:r w:rsidR="00902C44" w:rsidRPr="00857CDA">
        <w:rPr>
          <w:lang w:val="ro-RO"/>
        </w:rPr>
        <w:t>e modifică</w:t>
      </w:r>
      <w:r w:rsidR="00A54F23" w:rsidRPr="00857CDA">
        <w:rPr>
          <w:lang w:val="ro-RO"/>
        </w:rPr>
        <w:t xml:space="preserve"> </w:t>
      </w:r>
      <w:r w:rsidR="00256E1C"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256E1C" w:rsidRPr="00857CDA">
        <w:rPr>
          <w:lang w:val="ro-RO"/>
        </w:rPr>
        <w:t>„</w:t>
      </w:r>
      <w:r w:rsidR="002B679C" w:rsidRPr="00857CDA">
        <w:rPr>
          <w:lang w:val="ro-RO"/>
        </w:rPr>
        <w:t>pericol</w:t>
      </w:r>
      <w:r w:rsidR="00660131" w:rsidRPr="00857CDA">
        <w:rPr>
          <w:lang w:val="ro-RO"/>
        </w:rPr>
        <w:t>”</w:t>
      </w:r>
      <w:r w:rsidR="00A54F23" w:rsidRPr="00857CDA">
        <w:rPr>
          <w:lang w:val="ro-RO"/>
        </w:rPr>
        <w:t>.</w:t>
      </w:r>
    </w:p>
    <w:p w:rsidR="003634AA" w:rsidRPr="00857CDA" w:rsidRDefault="00DB4351" w:rsidP="00256E1C">
      <w:pPr>
        <w:pStyle w:val="SingleTxtG"/>
        <w:rPr>
          <w:lang w:val="ro-RO"/>
        </w:rPr>
      </w:pPr>
      <w:r w:rsidRPr="00857CDA">
        <w:rPr>
          <w:lang w:val="ro-RO"/>
        </w:rPr>
        <w:t>4.1.4.1</w:t>
      </w:r>
      <w:r w:rsidRPr="00857CDA">
        <w:rPr>
          <w:lang w:val="ro-RO"/>
        </w:rPr>
        <w:tab/>
      </w:r>
      <w:r w:rsidRPr="00857CDA">
        <w:rPr>
          <w:lang w:val="ro-RO"/>
        </w:rPr>
        <w:tab/>
      </w:r>
      <w:r w:rsidR="00902C44" w:rsidRPr="00857CDA">
        <w:rPr>
          <w:lang w:val="ro-RO"/>
        </w:rPr>
        <w:t>Se adaugă</w:t>
      </w:r>
      <w:r w:rsidRPr="00857CDA">
        <w:rPr>
          <w:lang w:val="ro-RO"/>
        </w:rPr>
        <w:t xml:space="preserve"> nou</w:t>
      </w:r>
      <w:r w:rsidR="00A87113" w:rsidRPr="00857CDA">
        <w:rPr>
          <w:lang w:val="ro-RO"/>
        </w:rPr>
        <w:t>a</w:t>
      </w:r>
      <w:r w:rsidRPr="00857CDA">
        <w:rPr>
          <w:lang w:val="ro-RO"/>
        </w:rPr>
        <w:t xml:space="preserve"> </w:t>
      </w:r>
      <w:r w:rsidR="006A1ED1" w:rsidRPr="00857CDA">
        <w:rPr>
          <w:lang w:val="ro-RO"/>
        </w:rPr>
        <w:t>instrucțiune de ambalare</w:t>
      </w:r>
      <w:r w:rsidRPr="00857CDA">
        <w:rPr>
          <w:lang w:val="ro-RO"/>
        </w:rPr>
        <w:t xml:space="preserve"> P006</w:t>
      </w:r>
      <w:r w:rsidR="00A87113" w:rsidRPr="00857CDA">
        <w:rPr>
          <w:lang w:val="ro-RO"/>
        </w:rPr>
        <w:t>, după cum urmează</w:t>
      </w:r>
      <w:r w:rsidR="00091658" w:rsidRPr="00857CDA">
        <w:rPr>
          <w:lang w:val="ro-RO"/>
        </w:rPr>
        <w:t>:</w:t>
      </w:r>
    </w:p>
    <w:p w:rsidR="00256E1C" w:rsidRPr="00857CDA" w:rsidRDefault="00256E1C" w:rsidP="00256E1C">
      <w:pPr>
        <w:pStyle w:val="SingleTxtG"/>
        <w:rPr>
          <w:lang w:val="ro-RO"/>
        </w:rPr>
      </w:pPr>
    </w:p>
    <w:tbl>
      <w:tblPr>
        <w:tblW w:w="9645" w:type="dxa"/>
        <w:jc w:val="center"/>
        <w:tblLayout w:type="fixed"/>
        <w:tblCellMar>
          <w:left w:w="0" w:type="dxa"/>
          <w:right w:w="113" w:type="dxa"/>
        </w:tblCellMar>
        <w:tblLook w:val="01E0" w:firstRow="1" w:lastRow="1" w:firstColumn="1" w:lastColumn="1" w:noHBand="0" w:noVBand="0"/>
      </w:tblPr>
      <w:tblGrid>
        <w:gridCol w:w="1279"/>
        <w:gridCol w:w="7088"/>
        <w:gridCol w:w="1278"/>
      </w:tblGrid>
      <w:tr w:rsidR="00A074FC" w:rsidRPr="00857CDA" w:rsidTr="003634AA">
        <w:trPr>
          <w:jc w:val="center"/>
        </w:trPr>
        <w:tc>
          <w:tcPr>
            <w:tcW w:w="1279"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DB4351" w:rsidRPr="00857CDA"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ro-RO"/>
              </w:rPr>
            </w:pPr>
            <w:r w:rsidRPr="00857CDA">
              <w:rPr>
                <w:b/>
                <w:lang w:val="ro-RO"/>
              </w:rPr>
              <w:t>P006</w:t>
            </w:r>
          </w:p>
        </w:tc>
        <w:tc>
          <w:tcPr>
            <w:tcW w:w="7088"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DB4351" w:rsidRPr="00857CDA" w:rsidRDefault="006A1ED1" w:rsidP="00BF2AC1">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ro-RO"/>
              </w:rPr>
            </w:pPr>
            <w:r w:rsidRPr="00857CDA">
              <w:rPr>
                <w:b/>
                <w:iCs/>
                <w:lang w:val="ro-RO"/>
              </w:rPr>
              <w:t>INSTRUCȚIUNE DE AMBALARE</w:t>
            </w:r>
          </w:p>
        </w:tc>
        <w:tc>
          <w:tcPr>
            <w:tcW w:w="127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B4351" w:rsidRPr="00857CDA" w:rsidRDefault="00DB4351" w:rsidP="008B7736">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ro-RO"/>
              </w:rPr>
            </w:pPr>
            <w:r w:rsidRPr="00857CDA">
              <w:rPr>
                <w:b/>
                <w:iCs/>
                <w:lang w:val="ro-RO"/>
              </w:rPr>
              <w:t>P006</w:t>
            </w:r>
          </w:p>
        </w:tc>
      </w:tr>
      <w:tr w:rsidR="00A074FC" w:rsidRPr="00857CDA" w:rsidTr="008B7736">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4351" w:rsidRPr="00857CDA" w:rsidRDefault="00A87113" w:rsidP="00A87113">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t xml:space="preserve">Această instrucţiune se aplică pentru </w:t>
            </w:r>
            <w:r w:rsidR="002B679C" w:rsidRPr="00857CDA">
              <w:rPr>
                <w:iCs/>
                <w:lang w:val="ro-RO"/>
              </w:rPr>
              <w:t>Nr. ONU</w:t>
            </w:r>
            <w:r w:rsidR="00DB4351" w:rsidRPr="00857CDA">
              <w:rPr>
                <w:iCs/>
                <w:lang w:val="ro-RO"/>
              </w:rPr>
              <w:t xml:space="preserve"> 3537</w:t>
            </w:r>
            <w:r w:rsidR="00A54F23" w:rsidRPr="00857CDA">
              <w:rPr>
                <w:iCs/>
                <w:lang w:val="ro-RO"/>
              </w:rPr>
              <w:t xml:space="preserve"> </w:t>
            </w:r>
            <w:r w:rsidRPr="00857CDA">
              <w:rPr>
                <w:iCs/>
                <w:lang w:val="ro-RO"/>
              </w:rPr>
              <w:t>la</w:t>
            </w:r>
            <w:r w:rsidR="00DB4351" w:rsidRPr="00857CDA">
              <w:rPr>
                <w:iCs/>
                <w:lang w:val="ro-RO"/>
              </w:rPr>
              <w:t xml:space="preserve"> 3548.</w:t>
            </w:r>
          </w:p>
        </w:tc>
      </w:tr>
      <w:tr w:rsidR="00A074FC" w:rsidRPr="00857CDA" w:rsidTr="008B7736">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DB4351" w:rsidRPr="00857CDA" w:rsidRDefault="001F5C8B" w:rsidP="00A87113">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lang w:val="ro-RO"/>
              </w:rPr>
              <w:t>1)</w:t>
            </w:r>
            <w:r w:rsidR="00DB4351" w:rsidRPr="00857CDA">
              <w:rPr>
                <w:lang w:val="ro-RO"/>
              </w:rPr>
              <w:tab/>
            </w:r>
            <w:r w:rsidR="00A87113" w:rsidRPr="00857CDA">
              <w:rPr>
                <w:iCs/>
                <w:lang w:val="ro-RO"/>
              </w:rPr>
              <w:t>Următoarele ambalaje combinate sunt autorizate, dacă sunt îndeplinite dispoziţiile generale de la 4.1.1 şi 4.1.3:</w:t>
            </w:r>
          </w:p>
        </w:tc>
      </w:tr>
      <w:tr w:rsidR="00A074FC" w:rsidRPr="00857CDA"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B4351" w:rsidRPr="00857CDA" w:rsidRDefault="00A87113"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Butoaie</w:t>
            </w:r>
            <w:r w:rsidR="00DB4351" w:rsidRPr="00857CDA">
              <w:rPr>
                <w:iCs/>
                <w:lang w:val="ro-RO"/>
              </w:rPr>
              <w:t xml:space="preserve"> (1A2, 1B2, 1N2, 1H2, 1D, 1G);</w:t>
            </w:r>
          </w:p>
        </w:tc>
      </w:tr>
      <w:tr w:rsidR="00A074FC" w:rsidRPr="007D305F"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B4351" w:rsidRPr="00857CDA" w:rsidRDefault="00A87113" w:rsidP="008B773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Cutii</w:t>
            </w:r>
            <w:r w:rsidR="00DB4351" w:rsidRPr="00857CDA">
              <w:rPr>
                <w:iCs/>
                <w:lang w:val="ro-RO"/>
              </w:rPr>
              <w:t xml:space="preserve"> (4A, 4B, 4N, 4C1, 4C2, 4D, 4F, 4G, 4H1, 4H2);</w:t>
            </w:r>
          </w:p>
        </w:tc>
      </w:tr>
      <w:tr w:rsidR="00A074FC" w:rsidRPr="007D305F"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B4351" w:rsidRPr="00857CDA" w:rsidRDefault="00DB4351" w:rsidP="00A87113">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Bido</w:t>
            </w:r>
            <w:r w:rsidR="00A87113" w:rsidRPr="00857CDA">
              <w:rPr>
                <w:iCs/>
                <w:lang w:val="ro-RO"/>
              </w:rPr>
              <w:t>ane</w:t>
            </w:r>
            <w:r w:rsidRPr="00857CDA">
              <w:rPr>
                <w:iCs/>
                <w:lang w:val="ro-RO"/>
              </w:rPr>
              <w:t xml:space="preserve"> (</w:t>
            </w:r>
            <w:r w:rsidR="00A87113" w:rsidRPr="00857CDA">
              <w:rPr>
                <w:iCs/>
                <w:lang w:val="ro-RO"/>
              </w:rPr>
              <w:t>canistre</w:t>
            </w:r>
            <w:r w:rsidRPr="00857CDA">
              <w:rPr>
                <w:iCs/>
                <w:lang w:val="ro-RO"/>
              </w:rPr>
              <w:t>) (3A2, 3B2, 3H2)</w:t>
            </w:r>
            <w:r w:rsidR="00DA2DF0" w:rsidRPr="00857CDA">
              <w:rPr>
                <w:iCs/>
                <w:lang w:val="ro-RO"/>
              </w:rPr>
              <w:t>.</w:t>
            </w:r>
          </w:p>
        </w:tc>
      </w:tr>
      <w:tr w:rsidR="00A074FC" w:rsidRPr="007D305F"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B4351" w:rsidRPr="00857CDA" w:rsidRDefault="00DB4351" w:rsidP="008B7736">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lang w:val="ro-RO"/>
              </w:rPr>
              <w:tab/>
            </w:r>
            <w:r w:rsidR="00F76AE6" w:rsidRPr="00857CDA">
              <w:rPr>
                <w:iCs/>
                <w:lang w:val="ro-RO"/>
              </w:rPr>
              <w:t>Ambalajele trebuie să fie conforme nivelului de performanţă al grupei de ambalare II</w:t>
            </w:r>
            <w:r w:rsidRPr="00857CDA">
              <w:rPr>
                <w:iCs/>
                <w:lang w:val="ro-RO"/>
              </w:rPr>
              <w:t>.</w:t>
            </w:r>
          </w:p>
        </w:tc>
      </w:tr>
      <w:tr w:rsidR="00A074FC" w:rsidRPr="00857CDA"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A8711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2</w:t>
            </w:r>
            <w:r w:rsidR="001F5C8B" w:rsidRPr="00857CDA">
              <w:rPr>
                <w:lang w:val="ro-RO"/>
              </w:rPr>
              <w:t>)</w:t>
            </w:r>
            <w:r w:rsidRPr="00857CDA">
              <w:rPr>
                <w:lang w:val="ro-RO"/>
              </w:rPr>
              <w:tab/>
            </w:r>
            <w:r w:rsidR="00A87113" w:rsidRPr="00857CDA">
              <w:rPr>
                <w:lang w:val="ro-RO"/>
              </w:rPr>
              <w:t>În plus, pentru obiectele robuste, sunt permise următoarele ambalaje:</w:t>
            </w:r>
          </w:p>
        </w:tc>
      </w:tr>
      <w:tr w:rsidR="00A074FC" w:rsidRPr="007D305F"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C50CB2">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rPr>
                <w:lang w:val="ro-RO"/>
              </w:rPr>
            </w:pPr>
            <w:r w:rsidRPr="00857CDA">
              <w:rPr>
                <w:lang w:val="ro-RO"/>
              </w:rPr>
              <w:tab/>
            </w:r>
            <w:r w:rsidR="00A84008" w:rsidRPr="00857CDA">
              <w:rPr>
                <w:lang w:val="ro-RO"/>
              </w:rPr>
              <w:t xml:space="preserve">Ambalaje exterioare robuste, </w:t>
            </w:r>
            <w:r w:rsidR="00C50CB2" w:rsidRPr="00857CDA">
              <w:rPr>
                <w:lang w:val="ro-RO"/>
              </w:rPr>
              <w:t>fabricate</w:t>
            </w:r>
            <w:r w:rsidR="00A84008" w:rsidRPr="00857CDA">
              <w:rPr>
                <w:lang w:val="ro-RO"/>
              </w:rPr>
              <w:t xml:space="preserve"> din materiale adecvate, cu o rezistență și o concepție adecvate capacității </w:t>
            </w:r>
            <w:r w:rsidR="00A84008" w:rsidRPr="00857CDA">
              <w:rPr>
                <w:lang w:val="ro-RO"/>
              </w:rPr>
              <w:lastRenderedPageBreak/>
              <w:t>ambalajului și utilizării pentru care au fost prevăzute. Ambalajele trebuie să îndeplinească prescripțiile de la paragrafele 4.1.1.1, 4.1.1.2, 4.1.1.8 și 4.1.3 pentru a obține un nivel de protecție cel puțin echivalent cu cel obținut prin aplicarea capitolului 6.1. Obiectele pot fi transportate neambalate sau pe palete atunci când mărfurile periculoase beneficiază de o protecție echivalentă din partea obiectul care le conține</w:t>
            </w:r>
            <w:r w:rsidRPr="00857CDA">
              <w:rPr>
                <w:lang w:val="ro-RO"/>
              </w:rPr>
              <w:t>.</w:t>
            </w:r>
          </w:p>
        </w:tc>
      </w:tr>
      <w:tr w:rsidR="00A074FC" w:rsidRPr="00857CDA"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lastRenderedPageBreak/>
              <w:t>3</w:t>
            </w:r>
            <w:r w:rsidR="001F5C8B" w:rsidRPr="00857CDA">
              <w:rPr>
                <w:lang w:val="ro-RO"/>
              </w:rPr>
              <w:t>)</w:t>
            </w:r>
            <w:r w:rsidRPr="00857CDA">
              <w:rPr>
                <w:lang w:val="ro-RO"/>
              </w:rPr>
              <w:tab/>
            </w:r>
            <w:r w:rsidR="00A84008" w:rsidRPr="00857CDA">
              <w:rPr>
                <w:lang w:val="ro-RO"/>
              </w:rPr>
              <w:t>În plus, trebuie îndeplinite următoarele condiții</w:t>
            </w:r>
            <w:r w:rsidR="00091658" w:rsidRPr="00857CDA">
              <w:rPr>
                <w:lang w:val="ro-RO"/>
              </w:rPr>
              <w:t>:</w:t>
            </w:r>
          </w:p>
        </w:tc>
      </w:tr>
      <w:tr w:rsidR="00A074FC" w:rsidRPr="00857CDA"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C50CB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a) </w:t>
            </w:r>
            <w:r w:rsidRPr="00857CDA">
              <w:rPr>
                <w:lang w:val="ro-RO"/>
              </w:rPr>
              <w:tab/>
            </w:r>
            <w:r w:rsidR="00A84008" w:rsidRPr="00857CDA">
              <w:rPr>
                <w:lang w:val="ro-RO"/>
              </w:rPr>
              <w:t xml:space="preserve">Recipientele din obiecte care conțin lichide sau solide trebuie să fie </w:t>
            </w:r>
            <w:r w:rsidR="00C50CB2" w:rsidRPr="00857CDA">
              <w:rPr>
                <w:lang w:val="ro-RO"/>
              </w:rPr>
              <w:t>fabricate</w:t>
            </w:r>
            <w:r w:rsidR="00A84008" w:rsidRPr="00857CDA">
              <w:rPr>
                <w:lang w:val="ro-RO"/>
              </w:rPr>
              <w:t xml:space="preserve"> din materiale adecvate și fixate în cadrul obiectului astfel încât, în condiții normale de transport, să nu se poată sparge, să fie perforate sau să se scurgă conținutul în </w:t>
            </w:r>
            <w:r w:rsidR="002B1184" w:rsidRPr="00857CDA">
              <w:rPr>
                <w:lang w:val="ro-RO"/>
              </w:rPr>
              <w:t>obiect</w:t>
            </w:r>
            <w:r w:rsidR="00A84008" w:rsidRPr="00857CDA">
              <w:rPr>
                <w:lang w:val="ro-RO"/>
              </w:rPr>
              <w:t xml:space="preserve"> sau în ambalajul exterior;</w:t>
            </w:r>
          </w:p>
        </w:tc>
      </w:tr>
      <w:tr w:rsidR="00A074FC" w:rsidRPr="00857CDA"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2B11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b) </w:t>
            </w:r>
            <w:r w:rsidRPr="00857CDA">
              <w:rPr>
                <w:lang w:val="ro-RO"/>
              </w:rPr>
              <w:tab/>
            </w:r>
            <w:r w:rsidR="002B1184" w:rsidRPr="00857CDA">
              <w:rPr>
                <w:lang w:val="ro-RO"/>
              </w:rPr>
              <w:t>Recipientele care conțin lichide și sunt prevăzute cu dispozitive de închidere trebuie ambalate astfel încât închiderile lor să fie orientate corespunzător. Recipientele trebuie, de asemenea, să respecte dispozițiile pentru încercarea la presiune internă de la 6.1.5.5</w:t>
            </w:r>
            <w:r w:rsidRPr="00857CDA">
              <w:rPr>
                <w:lang w:val="ro-RO"/>
              </w:rPr>
              <w:t>;</w:t>
            </w:r>
          </w:p>
        </w:tc>
      </w:tr>
      <w:tr w:rsidR="00A074FC" w:rsidRPr="007D305F"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F76AE6">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c) </w:t>
            </w:r>
            <w:r w:rsidRPr="00857CDA">
              <w:rPr>
                <w:lang w:val="ro-RO"/>
              </w:rPr>
              <w:tab/>
            </w:r>
            <w:r w:rsidR="002B1184" w:rsidRPr="00857CDA">
              <w:rPr>
                <w:lang w:val="ro-RO"/>
              </w:rPr>
              <w:t xml:space="preserve">Recipientele susceptibile de a se sparge sau de a fi perforate cu ușurință, de exemplu, recipientele din sticlă, porțelan sau gresie sau anumite materiale plastice, trebuie să fie bine </w:t>
            </w:r>
            <w:r w:rsidR="00F76AE6" w:rsidRPr="00857CDA">
              <w:rPr>
                <w:lang w:val="ro-RO"/>
              </w:rPr>
              <w:t>protejat</w:t>
            </w:r>
            <w:r w:rsidR="002B1184" w:rsidRPr="00857CDA">
              <w:rPr>
                <w:lang w:val="ro-RO"/>
              </w:rPr>
              <w:t>e. Orice scurgere a conținutului nu trebuie să modifice în mod semnificativ proprietățile de protecție ale obiectului sau ale ambalajului său exterior;</w:t>
            </w:r>
          </w:p>
        </w:tc>
      </w:tr>
      <w:tr w:rsidR="00A074FC" w:rsidRPr="007D305F" w:rsidTr="008B7736">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F76AE6">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d) </w:t>
            </w:r>
            <w:r w:rsidRPr="00857CDA">
              <w:rPr>
                <w:lang w:val="ro-RO"/>
              </w:rPr>
              <w:tab/>
            </w:r>
            <w:r w:rsidR="00F76AE6" w:rsidRPr="00857CDA">
              <w:rPr>
                <w:lang w:val="ro-RO"/>
              </w:rPr>
              <w:t>Recipientele care conțin gaze, plasate în interiorul obiectelor, trebuie să îndeplinească prescripțiile de la secțiunea 4.1.6 și de la capitolul 6.2, după caz, sau să asigure un nivel de protecție echivalent cu cel al instrucțiunilor de ambalare P200 sau P208</w:t>
            </w:r>
            <w:r w:rsidRPr="00857CDA">
              <w:rPr>
                <w:lang w:val="ro-RO"/>
              </w:rPr>
              <w:t>;</w:t>
            </w:r>
          </w:p>
        </w:tc>
      </w:tr>
      <w:tr w:rsidR="00A074FC" w:rsidRPr="007D305F" w:rsidTr="008B7736">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B4351" w:rsidRPr="00857CDA" w:rsidRDefault="00DB4351" w:rsidP="00D263F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e) </w:t>
            </w:r>
            <w:r w:rsidRPr="00857CDA">
              <w:rPr>
                <w:lang w:val="ro-RO"/>
              </w:rPr>
              <w:tab/>
            </w:r>
            <w:r w:rsidR="00D263F2" w:rsidRPr="00857CDA">
              <w:rPr>
                <w:lang w:val="ro-RO"/>
              </w:rPr>
              <w:t>În cazul în care obiectul nu conține niciun recipient, acesta trebuie să rețină complet substanțele periculoase conținute și să prevină orice scurgere a acestora în condiții normale de transport.</w:t>
            </w:r>
          </w:p>
        </w:tc>
      </w:tr>
      <w:tr w:rsidR="00A074FC" w:rsidRPr="007D305F" w:rsidTr="0037500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B4351" w:rsidRPr="00857CDA" w:rsidRDefault="00DB4351" w:rsidP="00C50CB2">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4</w:t>
            </w:r>
            <w:r w:rsidR="001F5C8B" w:rsidRPr="00857CDA">
              <w:rPr>
                <w:lang w:val="ro-RO"/>
              </w:rPr>
              <w:t>)</w:t>
            </w:r>
            <w:r w:rsidRPr="00857CDA">
              <w:rPr>
                <w:lang w:val="ro-RO"/>
              </w:rPr>
              <w:tab/>
            </w:r>
            <w:r w:rsidR="00D263F2" w:rsidRPr="00857CDA">
              <w:rPr>
                <w:lang w:val="ro-RO"/>
              </w:rPr>
              <w:t xml:space="preserve">Obiectele trebuie ambalate astfel încât să se evite orice mișcare a </w:t>
            </w:r>
            <w:r w:rsidR="00C50CB2" w:rsidRPr="00857CDA">
              <w:rPr>
                <w:lang w:val="ro-RO"/>
              </w:rPr>
              <w:t>acestora</w:t>
            </w:r>
            <w:r w:rsidR="00D263F2" w:rsidRPr="00857CDA">
              <w:rPr>
                <w:lang w:val="ro-RO"/>
              </w:rPr>
              <w:t xml:space="preserve"> și orice </w:t>
            </w:r>
            <w:r w:rsidR="00C50CB2" w:rsidRPr="00857CDA">
              <w:rPr>
                <w:lang w:val="ro-RO"/>
              </w:rPr>
              <w:t>funcționare</w:t>
            </w:r>
            <w:r w:rsidR="00D263F2" w:rsidRPr="00857CDA">
              <w:rPr>
                <w:lang w:val="ro-RO"/>
              </w:rPr>
              <w:t xml:space="preserve"> accidentală în condiții norm</w:t>
            </w:r>
            <w:r w:rsidR="00C50CB2" w:rsidRPr="00857CDA">
              <w:rPr>
                <w:lang w:val="ro-RO"/>
              </w:rPr>
              <w:t>ale de transport</w:t>
            </w:r>
            <w:r w:rsidRPr="00857CDA">
              <w:rPr>
                <w:lang w:val="ro-RO"/>
              </w:rPr>
              <w:t>.</w:t>
            </w:r>
          </w:p>
        </w:tc>
      </w:tr>
      <w:tr w:rsidR="00A074FC" w:rsidRPr="007D305F" w:rsidTr="008B7736">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375009" w:rsidRPr="00857CDA" w:rsidRDefault="00375009" w:rsidP="008B7736">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p>
        </w:tc>
      </w:tr>
    </w:tbl>
    <w:p w:rsidR="00B76415" w:rsidRPr="00857CDA" w:rsidRDefault="00B76415">
      <w:pPr>
        <w:suppressAutoHyphens w:val="0"/>
        <w:spacing w:line="240" w:lineRule="auto"/>
        <w:rPr>
          <w:lang w:val="ro-RO"/>
        </w:rPr>
      </w:pPr>
    </w:p>
    <w:p w:rsidR="00A54F23" w:rsidRPr="00857CDA" w:rsidRDefault="00A54F23" w:rsidP="00D53F01">
      <w:pPr>
        <w:pStyle w:val="SingleTxtG"/>
        <w:spacing w:before="120"/>
        <w:rPr>
          <w:lang w:val="ro-RO"/>
        </w:rPr>
      </w:pPr>
      <w:r w:rsidRPr="00857CDA">
        <w:rPr>
          <w:lang w:val="ro-RO"/>
        </w:rPr>
        <w:t>4.1.4.1</w:t>
      </w:r>
      <w:r w:rsidRPr="00857CDA">
        <w:rPr>
          <w:lang w:val="ro-RO"/>
        </w:rPr>
        <w:tab/>
      </w:r>
      <w:r w:rsidRPr="00857CDA">
        <w:rPr>
          <w:lang w:val="ro-RO"/>
        </w:rPr>
        <w:tab/>
      </w:r>
      <w:r w:rsidR="00C50CB2" w:rsidRPr="00857CDA">
        <w:rPr>
          <w:lang w:val="ro-RO"/>
        </w:rPr>
        <w:t>Se adaugă noua instrucțiune de ambalare P907, după cum urmează</w:t>
      </w:r>
      <w:r w:rsidR="00091658" w:rsidRPr="00857CDA">
        <w:rPr>
          <w:lang w:val="ro-RO"/>
        </w:rPr>
        <w:t>:</w:t>
      </w:r>
    </w:p>
    <w:tbl>
      <w:tblPr>
        <w:tblW w:w="9643" w:type="dxa"/>
        <w:tblInd w:w="54" w:type="dxa"/>
        <w:tblLayout w:type="fixed"/>
        <w:tblCellMar>
          <w:left w:w="56" w:type="dxa"/>
          <w:right w:w="56" w:type="dxa"/>
        </w:tblCellMar>
        <w:tblLook w:val="04A0" w:firstRow="1" w:lastRow="0" w:firstColumn="1" w:lastColumn="0" w:noHBand="0" w:noVBand="1"/>
      </w:tblPr>
      <w:tblGrid>
        <w:gridCol w:w="855"/>
        <w:gridCol w:w="7938"/>
        <w:gridCol w:w="850"/>
      </w:tblGrid>
      <w:tr w:rsidR="00A074FC" w:rsidRPr="00857CDA" w:rsidTr="00A54F23">
        <w:tc>
          <w:tcPr>
            <w:tcW w:w="855" w:type="dxa"/>
            <w:tcBorders>
              <w:top w:val="single" w:sz="8" w:space="0" w:color="000000"/>
              <w:left w:val="single" w:sz="8" w:space="0" w:color="000000"/>
              <w:bottom w:val="single" w:sz="8" w:space="0" w:color="000000"/>
              <w:right w:val="nil"/>
            </w:tcBorders>
            <w:hideMark/>
          </w:tcPr>
          <w:p w:rsidR="00A54F23" w:rsidRPr="00857CDA" w:rsidRDefault="00A54F23" w:rsidP="00B76415">
            <w:pPr>
              <w:spacing w:before="24" w:after="24"/>
              <w:rPr>
                <w:b/>
                <w:bCs/>
                <w:lang w:val="ro-RO"/>
              </w:rPr>
            </w:pPr>
            <w:r w:rsidRPr="00857CDA">
              <w:rPr>
                <w:b/>
                <w:lang w:val="ro-RO"/>
              </w:rPr>
              <w:t>P907</w:t>
            </w:r>
          </w:p>
        </w:tc>
        <w:tc>
          <w:tcPr>
            <w:tcW w:w="7938" w:type="dxa"/>
            <w:tcBorders>
              <w:top w:val="single" w:sz="8" w:space="0" w:color="000000"/>
              <w:left w:val="nil"/>
              <w:bottom w:val="single" w:sz="8" w:space="0" w:color="000000"/>
              <w:right w:val="nil"/>
            </w:tcBorders>
            <w:hideMark/>
          </w:tcPr>
          <w:p w:rsidR="00A54F23" w:rsidRPr="00857CDA" w:rsidRDefault="00A54F23" w:rsidP="00C50CB2">
            <w:pPr>
              <w:pStyle w:val="Heading7"/>
              <w:spacing w:before="24" w:after="24"/>
              <w:jc w:val="center"/>
              <w:rPr>
                <w:b/>
                <w:bCs/>
                <w:lang w:val="ro-RO"/>
              </w:rPr>
            </w:pPr>
            <w:r w:rsidRPr="00857CDA">
              <w:rPr>
                <w:b/>
                <w:lang w:val="ro-RO"/>
              </w:rPr>
              <w:t>INSTRUC</w:t>
            </w:r>
            <w:r w:rsidR="00C50CB2" w:rsidRPr="00857CDA">
              <w:rPr>
                <w:b/>
                <w:lang w:val="ro-RO"/>
              </w:rPr>
              <w:t>ȚIUNE DE A</w:t>
            </w:r>
            <w:r w:rsidR="006A1ED1" w:rsidRPr="00857CDA">
              <w:rPr>
                <w:b/>
                <w:lang w:val="ro-RO"/>
              </w:rPr>
              <w:t>MBALARE</w:t>
            </w:r>
          </w:p>
        </w:tc>
        <w:tc>
          <w:tcPr>
            <w:tcW w:w="850" w:type="dxa"/>
            <w:tcBorders>
              <w:top w:val="single" w:sz="8" w:space="0" w:color="000000"/>
              <w:left w:val="nil"/>
              <w:bottom w:val="single" w:sz="8" w:space="0" w:color="000000"/>
              <w:right w:val="single" w:sz="8" w:space="0" w:color="000000"/>
            </w:tcBorders>
            <w:hideMark/>
          </w:tcPr>
          <w:p w:rsidR="00A54F23" w:rsidRPr="00857CDA" w:rsidRDefault="00A54F23" w:rsidP="00B76415">
            <w:pPr>
              <w:pStyle w:val="Heading9"/>
              <w:spacing w:before="24" w:after="24" w:line="240" w:lineRule="auto"/>
              <w:jc w:val="right"/>
              <w:rPr>
                <w:b/>
                <w:bCs/>
                <w:lang w:val="ro-RO"/>
              </w:rPr>
            </w:pPr>
            <w:r w:rsidRPr="00857CDA">
              <w:rPr>
                <w:b/>
                <w:lang w:val="ro-RO"/>
              </w:rPr>
              <w:t>P907</w:t>
            </w:r>
          </w:p>
        </w:tc>
      </w:tr>
      <w:tr w:rsidR="00A074FC" w:rsidRPr="00857CDA" w:rsidTr="00A54F23">
        <w:trPr>
          <w:trHeight w:val="131"/>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rsidR="00A54F23" w:rsidRPr="00857CDA" w:rsidRDefault="00C50CB2" w:rsidP="00A54F23">
            <w:pPr>
              <w:rPr>
                <w:lang w:val="ro-RO"/>
              </w:rPr>
            </w:pPr>
            <w:r w:rsidRPr="00857CDA">
              <w:rPr>
                <w:iCs/>
                <w:lang w:val="ro-RO"/>
              </w:rPr>
              <w:t xml:space="preserve">Această instrucţiune se aplică pentru </w:t>
            </w:r>
            <w:r w:rsidR="002B679C" w:rsidRPr="00857CDA">
              <w:rPr>
                <w:iCs/>
                <w:lang w:val="ro-RO"/>
              </w:rPr>
              <w:t>Nr. ONU</w:t>
            </w:r>
            <w:r w:rsidR="00A54F23" w:rsidRPr="00857CDA">
              <w:rPr>
                <w:iCs/>
                <w:lang w:val="ro-RO"/>
              </w:rPr>
              <w:t xml:space="preserve"> 3363.</w:t>
            </w:r>
          </w:p>
        </w:tc>
      </w:tr>
      <w:tr w:rsidR="00A074FC" w:rsidRPr="00857CDA" w:rsidTr="00A54F23">
        <w:trPr>
          <w:trHeight w:val="2339"/>
        </w:trPr>
        <w:tc>
          <w:tcPr>
            <w:tcW w:w="9643" w:type="dxa"/>
            <w:gridSpan w:val="3"/>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rsidR="00C50CB2" w:rsidRPr="00857CDA" w:rsidRDefault="00C50CB2" w:rsidP="008F7CBA">
            <w:pPr>
              <w:spacing w:after="120"/>
              <w:jc w:val="both"/>
              <w:rPr>
                <w:lang w:val="ro-RO"/>
              </w:rPr>
            </w:pPr>
            <w:r w:rsidRPr="00857CDA">
              <w:rPr>
                <w:lang w:val="ro-RO"/>
              </w:rPr>
              <w:t>Dacă utilajele sau aparatele sunt construite și concepute astfel încât recipientele care conțin mărfuri periculoase să fie suficient de protejate, nu este necesar un ambalaj exterior. În alte cazuri, mărfurile periculoase conținute în utilaje sau aparate</w:t>
            </w:r>
            <w:r w:rsidR="00277F8E" w:rsidRPr="00857CDA">
              <w:rPr>
                <w:lang w:val="ro-RO"/>
              </w:rPr>
              <w:t>, acestea</w:t>
            </w:r>
            <w:r w:rsidRPr="00857CDA">
              <w:rPr>
                <w:lang w:val="ro-RO"/>
              </w:rPr>
              <w:t xml:space="preserve"> trebuie să fie ambalate în ambalaje exterioare fabricate dintr-un material adecvat, </w:t>
            </w:r>
            <w:r w:rsidR="00277F8E" w:rsidRPr="00857CDA">
              <w:rPr>
                <w:lang w:val="ro-RO"/>
              </w:rPr>
              <w:t>cu o rezistență și o concepție adecvate capacității ambalajului și utilizării pentru care au fost prevăzute</w:t>
            </w:r>
            <w:r w:rsidRPr="00857CDA">
              <w:rPr>
                <w:lang w:val="ro-RO"/>
              </w:rPr>
              <w:t xml:space="preserve">, respectând </w:t>
            </w:r>
            <w:r w:rsidR="00277F8E" w:rsidRPr="00857CDA">
              <w:rPr>
                <w:lang w:val="ro-RO"/>
              </w:rPr>
              <w:t>prescripții</w:t>
            </w:r>
            <w:r w:rsidRPr="00857CDA">
              <w:rPr>
                <w:lang w:val="ro-RO"/>
              </w:rPr>
              <w:t>le aplicabile d</w:t>
            </w:r>
            <w:r w:rsidR="00277F8E" w:rsidRPr="00857CDA">
              <w:rPr>
                <w:lang w:val="ro-RO"/>
              </w:rPr>
              <w:t>e la</w:t>
            </w:r>
            <w:r w:rsidRPr="00857CDA">
              <w:rPr>
                <w:lang w:val="ro-RO"/>
              </w:rPr>
              <w:t xml:space="preserve"> 4.1.1.1.</w:t>
            </w:r>
          </w:p>
          <w:p w:rsidR="00A54F23" w:rsidRPr="00857CDA" w:rsidRDefault="00277F8E" w:rsidP="008F7CBA">
            <w:pPr>
              <w:spacing w:after="120"/>
              <w:jc w:val="both"/>
              <w:rPr>
                <w:lang w:val="ro-RO"/>
              </w:rPr>
            </w:pPr>
            <w:r w:rsidRPr="00857CDA">
              <w:rPr>
                <w:lang w:val="ro-RO"/>
              </w:rPr>
              <w:t>Recipientele care conțin mărfuri periculoase trebuie să îndeplinească dispozițiile generale de la 4.1.1, cu excepția 4.1.1.3, 4.1.1.4, 4.1.1.12 și 4.1.1.14. În cazul gazelor neinflamabile, netoxice, butelia de gaz sau recipientul interior, conținutul acestora și gradul de umplere trebuie să fie aprobat de către autoritatea competentă din țara în care au fost umplute</w:t>
            </w:r>
            <w:r w:rsidR="00A54F23" w:rsidRPr="00857CDA">
              <w:rPr>
                <w:lang w:val="ro-RO"/>
              </w:rPr>
              <w:t>.</w:t>
            </w:r>
          </w:p>
          <w:p w:rsidR="00A54F23" w:rsidRPr="00857CDA" w:rsidRDefault="006C7164" w:rsidP="008F7CBA">
            <w:pPr>
              <w:spacing w:after="120"/>
              <w:jc w:val="both"/>
              <w:rPr>
                <w:lang w:val="ro-RO"/>
              </w:rPr>
            </w:pPr>
            <w:r w:rsidRPr="00857CDA">
              <w:rPr>
                <w:lang w:val="ro-RO"/>
              </w:rPr>
              <w:t xml:space="preserve">În plus, modul în care sunt conținute recipientele în interiorul </w:t>
            </w:r>
            <w:r w:rsidR="00E0181D" w:rsidRPr="00857CDA">
              <w:rPr>
                <w:lang w:val="ro-RO"/>
              </w:rPr>
              <w:t>utilajelor</w:t>
            </w:r>
            <w:r w:rsidRPr="00857CDA">
              <w:rPr>
                <w:lang w:val="ro-RO"/>
              </w:rPr>
              <w:t xml:space="preserve"> sau aparatelor trebuie să fie de așa natură încât, în condiții normale de transport, deteriorarea recipientelor care conțin mărfurile periculoase este puțin probabilă</w:t>
            </w:r>
            <w:r w:rsidR="00E0181D" w:rsidRPr="00857CDA">
              <w:rPr>
                <w:lang w:val="ro-RO"/>
              </w:rPr>
              <w:t>, iar</w:t>
            </w:r>
            <w:r w:rsidRPr="00857CDA">
              <w:rPr>
                <w:lang w:val="ro-RO"/>
              </w:rPr>
              <w:t xml:space="preserve"> în cazul deteriorării recipientelor care conțin mărfuri periculoase solide sau lichide, </w:t>
            </w:r>
            <w:r w:rsidR="00E0181D" w:rsidRPr="00857CDA">
              <w:rPr>
                <w:lang w:val="ro-RO"/>
              </w:rPr>
              <w:t>să nu fie</w:t>
            </w:r>
            <w:r w:rsidRPr="00857CDA">
              <w:rPr>
                <w:lang w:val="ro-RO"/>
              </w:rPr>
              <w:t xml:space="preserve"> posibilă scurgerea </w:t>
            </w:r>
            <w:r w:rsidR="00E0181D" w:rsidRPr="00857CDA">
              <w:rPr>
                <w:lang w:val="ro-RO"/>
              </w:rPr>
              <w:t>acestora</w:t>
            </w:r>
            <w:r w:rsidRPr="00857CDA">
              <w:rPr>
                <w:lang w:val="ro-RO"/>
              </w:rPr>
              <w:t xml:space="preserve"> din </w:t>
            </w:r>
            <w:r w:rsidR="00E0181D" w:rsidRPr="00857CDA">
              <w:rPr>
                <w:lang w:val="ro-RO"/>
              </w:rPr>
              <w:t>utilaj</w:t>
            </w:r>
            <w:r w:rsidRPr="00857CDA">
              <w:rPr>
                <w:lang w:val="ro-RO"/>
              </w:rPr>
              <w:t xml:space="preserve"> sau aparat (pentru a respecta această </w:t>
            </w:r>
            <w:r w:rsidR="00E0181D" w:rsidRPr="00857CDA">
              <w:rPr>
                <w:lang w:val="ro-RO"/>
              </w:rPr>
              <w:t>prescripție</w:t>
            </w:r>
            <w:r w:rsidRPr="00857CDA">
              <w:rPr>
                <w:lang w:val="ro-RO"/>
              </w:rPr>
              <w:t xml:space="preserve"> se poate utiliza o căptușeală impermeabilă). Recipientele care conțin mărfuri periculoase trebuie să fie </w:t>
            </w:r>
            <w:r w:rsidR="00E0181D" w:rsidRPr="00857CDA">
              <w:rPr>
                <w:lang w:val="ro-RO"/>
              </w:rPr>
              <w:t>montate</w:t>
            </w:r>
            <w:r w:rsidRPr="00857CDA">
              <w:rPr>
                <w:lang w:val="ro-RO"/>
              </w:rPr>
              <w:t xml:space="preserve">, fixate sau </w:t>
            </w:r>
            <w:r w:rsidR="00E0181D" w:rsidRPr="00857CDA">
              <w:rPr>
                <w:lang w:val="ro-RO"/>
              </w:rPr>
              <w:t>prevăzute cu material de umplutură</w:t>
            </w:r>
            <w:r w:rsidRPr="00857CDA">
              <w:rPr>
                <w:lang w:val="ro-RO"/>
              </w:rPr>
              <w:t xml:space="preserve"> astfel încât să se prevină spargerea sau scurgerea acestora</w:t>
            </w:r>
            <w:r w:rsidR="00E0181D" w:rsidRPr="00857CDA">
              <w:rPr>
                <w:lang w:val="ro-RO"/>
              </w:rPr>
              <w:t>,</w:t>
            </w:r>
            <w:r w:rsidRPr="00857CDA">
              <w:rPr>
                <w:lang w:val="ro-RO"/>
              </w:rPr>
              <w:t xml:space="preserve"> astfel încât să se poată controla mișcarea </w:t>
            </w:r>
            <w:r w:rsidR="00E0181D" w:rsidRPr="00857CDA">
              <w:rPr>
                <w:lang w:val="ro-RO"/>
              </w:rPr>
              <w:t>acestora</w:t>
            </w:r>
            <w:r w:rsidRPr="00857CDA">
              <w:rPr>
                <w:lang w:val="ro-RO"/>
              </w:rPr>
              <w:t xml:space="preserve"> în interiorul </w:t>
            </w:r>
            <w:r w:rsidR="00E0181D" w:rsidRPr="00857CDA">
              <w:rPr>
                <w:lang w:val="ro-RO"/>
              </w:rPr>
              <w:t>utilajului</w:t>
            </w:r>
            <w:r w:rsidRPr="00857CDA">
              <w:rPr>
                <w:lang w:val="ro-RO"/>
              </w:rPr>
              <w:t xml:space="preserve"> sau aparat</w:t>
            </w:r>
            <w:r w:rsidR="00E0181D" w:rsidRPr="00857CDA">
              <w:rPr>
                <w:lang w:val="ro-RO"/>
              </w:rPr>
              <w:t>u</w:t>
            </w:r>
            <w:r w:rsidRPr="00857CDA">
              <w:rPr>
                <w:lang w:val="ro-RO"/>
              </w:rPr>
              <w:t>l</w:t>
            </w:r>
            <w:r w:rsidR="00E0181D" w:rsidRPr="00857CDA">
              <w:rPr>
                <w:lang w:val="ro-RO"/>
              </w:rPr>
              <w:t>ui</w:t>
            </w:r>
            <w:r w:rsidRPr="00857CDA">
              <w:rPr>
                <w:lang w:val="ro-RO"/>
              </w:rPr>
              <w:t xml:space="preserve"> în condiții normale de transport.</w:t>
            </w:r>
            <w:r w:rsidR="00E0181D" w:rsidRPr="00857CDA">
              <w:rPr>
                <w:lang w:val="ro-RO"/>
              </w:rPr>
              <w:t xml:space="preserve"> </w:t>
            </w:r>
            <w:r w:rsidRPr="00857CDA">
              <w:rPr>
                <w:lang w:val="ro-RO"/>
              </w:rPr>
              <w:t xml:space="preserve">Materialul de </w:t>
            </w:r>
            <w:r w:rsidR="00E0181D" w:rsidRPr="00857CDA">
              <w:rPr>
                <w:lang w:val="ro-RO"/>
              </w:rPr>
              <w:t>umplutură</w:t>
            </w:r>
            <w:r w:rsidRPr="00857CDA">
              <w:rPr>
                <w:lang w:val="ro-RO"/>
              </w:rPr>
              <w:t xml:space="preserve"> nu trebuie să reacționeze periculos cu conținutul recipientelor. Orice scurgere a conținutului nu trebuie să afecteze </w:t>
            </w:r>
            <w:r w:rsidR="00E0181D" w:rsidRPr="00857CDA">
              <w:rPr>
                <w:lang w:val="ro-RO"/>
              </w:rPr>
              <w:t>în totalitate</w:t>
            </w:r>
            <w:r w:rsidRPr="00857CDA">
              <w:rPr>
                <w:lang w:val="ro-RO"/>
              </w:rPr>
              <w:t xml:space="preserve"> proprietățile de protecție ale materialului de </w:t>
            </w:r>
            <w:r w:rsidR="00E0181D" w:rsidRPr="00857CDA">
              <w:rPr>
                <w:lang w:val="ro-RO"/>
              </w:rPr>
              <w:t>umplutură</w:t>
            </w:r>
            <w:r w:rsidR="00A54F23" w:rsidRPr="00857CDA">
              <w:rPr>
                <w:lang w:val="ro-RO"/>
              </w:rPr>
              <w:t>.</w:t>
            </w:r>
          </w:p>
        </w:tc>
      </w:tr>
    </w:tbl>
    <w:p w:rsidR="00E369F7" w:rsidRPr="00857CDA" w:rsidRDefault="00E369F7" w:rsidP="00E84D05">
      <w:pPr>
        <w:pStyle w:val="SingleTxtG"/>
        <w:spacing w:before="120"/>
        <w:rPr>
          <w:lang w:val="ro-RO"/>
        </w:rPr>
      </w:pPr>
    </w:p>
    <w:p w:rsidR="00E93B06" w:rsidRPr="00857CDA" w:rsidRDefault="009C2E03" w:rsidP="00725BE1">
      <w:pPr>
        <w:suppressAutoHyphens w:val="0"/>
        <w:spacing w:line="240" w:lineRule="auto"/>
        <w:rPr>
          <w:lang w:val="ro-RO"/>
        </w:rPr>
      </w:pPr>
      <w:r w:rsidRPr="00857CDA">
        <w:rPr>
          <w:lang w:val="ro-RO"/>
        </w:rPr>
        <w:br w:type="page"/>
      </w:r>
      <w:r w:rsidR="00E93B06" w:rsidRPr="00857CDA">
        <w:rPr>
          <w:lang w:val="ro-RO"/>
        </w:rPr>
        <w:lastRenderedPageBreak/>
        <w:t>4.1.4.1</w:t>
      </w:r>
      <w:r w:rsidR="00E93B06" w:rsidRPr="00857CDA">
        <w:rPr>
          <w:lang w:val="ro-RO"/>
        </w:rPr>
        <w:tab/>
      </w:r>
      <w:r w:rsidR="00E93B06" w:rsidRPr="00857CDA">
        <w:rPr>
          <w:lang w:val="ro-RO"/>
        </w:rPr>
        <w:tab/>
      </w:r>
      <w:r w:rsidR="00BF2AC1" w:rsidRPr="00857CDA">
        <w:rPr>
          <w:lang w:val="ro-RO"/>
        </w:rPr>
        <w:t>Se adaugă noua instrucțiune de ambalare P911, după cum urmează:</w:t>
      </w:r>
    </w:p>
    <w:tbl>
      <w:tblPr>
        <w:tblW w:w="9645" w:type="dxa"/>
        <w:jc w:val="center"/>
        <w:tblLayout w:type="fixed"/>
        <w:tblCellMar>
          <w:left w:w="0" w:type="dxa"/>
          <w:right w:w="113" w:type="dxa"/>
        </w:tblCellMar>
        <w:tblLook w:val="01E0" w:firstRow="1" w:lastRow="1" w:firstColumn="1" w:lastColumn="1" w:noHBand="0" w:noVBand="0"/>
      </w:tblPr>
      <w:tblGrid>
        <w:gridCol w:w="704"/>
        <w:gridCol w:w="8222"/>
        <w:gridCol w:w="719"/>
      </w:tblGrid>
      <w:tr w:rsidR="00A074FC" w:rsidRPr="00857CDA" w:rsidTr="00FC7059">
        <w:trPr>
          <w:cantSplit/>
          <w:tblHeader/>
          <w:jc w:val="center"/>
        </w:trPr>
        <w:tc>
          <w:tcPr>
            <w:tcW w:w="704"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E93B06" w:rsidRPr="00857CDA"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ro-RO"/>
              </w:rPr>
            </w:pPr>
            <w:r w:rsidRPr="00857CDA">
              <w:rPr>
                <w:b/>
                <w:lang w:val="ro-RO"/>
              </w:rPr>
              <w:t>P911</w:t>
            </w:r>
          </w:p>
        </w:tc>
        <w:tc>
          <w:tcPr>
            <w:tcW w:w="8222"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E93B06" w:rsidRPr="00857CDA" w:rsidRDefault="006A1ED1" w:rsidP="00BF2AC1">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ro-RO"/>
              </w:rPr>
            </w:pPr>
            <w:r w:rsidRPr="00857CDA">
              <w:rPr>
                <w:b/>
                <w:iCs/>
                <w:lang w:val="ro-RO"/>
              </w:rPr>
              <w:t>INSTRUCȚIUNE DE AMBALARE</w:t>
            </w:r>
          </w:p>
        </w:tc>
        <w:tc>
          <w:tcPr>
            <w:tcW w:w="71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93B06" w:rsidRPr="00857CDA"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ro-RO"/>
              </w:rPr>
            </w:pPr>
            <w:r w:rsidRPr="00857CDA">
              <w:rPr>
                <w:b/>
                <w:iCs/>
                <w:lang w:val="ro-RO"/>
              </w:rPr>
              <w:t>P911</w:t>
            </w:r>
          </w:p>
        </w:tc>
      </w:tr>
      <w:tr w:rsidR="00A074FC" w:rsidRPr="00857CDA"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93B06" w:rsidRPr="00857CDA" w:rsidRDefault="00BF2AC1" w:rsidP="00604E67">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t xml:space="preserve">Această instrucțiune se aplică pilelor și bateriilor deteriorate sau defecte, de la Nr. ONU 3090, 3091, 3480 și 3481, care se pot dezasambla rapid, reacționa periculos, produce o flacără sau </w:t>
            </w:r>
            <w:r w:rsidR="00604E67" w:rsidRPr="00857CDA">
              <w:rPr>
                <w:iCs/>
                <w:lang w:val="ro-RO"/>
              </w:rPr>
              <w:t xml:space="preserve">o </w:t>
            </w:r>
            <w:r w:rsidRPr="00857CDA">
              <w:rPr>
                <w:iCs/>
                <w:lang w:val="ro-RO"/>
              </w:rPr>
              <w:t xml:space="preserve">eliberare </w:t>
            </w:r>
            <w:r w:rsidR="00604E67" w:rsidRPr="00857CDA">
              <w:rPr>
                <w:iCs/>
                <w:lang w:val="ro-RO"/>
              </w:rPr>
              <w:t>periculoasă</w:t>
            </w:r>
            <w:r w:rsidRPr="00857CDA">
              <w:rPr>
                <w:iCs/>
                <w:lang w:val="ro-RO"/>
              </w:rPr>
              <w:t xml:space="preserve"> de căldură sau </w:t>
            </w:r>
            <w:r w:rsidR="00604E67" w:rsidRPr="00857CDA">
              <w:rPr>
                <w:iCs/>
                <w:lang w:val="ro-RO"/>
              </w:rPr>
              <w:t xml:space="preserve">o </w:t>
            </w:r>
            <w:r w:rsidRPr="00857CDA">
              <w:rPr>
                <w:iCs/>
                <w:lang w:val="ro-RO"/>
              </w:rPr>
              <w:t>emisi</w:t>
            </w:r>
            <w:r w:rsidR="00604E67" w:rsidRPr="00857CDA">
              <w:rPr>
                <w:iCs/>
                <w:lang w:val="ro-RO"/>
              </w:rPr>
              <w:t>e</w:t>
            </w:r>
            <w:r w:rsidRPr="00857CDA">
              <w:rPr>
                <w:iCs/>
                <w:lang w:val="ro-RO"/>
              </w:rPr>
              <w:t xml:space="preserve"> de gaz sau </w:t>
            </w:r>
            <w:r w:rsidR="00604E67" w:rsidRPr="00857CDA">
              <w:rPr>
                <w:iCs/>
                <w:lang w:val="ro-RO"/>
              </w:rPr>
              <w:t xml:space="preserve">de </w:t>
            </w:r>
            <w:r w:rsidRPr="00857CDA">
              <w:rPr>
                <w:iCs/>
                <w:lang w:val="ro-RO"/>
              </w:rPr>
              <w:t>vapori toxici, corozivi sau inflamabili, î</w:t>
            </w:r>
            <w:r w:rsidR="00604E67" w:rsidRPr="00857CDA">
              <w:rPr>
                <w:iCs/>
                <w:lang w:val="ro-RO"/>
              </w:rPr>
              <w:t>n condiții normale de transport</w:t>
            </w:r>
            <w:r w:rsidR="00E93B06" w:rsidRPr="00857CDA">
              <w:rPr>
                <w:lang w:val="ro-RO"/>
              </w:rPr>
              <w:t>.</w:t>
            </w:r>
          </w:p>
        </w:tc>
      </w:tr>
      <w:tr w:rsidR="00A074FC" w:rsidRPr="00857CDA"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93B06" w:rsidRPr="00857CDA" w:rsidRDefault="00604E67" w:rsidP="00403C3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t>Următoarele ambalaje sunt autorizate, dacă sunt îndeplinite dispoziţiile generale de la 4.1.1 şi 4.1.3</w:t>
            </w:r>
            <w:r w:rsidR="00091658" w:rsidRPr="00857CDA">
              <w:rPr>
                <w:lang w:val="ro-RO"/>
              </w:rPr>
              <w:t>:</w:t>
            </w:r>
          </w:p>
        </w:tc>
      </w:tr>
      <w:tr w:rsidR="00A074FC" w:rsidRPr="00857CDA"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E93B06" w:rsidRPr="00857CDA" w:rsidRDefault="00991390" w:rsidP="00857CDA">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bCs/>
                <w:iCs/>
                <w:lang w:val="ro-RO"/>
              </w:rPr>
              <w:t>Pentru</w:t>
            </w:r>
            <w:r w:rsidR="00E93B06" w:rsidRPr="00857CDA">
              <w:rPr>
                <w:bCs/>
                <w:iCs/>
                <w:lang w:val="ro-RO"/>
              </w:rPr>
              <w:t xml:space="preserve"> pile</w:t>
            </w:r>
            <w:r w:rsidR="00604E67" w:rsidRPr="00857CDA">
              <w:rPr>
                <w:bCs/>
                <w:iCs/>
                <w:lang w:val="ro-RO"/>
              </w:rPr>
              <w:t>le</w:t>
            </w:r>
            <w:r w:rsidR="004C27AD" w:rsidRPr="00857CDA">
              <w:rPr>
                <w:bCs/>
                <w:iCs/>
                <w:lang w:val="ro-RO"/>
              </w:rPr>
              <w:t xml:space="preserve"> și </w:t>
            </w:r>
            <w:r w:rsidR="00E93B06" w:rsidRPr="00857CDA">
              <w:rPr>
                <w:bCs/>
                <w:iCs/>
                <w:lang w:val="ro-RO"/>
              </w:rPr>
              <w:t>bateri</w:t>
            </w:r>
            <w:r w:rsidR="00604E67" w:rsidRPr="00857CDA">
              <w:rPr>
                <w:bCs/>
                <w:iCs/>
                <w:lang w:val="ro-RO"/>
              </w:rPr>
              <w:t xml:space="preserve">ile, precum </w:t>
            </w:r>
            <w:r w:rsidR="004C27AD" w:rsidRPr="00857CDA">
              <w:rPr>
                <w:bCs/>
                <w:iCs/>
                <w:lang w:val="ro-RO"/>
              </w:rPr>
              <w:t xml:space="preserve">și </w:t>
            </w:r>
            <w:r w:rsidRPr="00857CDA">
              <w:rPr>
                <w:bCs/>
                <w:iCs/>
                <w:lang w:val="ro-RO"/>
              </w:rPr>
              <w:t>pentru</w:t>
            </w:r>
            <w:r w:rsidR="00E93B06" w:rsidRPr="00857CDA">
              <w:rPr>
                <w:bCs/>
                <w:iCs/>
                <w:lang w:val="ro-RO"/>
              </w:rPr>
              <w:t xml:space="preserve"> </w:t>
            </w:r>
            <w:r w:rsidR="00604E67" w:rsidRPr="00857CDA">
              <w:rPr>
                <w:bCs/>
                <w:iCs/>
                <w:lang w:val="ro-RO"/>
              </w:rPr>
              <w:t>e</w:t>
            </w:r>
            <w:r w:rsidR="00857CDA">
              <w:rPr>
                <w:bCs/>
                <w:iCs/>
                <w:lang w:val="ro-RO"/>
              </w:rPr>
              <w:t>ch</w:t>
            </w:r>
            <w:r w:rsidR="00E93B06" w:rsidRPr="00857CDA">
              <w:rPr>
                <w:bCs/>
                <w:iCs/>
                <w:lang w:val="ro-RO"/>
              </w:rPr>
              <w:t>ip</w:t>
            </w:r>
            <w:r w:rsidR="00604E67" w:rsidRPr="00857CDA">
              <w:rPr>
                <w:bCs/>
                <w:iCs/>
                <w:lang w:val="ro-RO"/>
              </w:rPr>
              <w:t>a</w:t>
            </w:r>
            <w:r w:rsidR="00E93B06" w:rsidRPr="00857CDA">
              <w:rPr>
                <w:bCs/>
                <w:iCs/>
                <w:lang w:val="ro-RO"/>
              </w:rPr>
              <w:t>ment</w:t>
            </w:r>
            <w:r w:rsidR="00604E67" w:rsidRPr="00857CDA">
              <w:rPr>
                <w:bCs/>
                <w:iCs/>
                <w:lang w:val="ro-RO"/>
              </w:rPr>
              <w:t>ele care conțin</w:t>
            </w:r>
            <w:r w:rsidR="00E93B06" w:rsidRPr="00857CDA">
              <w:rPr>
                <w:bCs/>
                <w:iCs/>
                <w:lang w:val="ro-RO"/>
              </w:rPr>
              <w:t xml:space="preserve"> pile</w:t>
            </w:r>
            <w:r w:rsidR="004C27AD" w:rsidRPr="00857CDA">
              <w:rPr>
                <w:bCs/>
                <w:iCs/>
                <w:lang w:val="ro-RO"/>
              </w:rPr>
              <w:t xml:space="preserve"> și </w:t>
            </w:r>
            <w:r w:rsidR="00E93B06" w:rsidRPr="00857CDA">
              <w:rPr>
                <w:bCs/>
                <w:iCs/>
                <w:lang w:val="ro-RO"/>
              </w:rPr>
              <w:t>bateri</w:t>
            </w:r>
            <w:r w:rsidR="00604E67" w:rsidRPr="00857CDA">
              <w:rPr>
                <w:bCs/>
                <w:iCs/>
                <w:lang w:val="ro-RO"/>
              </w:rPr>
              <w:t>i</w:t>
            </w:r>
            <w:r w:rsidR="00091658" w:rsidRPr="00857CDA">
              <w:rPr>
                <w:lang w:val="ro-RO"/>
              </w:rPr>
              <w:t>:</w:t>
            </w:r>
            <w:r w:rsidR="00E93B06" w:rsidRPr="00857CDA">
              <w:rPr>
                <w:bCs/>
                <w:iCs/>
                <w:lang w:val="ro-RO"/>
              </w:rPr>
              <w:t xml:space="preserve"> </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93B06" w:rsidRPr="00857CDA" w:rsidRDefault="00604E67"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Butoaie</w:t>
            </w:r>
            <w:r w:rsidR="00E93B06" w:rsidRPr="00857CDA">
              <w:rPr>
                <w:iCs/>
                <w:lang w:val="ro-RO"/>
              </w:rPr>
              <w:t xml:space="preserve"> (1A2, 1B2, 1N2, 1H2, 1D, 1G);</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93B06" w:rsidRPr="00857CDA" w:rsidRDefault="00E93B06" w:rsidP="00604E67">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C</w:t>
            </w:r>
            <w:r w:rsidR="00604E67" w:rsidRPr="00857CDA">
              <w:rPr>
                <w:iCs/>
                <w:lang w:val="ro-RO"/>
              </w:rPr>
              <w:t>utii</w:t>
            </w:r>
            <w:r w:rsidRPr="00857CDA">
              <w:rPr>
                <w:iCs/>
                <w:lang w:val="ro-RO"/>
              </w:rPr>
              <w:t xml:space="preserve"> (4A, 4B, 4N, 4C1, 4C2, 4D, 4F, 4G, 4H1, 4H2);</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93B06" w:rsidRPr="00857CDA" w:rsidRDefault="00E93B06" w:rsidP="00604E67">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Bido</w:t>
            </w:r>
            <w:r w:rsidR="00604E67" w:rsidRPr="00857CDA">
              <w:rPr>
                <w:iCs/>
                <w:lang w:val="ro-RO"/>
              </w:rPr>
              <w:t>a</w:t>
            </w:r>
            <w:r w:rsidRPr="00857CDA">
              <w:rPr>
                <w:iCs/>
                <w:lang w:val="ro-RO"/>
              </w:rPr>
              <w:t>n</w:t>
            </w:r>
            <w:r w:rsidR="00604E67" w:rsidRPr="00857CDA">
              <w:rPr>
                <w:iCs/>
                <w:lang w:val="ro-RO"/>
              </w:rPr>
              <w:t>e</w:t>
            </w:r>
            <w:r w:rsidRPr="00857CDA">
              <w:rPr>
                <w:iCs/>
                <w:lang w:val="ro-RO"/>
              </w:rPr>
              <w:t xml:space="preserve"> (</w:t>
            </w:r>
            <w:r w:rsidR="00604E67" w:rsidRPr="00857CDA">
              <w:rPr>
                <w:iCs/>
                <w:lang w:val="ro-RO"/>
              </w:rPr>
              <w:t>canistre</w:t>
            </w:r>
            <w:r w:rsidRPr="00857CDA">
              <w:rPr>
                <w:iCs/>
                <w:lang w:val="ro-RO"/>
              </w:rPr>
              <w:t>) (3A2, 3B2, 3H2)</w:t>
            </w:r>
            <w:r w:rsidR="00DA2DF0" w:rsidRPr="00857CDA">
              <w:rPr>
                <w:iCs/>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E93B06" w:rsidRPr="00857CDA" w:rsidRDefault="00604E67"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t xml:space="preserve">Ambalajele trebuie să fie conforme nivelului de performanţă al grupei de ambalare </w:t>
            </w:r>
            <w:r w:rsidR="00E93B06" w:rsidRPr="00857CDA">
              <w:rPr>
                <w:iCs/>
                <w:lang w:val="ro-RO"/>
              </w:rPr>
              <w:t>I.</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604E67">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1</w:t>
            </w:r>
            <w:r w:rsidR="00154C17" w:rsidRPr="00857CDA">
              <w:rPr>
                <w:lang w:val="ro-RO"/>
              </w:rPr>
              <w:t>)</w:t>
            </w:r>
            <w:r w:rsidRPr="00857CDA">
              <w:rPr>
                <w:lang w:val="ro-RO"/>
              </w:rPr>
              <w:tab/>
            </w:r>
            <w:r w:rsidR="00604E67" w:rsidRPr="00857CDA">
              <w:rPr>
                <w:lang w:val="ro-RO"/>
              </w:rPr>
              <w:t>Ambalajele trebuie să îndeplinească următoarele prescripții suplimentare de performanță în cazurile în care pilele și bateriile sunt dezasamblate rapid, reacționează periculos, produc o flacără sau o eliberare periculoasă de căldură sau o emisie de gaze sau vapori toxici, corozivi sau inflamabili</w:t>
            </w:r>
            <w:r w:rsidR="00091658" w:rsidRPr="00857CDA">
              <w:rPr>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DC767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a)</w:t>
            </w:r>
            <w:r w:rsidRPr="00857CDA">
              <w:rPr>
                <w:lang w:val="ro-RO"/>
              </w:rPr>
              <w:tab/>
            </w:r>
            <w:r w:rsidR="007F601F" w:rsidRPr="00857CDA">
              <w:rPr>
                <w:lang w:val="ro-RO"/>
              </w:rPr>
              <w:t xml:space="preserve">Temperatura suprafeței exterioare a ambalajului complet nu trebuie să depășească 100 °C. </w:t>
            </w:r>
            <w:r w:rsidR="00DC767A" w:rsidRPr="00857CDA">
              <w:rPr>
                <w:lang w:val="ro-RO"/>
              </w:rPr>
              <w:t>Este acceptabil u</w:t>
            </w:r>
            <w:r w:rsidR="007F601F" w:rsidRPr="00857CDA">
              <w:rPr>
                <w:lang w:val="ro-RO"/>
              </w:rPr>
              <w:t xml:space="preserve">n </w:t>
            </w:r>
            <w:r w:rsidR="00DC767A" w:rsidRPr="00857CDA">
              <w:rPr>
                <w:lang w:val="ro-RO"/>
              </w:rPr>
              <w:t>vârf</w:t>
            </w:r>
            <w:r w:rsidR="007F601F" w:rsidRPr="00857CDA">
              <w:rPr>
                <w:lang w:val="ro-RO"/>
              </w:rPr>
              <w:t xml:space="preserve"> </w:t>
            </w:r>
            <w:r w:rsidR="00DC767A" w:rsidRPr="00857CDA">
              <w:rPr>
                <w:lang w:val="ro-RO"/>
              </w:rPr>
              <w:t xml:space="preserve">momentan </w:t>
            </w:r>
            <w:r w:rsidR="007F601F" w:rsidRPr="00857CDA">
              <w:rPr>
                <w:lang w:val="ro-RO"/>
              </w:rPr>
              <w:t xml:space="preserve">de temperatură </w:t>
            </w:r>
            <w:r w:rsidR="00DC767A" w:rsidRPr="00857CDA">
              <w:rPr>
                <w:lang w:val="ro-RO"/>
              </w:rPr>
              <w:t>de până la 200 °</w:t>
            </w:r>
            <w:r w:rsidR="007F601F" w:rsidRPr="00857CDA">
              <w:rPr>
                <w:lang w:val="ro-RO"/>
              </w:rPr>
              <w:t>C;</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FE691B">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b) </w:t>
            </w:r>
            <w:r w:rsidRPr="00857CDA">
              <w:rPr>
                <w:lang w:val="ro-RO"/>
              </w:rPr>
              <w:tab/>
            </w:r>
            <w:r w:rsidR="00DC767A" w:rsidRPr="00857CDA">
              <w:rPr>
                <w:lang w:val="ro-RO"/>
              </w:rPr>
              <w:t xml:space="preserve">În afara </w:t>
            </w:r>
            <w:r w:rsidR="00FE691B" w:rsidRPr="00857CDA">
              <w:rPr>
                <w:lang w:val="ro-RO"/>
              </w:rPr>
              <w:t>coletului</w:t>
            </w:r>
            <w:r w:rsidR="00DC767A" w:rsidRPr="00857CDA">
              <w:rPr>
                <w:lang w:val="ro-RO"/>
              </w:rPr>
              <w:t xml:space="preserve"> nu trebuie să se producă nicio flacără periculoasă</w:t>
            </w:r>
            <w:r w:rsidRPr="00857CDA">
              <w:rPr>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FE691B">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c) </w:t>
            </w:r>
            <w:r w:rsidRPr="00857CDA">
              <w:rPr>
                <w:lang w:val="ro-RO"/>
              </w:rPr>
              <w:tab/>
            </w:r>
            <w:r w:rsidR="00DC767A" w:rsidRPr="00857CDA">
              <w:rPr>
                <w:lang w:val="ro-RO"/>
              </w:rPr>
              <w:t xml:space="preserve">În afara </w:t>
            </w:r>
            <w:r w:rsidR="00FE691B" w:rsidRPr="00857CDA">
              <w:rPr>
                <w:lang w:val="ro-RO"/>
              </w:rPr>
              <w:t>coletului</w:t>
            </w:r>
            <w:r w:rsidR="00DC767A" w:rsidRPr="00857CDA">
              <w:rPr>
                <w:lang w:val="ro-RO"/>
              </w:rPr>
              <w:t xml:space="preserve"> nu trebuie să fie proiectate niciun fel de fragmente periculoase</w:t>
            </w:r>
            <w:r w:rsidRPr="00857CDA">
              <w:rPr>
                <w:lang w:val="ro-RO"/>
              </w:rPr>
              <w:t>;</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DC767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d) </w:t>
            </w:r>
            <w:r w:rsidRPr="00857CDA">
              <w:rPr>
                <w:lang w:val="ro-RO"/>
              </w:rPr>
              <w:tab/>
            </w:r>
            <w:r w:rsidR="00DC767A" w:rsidRPr="00857CDA">
              <w:rPr>
                <w:lang w:val="ro-RO"/>
              </w:rPr>
              <w:t xml:space="preserve">Integritatea </w:t>
            </w:r>
            <w:r w:rsidRPr="00857CDA">
              <w:rPr>
                <w:lang w:val="ro-RO"/>
              </w:rPr>
              <w:t>structur</w:t>
            </w:r>
            <w:r w:rsidR="00DC767A" w:rsidRPr="00857CDA">
              <w:rPr>
                <w:lang w:val="ro-RO"/>
              </w:rPr>
              <w:t>a</w:t>
            </w:r>
            <w:r w:rsidRPr="00857CDA">
              <w:rPr>
                <w:lang w:val="ro-RO"/>
              </w:rPr>
              <w:t>l</w:t>
            </w:r>
            <w:r w:rsidR="00DC767A" w:rsidRPr="00857CDA">
              <w:rPr>
                <w:lang w:val="ro-RO"/>
              </w:rPr>
              <w:t>ă a coletului trebuie să fie păstrată</w:t>
            </w:r>
            <w:r w:rsidR="009610A9" w:rsidRPr="00857CDA">
              <w:rPr>
                <w:lang w:val="ro-RO"/>
              </w:rPr>
              <w:t xml:space="preserve">; </w:t>
            </w:r>
            <w:r w:rsidR="00DC767A" w:rsidRPr="00857CDA">
              <w:rPr>
                <w:lang w:val="ro-RO"/>
              </w:rPr>
              <w:t>și</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DC767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e) </w:t>
            </w:r>
            <w:r w:rsidRPr="00857CDA">
              <w:rPr>
                <w:lang w:val="ro-RO"/>
              </w:rPr>
              <w:tab/>
            </w:r>
            <w:r w:rsidR="00DC767A" w:rsidRPr="00857CDA">
              <w:rPr>
                <w:lang w:val="ro-RO"/>
              </w:rPr>
              <w:t>Ambalajele trebuie să aibă un sistem de gestionare a fluxurilor de gaz (de exemplu: un dispozitiv de filtrare, de ventilație, de izolare a gazelor, de etanșare etc.), după caz.</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984CA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2</w:t>
            </w:r>
            <w:r w:rsidR="00154C17" w:rsidRPr="00857CDA">
              <w:rPr>
                <w:lang w:val="ro-RO"/>
              </w:rPr>
              <w:t>)</w:t>
            </w:r>
            <w:r w:rsidRPr="00857CDA">
              <w:rPr>
                <w:lang w:val="ro-RO"/>
              </w:rPr>
              <w:t xml:space="preserve"> </w:t>
            </w:r>
            <w:r w:rsidRPr="00857CDA">
              <w:rPr>
                <w:lang w:val="ro-RO"/>
              </w:rPr>
              <w:tab/>
            </w:r>
            <w:r w:rsidR="00984CAD" w:rsidRPr="00857CDA">
              <w:rPr>
                <w:lang w:val="ro-RO"/>
              </w:rPr>
              <w:t xml:space="preserve">Prescripțiile suplimentare de performanță se verifică prin încercări specificate de autoritatea competentă a oricărei părți contractante la ADR, care poate recunoaște, de asemenea, încercările specificate de autoritatea competentă a unei țări care nu este parte contractantă la ADR cu condiția ca aceste încercări să fie specificate în conformitate cu procedurile aplicabile în conformitate cu RID, ADR, ADN, Codul IMDG sau instrucțiunile tehnice </w:t>
            </w:r>
            <w:r w:rsidR="009610A9" w:rsidRPr="00857CDA">
              <w:rPr>
                <w:lang w:val="ro-RO"/>
              </w:rPr>
              <w:t>OACI</w:t>
            </w:r>
            <w:r w:rsidRPr="00857CDA">
              <w:rPr>
                <w:b/>
                <w:vertAlign w:val="superscript"/>
                <w:lang w:val="ro-RO"/>
              </w:rPr>
              <w:t xml:space="preserve"> a</w:t>
            </w:r>
            <w:r w:rsidRPr="00857CDA">
              <w:rPr>
                <w:lang w:val="ro-RO"/>
              </w:rPr>
              <w:t xml:space="preserve">. </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933889">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ab/>
            </w:r>
            <w:r w:rsidR="00933889" w:rsidRPr="00857CDA">
              <w:rPr>
                <w:lang w:val="ro-RO"/>
              </w:rPr>
              <w:t>Un raport emis după verificare trebuie să fie disponibil la cerere. Cel puțin numele pilei sau al bateriei, numărul acesteia, masa, tipul, conținutul energetic, numărul de identificare a ambalajului și datele de încercare trebuie să fie enumerate în raport, funcție de metoda de verificare specificată de autoritatea competentă.</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4024E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3</w:t>
            </w:r>
            <w:r w:rsidR="00154C17" w:rsidRPr="00857CDA">
              <w:rPr>
                <w:lang w:val="ro-RO"/>
              </w:rPr>
              <w:t>)</w:t>
            </w:r>
            <w:r w:rsidRPr="00857CDA">
              <w:rPr>
                <w:lang w:val="ro-RO"/>
              </w:rPr>
              <w:tab/>
            </w:r>
            <w:r w:rsidR="00933889" w:rsidRPr="00857CDA">
              <w:rPr>
                <w:lang w:val="ro-RO"/>
              </w:rPr>
              <w:t xml:space="preserve">În cazurile în care sunt utilizate gheața carbonică sau azotul lichid ca agent frigorific, prescripțiile de la 5.5.3 sunt aplicabile. Ambalajele interioare și exterioare trebuie să-și mențină integritatea la temperatura agentului frigorific utilizat, precum și la temperaturile și presiunile care ar putea fi atinse în cazul </w:t>
            </w:r>
            <w:r w:rsidR="004024ED" w:rsidRPr="00857CDA">
              <w:rPr>
                <w:lang w:val="ro-RO"/>
              </w:rPr>
              <w:t>pierderii</w:t>
            </w:r>
            <w:r w:rsidR="00933889" w:rsidRPr="00857CDA">
              <w:rPr>
                <w:lang w:val="ro-RO"/>
              </w:rPr>
              <w:t xml:space="preserve"> agentului</w:t>
            </w:r>
            <w:r w:rsidRPr="00857CDA">
              <w:rPr>
                <w:lang w:val="ro-RO"/>
              </w:rPr>
              <w:t>.</w:t>
            </w:r>
          </w:p>
        </w:tc>
      </w:tr>
      <w:tr w:rsidR="00A074FC" w:rsidRPr="00857CDA"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rsidR="00E93B06" w:rsidRPr="00857CDA" w:rsidRDefault="006A1ED1" w:rsidP="004024E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ro-RO"/>
              </w:rPr>
            </w:pPr>
            <w:r w:rsidRPr="00857CDA">
              <w:rPr>
                <w:b/>
                <w:iCs/>
                <w:lang w:val="ro-RO"/>
              </w:rPr>
              <w:t>Dispoziți</w:t>
            </w:r>
            <w:r w:rsidR="004024ED" w:rsidRPr="00857CDA">
              <w:rPr>
                <w:b/>
                <w:iCs/>
                <w:lang w:val="ro-RO"/>
              </w:rPr>
              <w:t>e</w:t>
            </w:r>
            <w:r w:rsidRPr="00857CDA">
              <w:rPr>
                <w:b/>
                <w:iCs/>
                <w:lang w:val="ro-RO"/>
              </w:rPr>
              <w:t xml:space="preserve"> suplimentară</w:t>
            </w:r>
            <w:r w:rsidR="00E93B06" w:rsidRPr="00857CDA">
              <w:rPr>
                <w:b/>
                <w:iCs/>
                <w:lang w:val="ro-RO"/>
              </w:rPr>
              <w:t>:</w:t>
            </w:r>
          </w:p>
        </w:tc>
      </w:tr>
      <w:tr w:rsidR="00A074FC" w:rsidRPr="00857CDA"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93B06" w:rsidRPr="00857CDA" w:rsidRDefault="004024ED"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t>Pilele sau bateriile trebuie să fie protejate contra scurt-circuitelor.</w:t>
            </w:r>
          </w:p>
        </w:tc>
      </w:tr>
      <w:tr w:rsidR="00A074FC" w:rsidRPr="00857CDA"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E93B06" w:rsidRPr="00857CDA" w:rsidRDefault="00E93B06" w:rsidP="006201FD">
            <w:pPr>
              <w:tabs>
                <w:tab w:val="left" w:pos="366"/>
                <w:tab w:val="left" w:pos="1985"/>
                <w:tab w:val="left" w:pos="2552"/>
                <w:tab w:val="left" w:pos="3119"/>
                <w:tab w:val="left" w:pos="3686"/>
                <w:tab w:val="left" w:pos="4253"/>
                <w:tab w:val="left" w:pos="4820"/>
              </w:tabs>
              <w:suppressAutoHyphens w:val="0"/>
              <w:spacing w:before="60" w:after="60" w:line="240" w:lineRule="auto"/>
              <w:jc w:val="both"/>
              <w:rPr>
                <w:i/>
                <w:lang w:val="ro-RO"/>
              </w:rPr>
            </w:pPr>
            <w:r w:rsidRPr="00857CDA">
              <w:rPr>
                <w:b/>
                <w:vertAlign w:val="superscript"/>
                <w:lang w:val="ro-RO"/>
              </w:rPr>
              <w:t>a</w:t>
            </w:r>
            <w:r w:rsidRPr="00857CDA">
              <w:rPr>
                <w:i/>
                <w:lang w:val="ro-RO"/>
              </w:rPr>
              <w:tab/>
            </w:r>
            <w:r w:rsidR="004024ED" w:rsidRPr="00857CDA">
              <w:rPr>
                <w:i/>
                <w:lang w:val="ro-RO"/>
              </w:rPr>
              <w:t>Următoarele criterii, după caz, pot fi luate în considerare pentru a evalua performanța ambalajului:</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4024E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a) </w:t>
            </w:r>
            <w:r w:rsidRPr="00857CDA">
              <w:rPr>
                <w:i/>
                <w:lang w:val="ro-RO"/>
              </w:rPr>
              <w:tab/>
            </w:r>
            <w:r w:rsidR="004024ED" w:rsidRPr="00857CDA">
              <w:rPr>
                <w:i/>
                <w:lang w:val="ro-RO"/>
              </w:rPr>
              <w:t>Evaluarea trebuie efectuată ca parte a unui sistem de management al calității (cum ar fi programul descris la 2.2.9.1.7 (e)) pentru a se asigura trasabilitatea rezultatelor încercărilor, datelor de referință, precum și modelelor de caracterizare utilizate</w:t>
            </w:r>
            <w:r w:rsidRPr="00857CDA">
              <w:rPr>
                <w:i/>
                <w:lang w:val="ro-RO"/>
              </w:rPr>
              <w:t>;</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BA197C">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b) </w:t>
            </w:r>
            <w:r w:rsidRPr="00857CDA">
              <w:rPr>
                <w:i/>
                <w:lang w:val="ro-RO"/>
              </w:rPr>
              <w:tab/>
            </w:r>
            <w:r w:rsidR="004024ED" w:rsidRPr="00857CDA">
              <w:rPr>
                <w:i/>
                <w:lang w:val="ro-RO"/>
              </w:rPr>
              <w:t>Pericolele preconizate în cazul unei supraîncălziri pentru tipul de pilă sau baterie transportat, în condițiile de transport prevăzute (de exemplu, utilizarea unui ambalaj interior, nivelul de încărcare, utilizarea un</w:t>
            </w:r>
            <w:r w:rsidR="00BA197C" w:rsidRPr="00857CDA">
              <w:rPr>
                <w:i/>
                <w:lang w:val="ro-RO"/>
              </w:rPr>
              <w:t>ui</w:t>
            </w:r>
            <w:r w:rsidR="004024ED" w:rsidRPr="00857CDA">
              <w:rPr>
                <w:i/>
                <w:lang w:val="ro-RO"/>
              </w:rPr>
              <w:t xml:space="preserve"> </w:t>
            </w:r>
            <w:r w:rsidR="00BA197C" w:rsidRPr="00857CDA">
              <w:rPr>
                <w:i/>
                <w:lang w:val="ro-RO"/>
              </w:rPr>
              <w:t>material de umplutură</w:t>
            </w:r>
            <w:r w:rsidR="004024ED" w:rsidRPr="00857CDA">
              <w:rPr>
                <w:i/>
                <w:lang w:val="ro-RO"/>
              </w:rPr>
              <w:t xml:space="preserve"> necombustibil, neconduc</w:t>
            </w:r>
            <w:r w:rsidR="00BA197C" w:rsidRPr="00857CDA">
              <w:rPr>
                <w:i/>
                <w:lang w:val="ro-RO"/>
              </w:rPr>
              <w:t>ă</w:t>
            </w:r>
            <w:r w:rsidR="004024ED" w:rsidRPr="00857CDA">
              <w:rPr>
                <w:i/>
                <w:lang w:val="ro-RO"/>
              </w:rPr>
              <w:t>tor</w:t>
            </w:r>
            <w:r w:rsidR="00BA197C" w:rsidRPr="00857CDA">
              <w:rPr>
                <w:i/>
                <w:lang w:val="ro-RO"/>
              </w:rPr>
              <w:t xml:space="preserve"> de electricitate</w:t>
            </w:r>
            <w:r w:rsidR="004024ED" w:rsidRPr="00857CDA">
              <w:rPr>
                <w:i/>
                <w:lang w:val="ro-RO"/>
              </w:rPr>
              <w:t xml:space="preserve"> și suficien</w:t>
            </w:r>
            <w:r w:rsidR="00BA197C" w:rsidRPr="00857CDA">
              <w:rPr>
                <w:i/>
                <w:lang w:val="ro-RO"/>
              </w:rPr>
              <w:t>t de absorbant</w:t>
            </w:r>
            <w:r w:rsidR="004024ED" w:rsidRPr="00857CDA">
              <w:rPr>
                <w:i/>
                <w:lang w:val="ro-RO"/>
              </w:rPr>
              <w:t xml:space="preserve"> etc.), trebuie să fie clar definite și cuantificate; </w:t>
            </w:r>
            <w:r w:rsidR="00BA197C" w:rsidRPr="00857CDA">
              <w:rPr>
                <w:i/>
                <w:lang w:val="ro-RO"/>
              </w:rPr>
              <w:t xml:space="preserve">În acest scop poate fi utilizată o </w:t>
            </w:r>
            <w:r w:rsidR="004024ED" w:rsidRPr="00857CDA">
              <w:rPr>
                <w:i/>
                <w:lang w:val="ro-RO"/>
              </w:rPr>
              <w:t xml:space="preserve">lista </w:t>
            </w:r>
            <w:r w:rsidR="00BA197C" w:rsidRPr="00857CDA">
              <w:rPr>
                <w:i/>
                <w:lang w:val="ro-RO"/>
              </w:rPr>
              <w:t>cu</w:t>
            </w:r>
            <w:r w:rsidR="004024ED" w:rsidRPr="00857CDA">
              <w:rPr>
                <w:i/>
                <w:lang w:val="ro-RO"/>
              </w:rPr>
              <w:t xml:space="preserve"> </w:t>
            </w:r>
            <w:r w:rsidR="00BA197C" w:rsidRPr="00857CDA">
              <w:rPr>
                <w:i/>
                <w:lang w:val="ro-RO"/>
              </w:rPr>
              <w:t xml:space="preserve">posibile </w:t>
            </w:r>
            <w:r w:rsidR="004024ED" w:rsidRPr="00857CDA">
              <w:rPr>
                <w:i/>
                <w:lang w:val="ro-RO"/>
              </w:rPr>
              <w:t xml:space="preserve">pericole pentru </w:t>
            </w:r>
            <w:r w:rsidR="00BA197C" w:rsidRPr="00857CDA">
              <w:rPr>
                <w:i/>
                <w:lang w:val="ro-RO"/>
              </w:rPr>
              <w:t>pilele</w:t>
            </w:r>
            <w:r w:rsidR="004024ED" w:rsidRPr="00857CDA">
              <w:rPr>
                <w:i/>
                <w:lang w:val="ro-RO"/>
              </w:rPr>
              <w:t xml:space="preserve"> sau bateriile cu litiu (care </w:t>
            </w:r>
            <w:r w:rsidR="00BA197C" w:rsidRPr="00857CDA">
              <w:rPr>
                <w:i/>
                <w:lang w:val="ro-RO"/>
              </w:rPr>
              <w:t>se pot</w:t>
            </w:r>
            <w:r w:rsidR="004024ED" w:rsidRPr="00857CDA">
              <w:rPr>
                <w:i/>
                <w:lang w:val="ro-RO"/>
              </w:rPr>
              <w:t xml:space="preserve"> dezasambla rapid, reacționa periculos, produc</w:t>
            </w:r>
            <w:r w:rsidR="00BA197C" w:rsidRPr="00857CDA">
              <w:rPr>
                <w:i/>
                <w:lang w:val="ro-RO"/>
              </w:rPr>
              <w:t>e</w:t>
            </w:r>
            <w:r w:rsidR="004024ED" w:rsidRPr="00857CDA">
              <w:rPr>
                <w:i/>
                <w:lang w:val="ro-RO"/>
              </w:rPr>
              <w:t xml:space="preserve"> o flacără sau </w:t>
            </w:r>
            <w:r w:rsidR="00BA197C" w:rsidRPr="00857CDA">
              <w:rPr>
                <w:i/>
                <w:lang w:val="ro-RO"/>
              </w:rPr>
              <w:t xml:space="preserve">o </w:t>
            </w:r>
            <w:r w:rsidR="004024ED" w:rsidRPr="00857CDA">
              <w:rPr>
                <w:i/>
                <w:lang w:val="ro-RO"/>
              </w:rPr>
              <w:t xml:space="preserve">eliberare periculoasă </w:t>
            </w:r>
            <w:r w:rsidR="00BA197C" w:rsidRPr="00857CDA">
              <w:rPr>
                <w:i/>
                <w:lang w:val="ro-RO"/>
              </w:rPr>
              <w:t xml:space="preserve">de căldură </w:t>
            </w:r>
            <w:r w:rsidR="004024ED" w:rsidRPr="00857CDA">
              <w:rPr>
                <w:i/>
                <w:lang w:val="ro-RO"/>
              </w:rPr>
              <w:t xml:space="preserve">sau </w:t>
            </w:r>
            <w:r w:rsidR="00BA197C" w:rsidRPr="00857CDA">
              <w:rPr>
                <w:i/>
                <w:lang w:val="ro-RO"/>
              </w:rPr>
              <w:t>o emisie de</w:t>
            </w:r>
            <w:r w:rsidR="004024ED" w:rsidRPr="00857CDA">
              <w:rPr>
                <w:i/>
                <w:lang w:val="ro-RO"/>
              </w:rPr>
              <w:t xml:space="preserve"> gaz sau </w:t>
            </w:r>
            <w:r w:rsidR="00BA197C" w:rsidRPr="00857CDA">
              <w:rPr>
                <w:i/>
                <w:lang w:val="ro-RO"/>
              </w:rPr>
              <w:t xml:space="preserve">de </w:t>
            </w:r>
            <w:r w:rsidR="004024ED" w:rsidRPr="00857CDA">
              <w:rPr>
                <w:i/>
                <w:lang w:val="ro-RO"/>
              </w:rPr>
              <w:t>vapori toxici, corozivi sau inflamabili). Cuantificarea acestor pericole trebuie să se bazeze pe lit</w:t>
            </w:r>
            <w:r w:rsidR="00BA197C" w:rsidRPr="00857CDA">
              <w:rPr>
                <w:i/>
                <w:lang w:val="ro-RO"/>
              </w:rPr>
              <w:t>eratura științifică disponibilă</w:t>
            </w:r>
            <w:r w:rsidRPr="00857CDA">
              <w:rPr>
                <w:i/>
                <w:lang w:val="ro-RO"/>
              </w:rPr>
              <w:t>;</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39664E">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lastRenderedPageBreak/>
              <w:tab/>
              <w:t xml:space="preserve">c) </w:t>
            </w:r>
            <w:r w:rsidRPr="00857CDA">
              <w:rPr>
                <w:i/>
                <w:lang w:val="ro-RO"/>
              </w:rPr>
              <w:tab/>
            </w:r>
            <w:r w:rsidR="005B56E0" w:rsidRPr="00857CDA">
              <w:rPr>
                <w:i/>
                <w:lang w:val="ro-RO"/>
              </w:rPr>
              <w:t xml:space="preserve">Efectele de atenuare a acestor pericole specifice pentru ambalaje trebuie să fie determinate și caracterizate, în funcție de tipul de protecție oferit de ambalaj și de proprietățile materialelor din care este realizat. Această evaluare trebuie însoțită de o listă a caracteristicilor tehnice și a </w:t>
            </w:r>
            <w:r w:rsidR="0039664E" w:rsidRPr="00857CDA">
              <w:rPr>
                <w:i/>
                <w:lang w:val="ro-RO"/>
              </w:rPr>
              <w:t>graficelor</w:t>
            </w:r>
            <w:r w:rsidR="005B56E0" w:rsidRPr="00857CDA">
              <w:rPr>
                <w:i/>
                <w:lang w:val="ro-RO"/>
              </w:rPr>
              <w:t xml:space="preserve"> (densitate [kg·m</w:t>
            </w:r>
            <w:r w:rsidR="005B56E0" w:rsidRPr="00857CDA">
              <w:rPr>
                <w:i/>
                <w:vertAlign w:val="superscript"/>
                <w:lang w:val="ro-RO"/>
              </w:rPr>
              <w:t>-</w:t>
            </w:r>
            <w:r w:rsidR="005B56E0" w:rsidRPr="00857CDA">
              <w:rPr>
                <w:i/>
                <w:lang w:val="ro-RO"/>
              </w:rPr>
              <w:t xml:space="preserve">³], capacitate </w:t>
            </w:r>
            <w:r w:rsidR="0039664E" w:rsidRPr="00857CDA">
              <w:rPr>
                <w:i/>
                <w:lang w:val="ro-RO"/>
              </w:rPr>
              <w:t>calorică</w:t>
            </w:r>
            <w:r w:rsidR="005B56E0" w:rsidRPr="00857CDA">
              <w:rPr>
                <w:i/>
                <w:lang w:val="ro-RO"/>
              </w:rPr>
              <w:t xml:space="preserve"> [J·kg</w:t>
            </w:r>
            <w:r w:rsidR="005B56E0" w:rsidRPr="00857CDA">
              <w:rPr>
                <w:i/>
                <w:vertAlign w:val="superscript"/>
                <w:lang w:val="ro-RO"/>
              </w:rPr>
              <w:t>-1</w:t>
            </w:r>
            <w:r w:rsidR="005B56E0" w:rsidRPr="00857CDA">
              <w:rPr>
                <w:i/>
                <w:lang w:val="ro-RO"/>
              </w:rPr>
              <w:t>· K</w:t>
            </w:r>
            <w:r w:rsidR="005B56E0" w:rsidRPr="00857CDA">
              <w:rPr>
                <w:i/>
                <w:vertAlign w:val="superscript"/>
                <w:lang w:val="ro-RO"/>
              </w:rPr>
              <w:t>-1</w:t>
            </w:r>
            <w:r w:rsidR="005B56E0" w:rsidRPr="00857CDA">
              <w:rPr>
                <w:i/>
                <w:lang w:val="ro-RO"/>
              </w:rPr>
              <w:t xml:space="preserve">], </w:t>
            </w:r>
            <w:r w:rsidR="0039664E" w:rsidRPr="00857CDA">
              <w:rPr>
                <w:i/>
                <w:lang w:val="ro-RO"/>
              </w:rPr>
              <w:t>căldură specific</w:t>
            </w:r>
            <w:r w:rsidR="005B56E0" w:rsidRPr="00857CDA">
              <w:rPr>
                <w:i/>
                <w:lang w:val="ro-RO"/>
              </w:rPr>
              <w:t>ă [kJ·kg</w:t>
            </w:r>
            <w:r w:rsidR="005B56E0" w:rsidRPr="00857CDA">
              <w:rPr>
                <w:i/>
                <w:vertAlign w:val="superscript"/>
                <w:lang w:val="ro-RO"/>
              </w:rPr>
              <w:t>-1</w:t>
            </w:r>
            <w:r w:rsidR="005B56E0" w:rsidRPr="00857CDA">
              <w:rPr>
                <w:i/>
                <w:lang w:val="ro-RO"/>
              </w:rPr>
              <w:t>] conductivitate termică [W·m</w:t>
            </w:r>
            <w:r w:rsidR="005B56E0" w:rsidRPr="00857CDA">
              <w:rPr>
                <w:i/>
                <w:vertAlign w:val="superscript"/>
                <w:lang w:val="ro-RO"/>
              </w:rPr>
              <w:t>-1</w:t>
            </w:r>
            <w:r w:rsidR="005B56E0" w:rsidRPr="00857CDA">
              <w:rPr>
                <w:i/>
                <w:lang w:val="ro-RO"/>
              </w:rPr>
              <w:t>·K</w:t>
            </w:r>
            <w:r w:rsidR="005B56E0" w:rsidRPr="00857CDA">
              <w:rPr>
                <w:i/>
                <w:vertAlign w:val="superscript"/>
                <w:lang w:val="ro-RO"/>
              </w:rPr>
              <w:t>-1</w:t>
            </w:r>
            <w:r w:rsidR="005B56E0" w:rsidRPr="00857CDA">
              <w:rPr>
                <w:i/>
                <w:lang w:val="ro-RO"/>
              </w:rPr>
              <w:t>], temperatura de topire și temperatura de aprindere [K],</w:t>
            </w:r>
            <w:r w:rsidR="0039664E" w:rsidRPr="00857CDA">
              <w:rPr>
                <w:i/>
                <w:lang w:val="ro-RO"/>
              </w:rPr>
              <w:t>coeficientul de</w:t>
            </w:r>
            <w:r w:rsidR="005B56E0" w:rsidRPr="00857CDA">
              <w:rPr>
                <w:i/>
                <w:lang w:val="ro-RO"/>
              </w:rPr>
              <w:t xml:space="preserve"> trans</w:t>
            </w:r>
            <w:r w:rsidR="0039664E" w:rsidRPr="00857CDA">
              <w:rPr>
                <w:i/>
                <w:lang w:val="ro-RO"/>
              </w:rPr>
              <w:t>fer</w:t>
            </w:r>
            <w:r w:rsidR="005B56E0" w:rsidRPr="00857CDA">
              <w:rPr>
                <w:i/>
                <w:lang w:val="ro-RO"/>
              </w:rPr>
              <w:t xml:space="preserve"> termic a</w:t>
            </w:r>
            <w:r w:rsidR="0039664E" w:rsidRPr="00857CDA">
              <w:rPr>
                <w:i/>
                <w:lang w:val="ro-RO"/>
              </w:rPr>
              <w:t>l</w:t>
            </w:r>
            <w:r w:rsidR="005B56E0" w:rsidRPr="00857CDA">
              <w:rPr>
                <w:i/>
                <w:lang w:val="ro-RO"/>
              </w:rPr>
              <w:t xml:space="preserve"> ambalajului exterior [W·m</w:t>
            </w:r>
            <w:r w:rsidR="005B56E0" w:rsidRPr="00857CDA">
              <w:rPr>
                <w:i/>
                <w:vertAlign w:val="superscript"/>
                <w:lang w:val="ro-RO"/>
              </w:rPr>
              <w:t>-2</w:t>
            </w:r>
            <w:r w:rsidR="005B56E0" w:rsidRPr="00857CDA">
              <w:rPr>
                <w:i/>
                <w:lang w:val="ro-RO"/>
              </w:rPr>
              <w:t>·K</w:t>
            </w:r>
            <w:r w:rsidR="005B56E0" w:rsidRPr="00857CDA">
              <w:rPr>
                <w:i/>
                <w:vertAlign w:val="superscript"/>
                <w:lang w:val="ro-RO"/>
              </w:rPr>
              <w:t>-1</w:t>
            </w:r>
            <w:r w:rsidR="005B56E0" w:rsidRPr="00857CDA">
              <w:rPr>
                <w:i/>
                <w:lang w:val="ro-RO"/>
              </w:rPr>
              <w:t>], ...);</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214D7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d) </w:t>
            </w:r>
            <w:r w:rsidRPr="00857CDA">
              <w:rPr>
                <w:i/>
                <w:lang w:val="ro-RO"/>
              </w:rPr>
              <w:tab/>
            </w:r>
            <w:r w:rsidR="00814BC1" w:rsidRPr="00857CDA">
              <w:rPr>
                <w:i/>
                <w:lang w:val="ro-RO"/>
              </w:rPr>
              <w:t>Încercarea și orice calcule justificative trebuie să evalueze rezultatul supraîncălzirii pilei sau bateriei din interiorul ambalajului, în condiții normale de transport;</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7C64F3">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e) </w:t>
            </w:r>
            <w:r w:rsidRPr="00857CDA">
              <w:rPr>
                <w:i/>
                <w:lang w:val="ro-RO"/>
              </w:rPr>
              <w:tab/>
            </w:r>
            <w:r w:rsidR="00814BC1" w:rsidRPr="00857CDA">
              <w:rPr>
                <w:i/>
                <w:lang w:val="ro-RO"/>
              </w:rPr>
              <w:t>În cazurile în care nivelul de încărcare a</w:t>
            </w:r>
            <w:r w:rsidR="007C64F3" w:rsidRPr="00857CDA">
              <w:rPr>
                <w:i/>
                <w:lang w:val="ro-RO"/>
              </w:rPr>
              <w:t>l pilei sau</w:t>
            </w:r>
            <w:r w:rsidR="00814BC1" w:rsidRPr="00857CDA">
              <w:rPr>
                <w:i/>
                <w:lang w:val="ro-RO"/>
              </w:rPr>
              <w:t xml:space="preserve"> bateriei nu este cunoscut, evaluarea trebuie făcută </w:t>
            </w:r>
            <w:r w:rsidR="007C64F3" w:rsidRPr="00857CDA">
              <w:rPr>
                <w:i/>
                <w:lang w:val="ro-RO"/>
              </w:rPr>
              <w:t>la</w:t>
            </w:r>
            <w:r w:rsidR="00814BC1" w:rsidRPr="00857CDA">
              <w:rPr>
                <w:i/>
                <w:lang w:val="ro-RO"/>
              </w:rPr>
              <w:t xml:space="preserve"> cel mai înalt nivel de încărcare posibil, corespunzător condițiilor de utilizare a </w:t>
            </w:r>
            <w:r w:rsidR="007C64F3" w:rsidRPr="00857CDA">
              <w:rPr>
                <w:i/>
                <w:lang w:val="ro-RO"/>
              </w:rPr>
              <w:t>pilei</w:t>
            </w:r>
            <w:r w:rsidR="00814BC1" w:rsidRPr="00857CDA">
              <w:rPr>
                <w:i/>
                <w:lang w:val="ro-RO"/>
              </w:rPr>
              <w:t xml:space="preserve"> sau bateriei;</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7C64F3">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f) </w:t>
            </w:r>
            <w:r w:rsidRPr="00857CDA">
              <w:rPr>
                <w:i/>
                <w:lang w:val="ro-RO"/>
              </w:rPr>
              <w:tab/>
            </w:r>
            <w:r w:rsidR="007C64F3" w:rsidRPr="00857CDA">
              <w:rPr>
                <w:i/>
                <w:lang w:val="ro-RO"/>
              </w:rPr>
              <w:t>Trebuie descrise condițiile mediului înconjurător în care poate fi utilizat și transportat ambalajul (inclusiv posibilele consecințe ale emisiilor de gaze sau de vapori asupra mediului cum ar fi prin ventilație sau alte metode) în raport cu gestionarea fluxurilor de gaz din ambalaj;</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0963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g) </w:t>
            </w:r>
            <w:r w:rsidRPr="00857CDA">
              <w:rPr>
                <w:i/>
                <w:lang w:val="ro-RO"/>
              </w:rPr>
              <w:tab/>
            </w:r>
            <w:r w:rsidR="00703D1B" w:rsidRPr="00857CDA">
              <w:rPr>
                <w:i/>
                <w:lang w:val="ro-RO"/>
              </w:rPr>
              <w:t xml:space="preserve">Încercările sau modelul de calcul trebuie să se bazeze pe cel mai pesimist caz în ceea ce privește inițierea supraîncălzirii și propagarea acesteia în interiorul pilei sau bateriei, presupunând că se produc: cel mai grav eșec posibil, în condițiile normale de transport, precum și cel mai ridicat nivel al căldurii și emisiilor de foc, </w:t>
            </w:r>
            <w:r w:rsidR="000963B5" w:rsidRPr="00857CDA">
              <w:rPr>
                <w:i/>
                <w:lang w:val="ro-RO"/>
              </w:rPr>
              <w:t>cu scopul</w:t>
            </w:r>
            <w:r w:rsidR="00703D1B" w:rsidRPr="00857CDA">
              <w:rPr>
                <w:i/>
                <w:lang w:val="ro-RO"/>
              </w:rPr>
              <w:t xml:space="preserve"> evalu</w:t>
            </w:r>
            <w:r w:rsidR="000963B5" w:rsidRPr="00857CDA">
              <w:rPr>
                <w:i/>
                <w:lang w:val="ro-RO"/>
              </w:rPr>
              <w:t>ării</w:t>
            </w:r>
            <w:r w:rsidR="00703D1B" w:rsidRPr="00857CDA">
              <w:rPr>
                <w:i/>
                <w:lang w:val="ro-RO"/>
              </w:rPr>
              <w:t xml:space="preserve"> posibilitățil</w:t>
            </w:r>
            <w:r w:rsidR="000963B5" w:rsidRPr="00857CDA">
              <w:rPr>
                <w:i/>
                <w:lang w:val="ro-RO"/>
              </w:rPr>
              <w:t xml:space="preserve">or </w:t>
            </w:r>
            <w:r w:rsidR="00703D1B" w:rsidRPr="00857CDA">
              <w:rPr>
                <w:i/>
                <w:lang w:val="ro-RO"/>
              </w:rPr>
              <w:t>de propagare a reacției;</w:t>
            </w:r>
          </w:p>
        </w:tc>
      </w:tr>
      <w:tr w:rsidR="00A074FC" w:rsidRPr="007D305F"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rsidR="00E93B06" w:rsidRPr="00857CDA" w:rsidRDefault="00E93B06" w:rsidP="00590357">
            <w:pPr>
              <w:tabs>
                <w:tab w:val="left" w:pos="791"/>
              </w:tabs>
              <w:suppressAutoHyphens w:val="0"/>
              <w:spacing w:before="60" w:after="60" w:line="240" w:lineRule="auto"/>
              <w:ind w:left="366" w:hanging="426"/>
              <w:jc w:val="both"/>
              <w:rPr>
                <w:i/>
                <w:lang w:val="ro-RO"/>
              </w:rPr>
            </w:pPr>
            <w:r w:rsidRPr="00857CDA">
              <w:rPr>
                <w:i/>
                <w:lang w:val="ro-RO"/>
              </w:rPr>
              <w:tab/>
              <w:t xml:space="preserve">h) </w:t>
            </w:r>
            <w:r w:rsidRPr="00857CDA">
              <w:rPr>
                <w:i/>
                <w:lang w:val="ro-RO"/>
              </w:rPr>
              <w:tab/>
            </w:r>
            <w:r w:rsidR="00590357" w:rsidRPr="00857CDA">
              <w:rPr>
                <w:i/>
                <w:lang w:val="ro-RO"/>
              </w:rPr>
              <w:t>Aceste scenarii trebuie evaluate pe o perioadă suficient de lungă pentru a permite apariția tuturor consecințelor posibile (de exemplu: 24 de ore).</w:t>
            </w:r>
          </w:p>
        </w:tc>
      </w:tr>
    </w:tbl>
    <w:p w:rsidR="00C55413" w:rsidRPr="00857CDA" w:rsidRDefault="00C55413" w:rsidP="006A6255">
      <w:pPr>
        <w:spacing w:before="120" w:after="120" w:line="240" w:lineRule="auto"/>
        <w:ind w:left="1134" w:right="1134"/>
        <w:jc w:val="both"/>
        <w:rPr>
          <w:lang w:val="ro-RO"/>
        </w:rPr>
      </w:pPr>
      <w:r w:rsidRPr="00857CDA">
        <w:rPr>
          <w:lang w:val="ro-RO"/>
        </w:rPr>
        <w:t xml:space="preserve">4.1.4.2, </w:t>
      </w:r>
      <w:r w:rsidR="006A1ED1" w:rsidRPr="00857CDA">
        <w:rPr>
          <w:lang w:val="ro-RO"/>
        </w:rPr>
        <w:t>instrucțiunea de ambalare</w:t>
      </w:r>
      <w:r w:rsidRPr="00857CDA">
        <w:rPr>
          <w:lang w:val="ro-RO"/>
        </w:rPr>
        <w:t xml:space="preserve"> IBC520</w:t>
      </w:r>
      <w:r w:rsidR="00256E1C" w:rsidRPr="00857CDA">
        <w:rPr>
          <w:lang w:val="ro-RO"/>
        </w:rPr>
        <w:t xml:space="preserve"> î</w:t>
      </w:r>
      <w:r w:rsidR="00902C44" w:rsidRPr="00857CDA">
        <w:rPr>
          <w:lang w:val="ro-RO"/>
        </w:rPr>
        <w:t xml:space="preserve">n </w:t>
      </w:r>
      <w:r w:rsidR="006A6255" w:rsidRPr="00857CDA">
        <w:rPr>
          <w:lang w:val="ro-RO"/>
        </w:rPr>
        <w:t>cel de al doilea rând</w:t>
      </w:r>
      <w:r w:rsidRPr="00857CDA">
        <w:rPr>
          <w:lang w:val="ro-RO"/>
        </w:rPr>
        <w:t xml:space="preserve">, </w:t>
      </w:r>
      <w:r w:rsidR="00991390" w:rsidRPr="00857CDA">
        <w:rPr>
          <w:lang w:val="ro-RO"/>
        </w:rPr>
        <w:t>după</w:t>
      </w:r>
      <w:r w:rsidRPr="00857CDA">
        <w:rPr>
          <w:lang w:val="ro-RO"/>
        </w:rPr>
        <w:t xml:space="preserve"> </w:t>
      </w:r>
      <w:r w:rsidR="00256E1C" w:rsidRPr="00857CDA">
        <w:rPr>
          <w:lang w:val="ro-RO"/>
        </w:rPr>
        <w:t>„</w:t>
      </w:r>
      <w:r w:rsidRPr="00857CDA">
        <w:rPr>
          <w:lang w:val="ro-RO"/>
        </w:rPr>
        <w:t>4.1.7.2.</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6A6255" w:rsidRPr="00857CDA">
        <w:rPr>
          <w:lang w:val="ro-RO"/>
        </w:rPr>
        <w:t>o nouă</w:t>
      </w:r>
      <w:r w:rsidRPr="00857CDA">
        <w:rPr>
          <w:lang w:val="ro-RO"/>
        </w:rPr>
        <w:t xml:space="preserve"> </w:t>
      </w:r>
      <w:r w:rsidR="00970E20" w:rsidRPr="00857CDA">
        <w:rPr>
          <w:lang w:val="ro-RO"/>
        </w:rPr>
        <w:t>frază</w:t>
      </w:r>
      <w:r w:rsidR="006A6255" w:rsidRPr="00857CDA">
        <w:rPr>
          <w:lang w:val="ro-RO"/>
        </w:rPr>
        <w:t>, după cum urmează</w:t>
      </w:r>
      <w:r w:rsidR="00091658" w:rsidRPr="00857CDA">
        <w:rPr>
          <w:lang w:val="ro-RO"/>
        </w:rPr>
        <w:t>:</w:t>
      </w:r>
      <w:r w:rsidRPr="00857CDA">
        <w:rPr>
          <w:lang w:val="ro-RO"/>
        </w:rPr>
        <w:t xml:space="preserve"> </w:t>
      </w:r>
      <w:r w:rsidR="00256E1C" w:rsidRPr="00857CDA">
        <w:rPr>
          <w:lang w:val="ro-RO"/>
        </w:rPr>
        <w:t>„</w:t>
      </w:r>
      <w:r w:rsidR="006A6255" w:rsidRPr="00857CDA">
        <w:rPr>
          <w:lang w:val="ro-RO"/>
        </w:rPr>
        <w:t>Preparatele enumerate mai jos pot fi transportate, de asemenea, ambalate în conformitate cu metoda de ambalare OP8 de la instrucțiunea de ambalare P520 de la 4.1.4.1, cu aceleași temperaturi de reglare și temperaturi critice, după caz</w:t>
      </w:r>
      <w:r w:rsidRPr="00857CDA">
        <w:rPr>
          <w:lang w:val="ro-RO"/>
        </w:rPr>
        <w:t>.</w:t>
      </w:r>
      <w:r w:rsidR="00660131" w:rsidRPr="00857CDA">
        <w:rPr>
          <w:lang w:val="ro-RO"/>
        </w:rPr>
        <w:t>”</w:t>
      </w:r>
      <w:r w:rsidRPr="00857CDA">
        <w:rPr>
          <w:lang w:val="ro-RO"/>
        </w:rPr>
        <w:t>.</w:t>
      </w:r>
    </w:p>
    <w:p w:rsidR="00196C06" w:rsidRPr="00857CDA" w:rsidRDefault="00196C06" w:rsidP="00196C06">
      <w:pPr>
        <w:pStyle w:val="SingleTxtG"/>
        <w:rPr>
          <w:lang w:val="ro-RO"/>
        </w:rPr>
      </w:pPr>
      <w:r w:rsidRPr="00857CDA">
        <w:rPr>
          <w:lang w:val="ro-RO"/>
        </w:rPr>
        <w:t xml:space="preserve">4.1.4.2, </w:t>
      </w:r>
      <w:r w:rsidR="006A1ED1" w:rsidRPr="00857CDA">
        <w:rPr>
          <w:lang w:val="ro-RO"/>
        </w:rPr>
        <w:t>instrucțiunea de ambalare</w:t>
      </w:r>
      <w:r w:rsidRPr="00857CDA">
        <w:rPr>
          <w:lang w:val="ro-RO"/>
        </w:rPr>
        <w:t xml:space="preserve"> IBC520</w:t>
      </w:r>
      <w:r w:rsidRPr="00857CDA">
        <w:rPr>
          <w:lang w:val="ro-RO"/>
        </w:rPr>
        <w:tab/>
      </w:r>
      <w:r w:rsidR="00256E1C" w:rsidRPr="00857CDA">
        <w:rPr>
          <w:lang w:val="ro-RO"/>
        </w:rPr>
        <w:t xml:space="preserve"> p</w:t>
      </w:r>
      <w:r w:rsidR="00991390" w:rsidRPr="00857CDA">
        <w:rPr>
          <w:lang w:val="ro-RO"/>
        </w:rPr>
        <w:t>entru</w:t>
      </w:r>
      <w:r w:rsidRPr="00857CDA">
        <w:rPr>
          <w:lang w:val="ro-RO"/>
        </w:rPr>
        <w:t xml:space="preserve"> </w:t>
      </w:r>
      <w:r w:rsidR="00121893" w:rsidRPr="00857CDA">
        <w:rPr>
          <w:lang w:val="ro-RO"/>
        </w:rPr>
        <w:t>Nr.</w:t>
      </w:r>
      <w:r w:rsidR="002B679C" w:rsidRPr="00857CDA">
        <w:rPr>
          <w:lang w:val="ro-RO"/>
        </w:rPr>
        <w:t xml:space="preserve"> ONU</w:t>
      </w:r>
      <w:r w:rsidRPr="00857CDA">
        <w:rPr>
          <w:lang w:val="ro-RO"/>
        </w:rPr>
        <w:t xml:space="preserve"> 3109, </w:t>
      </w:r>
      <w:r w:rsidR="005E2BF8" w:rsidRPr="00857CDA">
        <w:rPr>
          <w:lang w:val="ro-RO"/>
        </w:rPr>
        <w:t>la</w:t>
      </w:r>
      <w:r w:rsidRPr="00857CDA">
        <w:rPr>
          <w:lang w:val="ro-RO"/>
        </w:rPr>
        <w:t xml:space="preserve"> rubri</w:t>
      </w:r>
      <w:r w:rsidR="008614DC" w:rsidRPr="00857CDA">
        <w:rPr>
          <w:lang w:val="ro-RO"/>
        </w:rPr>
        <w:t>ca</w:t>
      </w:r>
      <w:r w:rsidRPr="00857CDA">
        <w:rPr>
          <w:lang w:val="ro-RO"/>
        </w:rPr>
        <w:t xml:space="preserve"> </w:t>
      </w:r>
      <w:r w:rsidR="00256E1C" w:rsidRPr="00857CDA">
        <w:rPr>
          <w:lang w:val="ro-RO"/>
        </w:rPr>
        <w:t>„</w:t>
      </w:r>
      <w:r w:rsidRPr="00857CDA">
        <w:rPr>
          <w:lang w:val="ro-RO"/>
        </w:rPr>
        <w:t>H</w:t>
      </w:r>
      <w:r w:rsidR="008614DC" w:rsidRPr="00857CDA">
        <w:rPr>
          <w:lang w:val="ro-RO"/>
        </w:rPr>
        <w:t>i</w:t>
      </w:r>
      <w:r w:rsidRPr="00857CDA">
        <w:rPr>
          <w:lang w:val="ro-RO"/>
        </w:rPr>
        <w:t>droperox</w:t>
      </w:r>
      <w:r w:rsidR="008614DC" w:rsidRPr="00857CDA">
        <w:rPr>
          <w:lang w:val="ro-RO"/>
        </w:rPr>
        <w:t>i</w:t>
      </w:r>
      <w:r w:rsidRPr="00857CDA">
        <w:rPr>
          <w:lang w:val="ro-RO"/>
        </w:rPr>
        <w:t>d de tert-but</w:t>
      </w:r>
      <w:r w:rsidR="008614DC" w:rsidRPr="00857CDA">
        <w:rPr>
          <w:lang w:val="ro-RO"/>
        </w:rPr>
        <w:t>i</w:t>
      </w:r>
      <w:r w:rsidRPr="00857CDA">
        <w:rPr>
          <w:lang w:val="ro-RO"/>
        </w:rPr>
        <w:t xml:space="preserve">l, </w:t>
      </w:r>
      <w:r w:rsidR="005E2BF8" w:rsidRPr="00857CDA">
        <w:rPr>
          <w:lang w:val="ro-RO"/>
        </w:rPr>
        <w:t>nu mai mult de</w:t>
      </w:r>
      <w:r w:rsidRPr="00857CDA">
        <w:rPr>
          <w:lang w:val="ro-RO"/>
        </w:rPr>
        <w:t xml:space="preserve"> 72 % </w:t>
      </w:r>
      <w:r w:rsidR="005E2BF8" w:rsidRPr="00857CDA">
        <w:rPr>
          <w:lang w:val="ro-RO"/>
        </w:rPr>
        <w:t>cu</w:t>
      </w:r>
      <w:r w:rsidR="00902C44" w:rsidRPr="00857CDA">
        <w:rPr>
          <w:lang w:val="ro-RO"/>
        </w:rPr>
        <w:t xml:space="preserve"> </w:t>
      </w:r>
      <w:r w:rsidR="008614DC" w:rsidRPr="00857CDA">
        <w:rPr>
          <w:lang w:val="ro-RO"/>
        </w:rPr>
        <w:t>apă</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un nou </w:t>
      </w:r>
      <w:r w:rsidR="005E2BF8" w:rsidRPr="00857CDA">
        <w:rPr>
          <w:lang w:val="ro-RO"/>
        </w:rPr>
        <w:t>rând</w:t>
      </w:r>
      <w:r w:rsidR="002B679C" w:rsidRPr="00857CDA">
        <w:rPr>
          <w:lang w:val="ro-RO"/>
        </w:rPr>
        <w:t>, după cum urmează</w:t>
      </w:r>
      <w:r w:rsidR="00091658" w:rsidRPr="00857CDA">
        <w:rPr>
          <w:lang w:val="ro-RO"/>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2"/>
        <w:gridCol w:w="1843"/>
        <w:gridCol w:w="1843"/>
        <w:gridCol w:w="1843"/>
      </w:tblGrid>
      <w:tr w:rsidR="005E2BF8" w:rsidRPr="00857CDA" w:rsidTr="00663AE7">
        <w:tc>
          <w:tcPr>
            <w:tcW w:w="1842"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Tip de RMV</w:t>
            </w:r>
          </w:p>
        </w:tc>
        <w:tc>
          <w:tcPr>
            <w:tcW w:w="1843"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180" w:lineRule="exact"/>
              <w:jc w:val="center"/>
              <w:rPr>
                <w:b/>
                <w:w w:val="90"/>
                <w:lang w:val="ro-RO" w:eastAsia="ro-RO"/>
              </w:rPr>
            </w:pPr>
            <w:r w:rsidRPr="00857CDA">
              <w:rPr>
                <w:b/>
                <w:w w:val="90"/>
                <w:lang w:val="ro-RO" w:eastAsia="ro-RO"/>
              </w:rPr>
              <w:t>Cantitate maximă (litri/kg)</w:t>
            </w:r>
          </w:p>
        </w:tc>
        <w:tc>
          <w:tcPr>
            <w:tcW w:w="1843"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Temperatură de reglare</w:t>
            </w:r>
          </w:p>
        </w:tc>
        <w:tc>
          <w:tcPr>
            <w:tcW w:w="1843"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Temperatură critică</w:t>
            </w:r>
          </w:p>
        </w:tc>
      </w:tr>
      <w:tr w:rsidR="00A074FC" w:rsidRPr="00857CDA" w:rsidTr="006201FD">
        <w:tc>
          <w:tcPr>
            <w:tcW w:w="1842" w:type="dxa"/>
            <w:tcBorders>
              <w:bottom w:val="single" w:sz="12" w:space="0" w:color="auto"/>
            </w:tcBorders>
            <w:shd w:val="clear" w:color="auto" w:fill="auto"/>
          </w:tcPr>
          <w:p w:rsidR="00196C06" w:rsidRPr="00857CDA" w:rsidRDefault="00196C06" w:rsidP="005E2BF8">
            <w:pPr>
              <w:spacing w:before="40" w:after="120"/>
              <w:ind w:right="113"/>
              <w:jc w:val="center"/>
              <w:rPr>
                <w:sz w:val="18"/>
                <w:szCs w:val="18"/>
                <w:lang w:val="ro-RO"/>
              </w:rPr>
            </w:pPr>
            <w:r w:rsidRPr="00857CDA">
              <w:rPr>
                <w:sz w:val="18"/>
                <w:szCs w:val="18"/>
                <w:lang w:val="ro-RO"/>
              </w:rPr>
              <w:t>31HA1</w:t>
            </w:r>
          </w:p>
        </w:tc>
        <w:tc>
          <w:tcPr>
            <w:tcW w:w="1843" w:type="dxa"/>
            <w:tcBorders>
              <w:bottom w:val="single" w:sz="12" w:space="0" w:color="auto"/>
            </w:tcBorders>
            <w:shd w:val="clear" w:color="auto" w:fill="auto"/>
          </w:tcPr>
          <w:p w:rsidR="00196C06" w:rsidRPr="00857CDA" w:rsidRDefault="00DA1F3D" w:rsidP="005E2BF8">
            <w:pPr>
              <w:spacing w:before="40" w:after="120"/>
              <w:ind w:right="113"/>
              <w:jc w:val="center"/>
              <w:rPr>
                <w:sz w:val="18"/>
                <w:szCs w:val="18"/>
                <w:lang w:val="ro-RO"/>
              </w:rPr>
            </w:pPr>
            <w:r>
              <w:rPr>
                <w:sz w:val="18"/>
                <w:szCs w:val="18"/>
                <w:lang w:val="ro-RO"/>
              </w:rPr>
              <w:t>1</w:t>
            </w:r>
            <w:r w:rsidR="00196C06" w:rsidRPr="00857CDA">
              <w:rPr>
                <w:sz w:val="18"/>
                <w:szCs w:val="18"/>
                <w:lang w:val="ro-RO"/>
              </w:rPr>
              <w:t>000</w:t>
            </w:r>
          </w:p>
        </w:tc>
        <w:tc>
          <w:tcPr>
            <w:tcW w:w="1843" w:type="dxa"/>
            <w:tcBorders>
              <w:bottom w:val="single" w:sz="12" w:space="0" w:color="auto"/>
            </w:tcBorders>
            <w:shd w:val="clear" w:color="auto" w:fill="auto"/>
          </w:tcPr>
          <w:p w:rsidR="00196C06" w:rsidRPr="00857CDA" w:rsidRDefault="00196C06" w:rsidP="005E2BF8">
            <w:pPr>
              <w:spacing w:before="40" w:after="120"/>
              <w:ind w:right="113"/>
              <w:jc w:val="center"/>
              <w:rPr>
                <w:sz w:val="18"/>
                <w:szCs w:val="18"/>
                <w:lang w:val="ro-RO"/>
              </w:rPr>
            </w:pPr>
          </w:p>
        </w:tc>
        <w:tc>
          <w:tcPr>
            <w:tcW w:w="1843" w:type="dxa"/>
            <w:tcBorders>
              <w:bottom w:val="single" w:sz="12" w:space="0" w:color="auto"/>
            </w:tcBorders>
            <w:shd w:val="clear" w:color="auto" w:fill="auto"/>
          </w:tcPr>
          <w:p w:rsidR="00196C06" w:rsidRPr="00857CDA" w:rsidRDefault="00196C06" w:rsidP="005E2BF8">
            <w:pPr>
              <w:spacing w:before="40" w:after="120"/>
              <w:ind w:right="113"/>
              <w:jc w:val="center"/>
              <w:rPr>
                <w:sz w:val="18"/>
                <w:szCs w:val="18"/>
                <w:lang w:val="ro-RO"/>
              </w:rPr>
            </w:pPr>
          </w:p>
        </w:tc>
      </w:tr>
    </w:tbl>
    <w:p w:rsidR="00196C06" w:rsidRPr="00857CDA" w:rsidRDefault="00196C06" w:rsidP="00196C06">
      <w:pPr>
        <w:pStyle w:val="SingleTxtG"/>
        <w:spacing w:before="120"/>
        <w:rPr>
          <w:lang w:val="ro-RO"/>
        </w:rPr>
      </w:pPr>
      <w:r w:rsidRPr="00857CDA">
        <w:rPr>
          <w:lang w:val="ro-RO"/>
        </w:rPr>
        <w:t xml:space="preserve">4.1.4.2, </w:t>
      </w:r>
      <w:r w:rsidR="006A1ED1" w:rsidRPr="00857CDA">
        <w:rPr>
          <w:lang w:val="ro-RO"/>
        </w:rPr>
        <w:t>instrucțiunea de ambalare</w:t>
      </w:r>
      <w:r w:rsidR="001A6331" w:rsidRPr="00857CDA">
        <w:rPr>
          <w:lang w:val="ro-RO"/>
        </w:rPr>
        <w:t xml:space="preserve"> IBC520</w:t>
      </w:r>
      <w:r w:rsidRPr="00857CDA">
        <w:rPr>
          <w:lang w:val="ro-RO"/>
        </w:rPr>
        <w:tab/>
      </w:r>
      <w:r w:rsidR="005E2BF8" w:rsidRPr="00857CDA">
        <w:rPr>
          <w:lang w:val="ro-RO"/>
        </w:rPr>
        <w:t xml:space="preserve"> s</w:t>
      </w:r>
      <w:r w:rsidR="00772306" w:rsidRPr="00857CDA">
        <w:rPr>
          <w:lang w:val="ro-RO"/>
        </w:rPr>
        <w:t>e introduc</w:t>
      </w:r>
      <w:r w:rsidRPr="00857CDA">
        <w:rPr>
          <w:lang w:val="ro-RO"/>
        </w:rPr>
        <w:t xml:space="preserve"> </w:t>
      </w:r>
      <w:r w:rsidR="006A1ED1" w:rsidRPr="00857CDA">
        <w:rPr>
          <w:lang w:val="ro-RO"/>
        </w:rPr>
        <w:t>noi</w:t>
      </w:r>
      <w:r w:rsidRPr="00857CDA">
        <w:rPr>
          <w:lang w:val="ro-RO"/>
        </w:rPr>
        <w:t xml:space="preserve"> rubri</w:t>
      </w:r>
      <w:r w:rsidR="005E2BF8" w:rsidRPr="00857CDA">
        <w:rPr>
          <w:lang w:val="ro-RO"/>
        </w:rPr>
        <w:t>ci, după cum urmează</w:t>
      </w:r>
      <w:r w:rsidRPr="00857CDA">
        <w:rPr>
          <w:lang w:val="ro-RO"/>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5E2BF8" w:rsidRPr="00857CDA" w:rsidTr="00663AE7">
        <w:trPr>
          <w:cantSplit/>
          <w:tblHeader/>
        </w:trPr>
        <w:tc>
          <w:tcPr>
            <w:tcW w:w="800"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Nr. ONU</w:t>
            </w:r>
          </w:p>
        </w:tc>
        <w:tc>
          <w:tcPr>
            <w:tcW w:w="2412"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Peroxid organic</w:t>
            </w:r>
          </w:p>
        </w:tc>
        <w:tc>
          <w:tcPr>
            <w:tcW w:w="1606"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Tip de RMV</w:t>
            </w:r>
          </w:p>
        </w:tc>
        <w:tc>
          <w:tcPr>
            <w:tcW w:w="1607"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180" w:lineRule="exact"/>
              <w:jc w:val="center"/>
              <w:rPr>
                <w:b/>
                <w:w w:val="90"/>
                <w:lang w:val="ro-RO" w:eastAsia="ro-RO"/>
              </w:rPr>
            </w:pPr>
            <w:r w:rsidRPr="00857CDA">
              <w:rPr>
                <w:b/>
                <w:w w:val="90"/>
                <w:lang w:val="ro-RO" w:eastAsia="ro-RO"/>
              </w:rPr>
              <w:t>Cantitate maximă (litri/kg)</w:t>
            </w:r>
          </w:p>
        </w:tc>
        <w:tc>
          <w:tcPr>
            <w:tcW w:w="1607"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Temperatură de reglare</w:t>
            </w:r>
          </w:p>
        </w:tc>
        <w:tc>
          <w:tcPr>
            <w:tcW w:w="1607" w:type="dxa"/>
            <w:tcBorders>
              <w:top w:val="single" w:sz="4" w:space="0" w:color="auto"/>
              <w:bottom w:val="single" w:sz="12" w:space="0" w:color="auto"/>
            </w:tcBorders>
            <w:shd w:val="clear" w:color="auto" w:fill="auto"/>
            <w:vAlign w:val="center"/>
          </w:tcPr>
          <w:p w:rsidR="005E2BF8" w:rsidRPr="00857CDA" w:rsidRDefault="005E2BF8" w:rsidP="00663AE7">
            <w:pPr>
              <w:suppressLineNumbers/>
              <w:tabs>
                <w:tab w:val="left" w:pos="-3261"/>
                <w:tab w:val="left" w:pos="-2835"/>
              </w:tabs>
              <w:spacing w:line="240" w:lineRule="auto"/>
              <w:jc w:val="center"/>
              <w:rPr>
                <w:b/>
                <w:lang w:val="ro-RO" w:eastAsia="ro-RO"/>
              </w:rPr>
            </w:pPr>
            <w:r w:rsidRPr="00857CDA">
              <w:rPr>
                <w:b/>
                <w:lang w:val="ro-RO" w:eastAsia="ro-RO"/>
              </w:rPr>
              <w:t>Temperatură critică</w:t>
            </w:r>
          </w:p>
        </w:tc>
      </w:tr>
      <w:tr w:rsidR="00A074FC" w:rsidRPr="00857CDA" w:rsidTr="005E2BF8">
        <w:trPr>
          <w:trHeight w:val="785"/>
        </w:trPr>
        <w:tc>
          <w:tcPr>
            <w:tcW w:w="800" w:type="dxa"/>
            <w:tcBorders>
              <w:top w:val="single" w:sz="12" w:space="0" w:color="auto"/>
            </w:tcBorders>
            <w:shd w:val="clear" w:color="auto" w:fill="auto"/>
          </w:tcPr>
          <w:p w:rsidR="00196C06" w:rsidRPr="00857CDA" w:rsidRDefault="00196C06" w:rsidP="005E2BF8">
            <w:pPr>
              <w:spacing w:before="40" w:after="120"/>
              <w:ind w:right="113"/>
              <w:jc w:val="center"/>
              <w:rPr>
                <w:sz w:val="18"/>
                <w:szCs w:val="18"/>
                <w:lang w:val="ro-RO"/>
              </w:rPr>
            </w:pPr>
            <w:r w:rsidRPr="00857CDA">
              <w:rPr>
                <w:sz w:val="18"/>
                <w:szCs w:val="18"/>
                <w:lang w:val="ro-RO"/>
              </w:rPr>
              <w:t>3109</w:t>
            </w:r>
          </w:p>
        </w:tc>
        <w:tc>
          <w:tcPr>
            <w:tcW w:w="2412" w:type="dxa"/>
            <w:tcBorders>
              <w:top w:val="single" w:sz="12" w:space="0" w:color="auto"/>
            </w:tcBorders>
            <w:shd w:val="clear" w:color="auto" w:fill="auto"/>
          </w:tcPr>
          <w:p w:rsidR="00196C06" w:rsidRPr="00857CDA" w:rsidRDefault="00196C06" w:rsidP="005E2BF8">
            <w:pPr>
              <w:tabs>
                <w:tab w:val="left" w:pos="288"/>
                <w:tab w:val="left" w:pos="576"/>
                <w:tab w:val="left" w:pos="864"/>
                <w:tab w:val="left" w:pos="1152"/>
              </w:tabs>
              <w:spacing w:before="40" w:after="120"/>
              <w:ind w:left="144" w:right="43"/>
              <w:rPr>
                <w:lang w:val="ro-RO"/>
              </w:rPr>
            </w:pPr>
            <w:r w:rsidRPr="00857CDA">
              <w:rPr>
                <w:lang w:val="ro-RO"/>
              </w:rPr>
              <w:t>Dim</w:t>
            </w:r>
            <w:r w:rsidR="005E2BF8" w:rsidRPr="00857CDA">
              <w:rPr>
                <w:lang w:val="ro-RO"/>
              </w:rPr>
              <w:t>e</w:t>
            </w:r>
            <w:r w:rsidRPr="00857CDA">
              <w:rPr>
                <w:lang w:val="ro-RO"/>
              </w:rPr>
              <w:t>t</w:t>
            </w:r>
            <w:r w:rsidR="005E2BF8" w:rsidRPr="00857CDA">
              <w:rPr>
                <w:lang w:val="ro-RO"/>
              </w:rPr>
              <w:t>i</w:t>
            </w:r>
            <w:r w:rsidRPr="00857CDA">
              <w:rPr>
                <w:lang w:val="ro-RO"/>
              </w:rPr>
              <w:t>l-2,5-bis (tert-but</w:t>
            </w:r>
            <w:r w:rsidR="005E2BF8" w:rsidRPr="00857CDA">
              <w:rPr>
                <w:lang w:val="ro-RO"/>
              </w:rPr>
              <w:t>i</w:t>
            </w:r>
            <w:r w:rsidRPr="00857CDA">
              <w:rPr>
                <w:lang w:val="ro-RO"/>
              </w:rPr>
              <w:t>lperox</w:t>
            </w:r>
            <w:r w:rsidR="005E2BF8" w:rsidRPr="00857CDA">
              <w:rPr>
                <w:lang w:val="ro-RO"/>
              </w:rPr>
              <w:t>i</w:t>
            </w:r>
            <w:r w:rsidRPr="00857CDA">
              <w:rPr>
                <w:lang w:val="ro-RO"/>
              </w:rPr>
              <w:t xml:space="preserve">)-2,5 hexan, </w:t>
            </w:r>
            <w:r w:rsidR="005E2BF8" w:rsidRPr="00857CDA">
              <w:rPr>
                <w:lang w:val="ro-RO"/>
              </w:rPr>
              <w:t>nu mai mult de</w:t>
            </w:r>
            <w:r w:rsidRPr="00857CDA">
              <w:rPr>
                <w:lang w:val="ro-RO"/>
              </w:rPr>
              <w:t xml:space="preserve"> 52 % </w:t>
            </w:r>
            <w:r w:rsidR="005E2BF8" w:rsidRPr="00857CDA">
              <w:rPr>
                <w:lang w:val="ro-RO"/>
              </w:rPr>
              <w:t>cu</w:t>
            </w:r>
            <w:r w:rsidR="00902C44" w:rsidRPr="00857CDA">
              <w:rPr>
                <w:lang w:val="ro-RO"/>
              </w:rPr>
              <w:t xml:space="preserve"> </w:t>
            </w:r>
            <w:r w:rsidRPr="00857CDA">
              <w:rPr>
                <w:lang w:val="ro-RO"/>
              </w:rPr>
              <w:t>un diluant de t</w:t>
            </w:r>
            <w:r w:rsidR="005E2BF8" w:rsidRPr="00857CDA">
              <w:rPr>
                <w:lang w:val="ro-RO"/>
              </w:rPr>
              <w:t>i</w:t>
            </w:r>
            <w:r w:rsidRPr="00857CDA">
              <w:rPr>
                <w:lang w:val="ro-RO"/>
              </w:rPr>
              <w:t>p A</w:t>
            </w:r>
          </w:p>
        </w:tc>
        <w:tc>
          <w:tcPr>
            <w:tcW w:w="1606" w:type="dxa"/>
            <w:tcBorders>
              <w:top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31HA1</w:t>
            </w:r>
          </w:p>
        </w:tc>
        <w:tc>
          <w:tcPr>
            <w:tcW w:w="1607" w:type="dxa"/>
            <w:tcBorders>
              <w:top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1000</w:t>
            </w:r>
          </w:p>
        </w:tc>
        <w:tc>
          <w:tcPr>
            <w:tcW w:w="1607" w:type="dxa"/>
            <w:tcBorders>
              <w:top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p>
        </w:tc>
        <w:tc>
          <w:tcPr>
            <w:tcW w:w="1607" w:type="dxa"/>
            <w:tcBorders>
              <w:top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p>
        </w:tc>
      </w:tr>
      <w:tr w:rsidR="00A074FC" w:rsidRPr="00857CDA" w:rsidTr="006201FD">
        <w:tc>
          <w:tcPr>
            <w:tcW w:w="800" w:type="dxa"/>
            <w:shd w:val="clear" w:color="auto" w:fill="auto"/>
          </w:tcPr>
          <w:p w:rsidR="00196C06" w:rsidRPr="00857CDA" w:rsidRDefault="00196C06" w:rsidP="005E2BF8">
            <w:pPr>
              <w:spacing w:before="40" w:after="120"/>
              <w:ind w:right="113"/>
              <w:jc w:val="center"/>
              <w:rPr>
                <w:sz w:val="18"/>
                <w:szCs w:val="18"/>
                <w:lang w:val="ro-RO"/>
              </w:rPr>
            </w:pPr>
            <w:r w:rsidRPr="00857CDA">
              <w:rPr>
                <w:sz w:val="18"/>
                <w:szCs w:val="18"/>
                <w:lang w:val="ro-RO"/>
              </w:rPr>
              <w:t>3109</w:t>
            </w:r>
          </w:p>
        </w:tc>
        <w:tc>
          <w:tcPr>
            <w:tcW w:w="2412" w:type="dxa"/>
            <w:shd w:val="clear" w:color="auto" w:fill="auto"/>
          </w:tcPr>
          <w:p w:rsidR="00196C06" w:rsidRPr="00857CDA" w:rsidRDefault="00196C06" w:rsidP="005E2BF8">
            <w:pPr>
              <w:tabs>
                <w:tab w:val="left" w:pos="288"/>
                <w:tab w:val="left" w:pos="576"/>
                <w:tab w:val="left" w:pos="864"/>
                <w:tab w:val="left" w:pos="1152"/>
              </w:tabs>
              <w:spacing w:before="40" w:after="120"/>
              <w:ind w:left="144" w:right="43"/>
              <w:rPr>
                <w:lang w:val="ro-RO"/>
              </w:rPr>
            </w:pPr>
            <w:r w:rsidRPr="00857CDA">
              <w:rPr>
                <w:lang w:val="ro-RO"/>
              </w:rPr>
              <w:t>Tri</w:t>
            </w:r>
            <w:r w:rsidR="005E2BF8" w:rsidRPr="00857CDA">
              <w:rPr>
                <w:lang w:val="ro-RO"/>
              </w:rPr>
              <w:t>e</w:t>
            </w:r>
            <w:r w:rsidRPr="00857CDA">
              <w:rPr>
                <w:lang w:val="ro-RO"/>
              </w:rPr>
              <w:t>t</w:t>
            </w:r>
            <w:r w:rsidR="005E2BF8" w:rsidRPr="00857CDA">
              <w:rPr>
                <w:lang w:val="ro-RO"/>
              </w:rPr>
              <w:t>i</w:t>
            </w:r>
            <w:r w:rsidRPr="00857CDA">
              <w:rPr>
                <w:lang w:val="ro-RO"/>
              </w:rPr>
              <w:t>l-3,6,9 trim</w:t>
            </w:r>
            <w:r w:rsidR="005E2BF8" w:rsidRPr="00857CDA">
              <w:rPr>
                <w:lang w:val="ro-RO"/>
              </w:rPr>
              <w:t>e</w:t>
            </w:r>
            <w:r w:rsidRPr="00857CDA">
              <w:rPr>
                <w:lang w:val="ro-RO"/>
              </w:rPr>
              <w:t>t</w:t>
            </w:r>
            <w:r w:rsidR="005E2BF8" w:rsidRPr="00857CDA">
              <w:rPr>
                <w:lang w:val="ro-RO"/>
              </w:rPr>
              <w:t>i</w:t>
            </w:r>
            <w:r w:rsidRPr="00857CDA">
              <w:rPr>
                <w:lang w:val="ro-RO"/>
              </w:rPr>
              <w:t>l-3,6,9 triperoxonan-1,4,7</w:t>
            </w:r>
            <w:r w:rsidR="005E2BF8" w:rsidRPr="00857CDA">
              <w:rPr>
                <w:lang w:val="ro-RO"/>
              </w:rPr>
              <w:t>,</w:t>
            </w:r>
            <w:r w:rsidRPr="00857CDA">
              <w:rPr>
                <w:lang w:val="ro-RO"/>
              </w:rPr>
              <w:t xml:space="preserve"> </w:t>
            </w:r>
            <w:r w:rsidR="005E2BF8" w:rsidRPr="00857CDA">
              <w:rPr>
                <w:lang w:val="ro-RO"/>
              </w:rPr>
              <w:t>nu mai mult de</w:t>
            </w:r>
            <w:r w:rsidRPr="00857CDA">
              <w:rPr>
                <w:lang w:val="ro-RO"/>
              </w:rPr>
              <w:t xml:space="preserve"> 27 % </w:t>
            </w:r>
            <w:r w:rsidR="005E2BF8" w:rsidRPr="00857CDA">
              <w:rPr>
                <w:lang w:val="ro-RO"/>
              </w:rPr>
              <w:t>cu</w:t>
            </w:r>
            <w:r w:rsidR="00902C44" w:rsidRPr="00857CDA">
              <w:rPr>
                <w:lang w:val="ro-RO"/>
              </w:rPr>
              <w:t xml:space="preserve"> </w:t>
            </w:r>
            <w:r w:rsidRPr="00857CDA">
              <w:rPr>
                <w:lang w:val="ro-RO"/>
              </w:rPr>
              <w:t>un diluant de t</w:t>
            </w:r>
            <w:r w:rsidR="005E2BF8" w:rsidRPr="00857CDA">
              <w:rPr>
                <w:lang w:val="ro-RO"/>
              </w:rPr>
              <w:t>i</w:t>
            </w:r>
            <w:r w:rsidRPr="00857CDA">
              <w:rPr>
                <w:lang w:val="ro-RO"/>
              </w:rPr>
              <w:t>p A</w:t>
            </w:r>
          </w:p>
        </w:tc>
        <w:tc>
          <w:tcPr>
            <w:tcW w:w="1606" w:type="dxa"/>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31HA1</w:t>
            </w:r>
          </w:p>
        </w:tc>
        <w:tc>
          <w:tcPr>
            <w:tcW w:w="1607" w:type="dxa"/>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1000</w:t>
            </w:r>
          </w:p>
        </w:tc>
        <w:tc>
          <w:tcPr>
            <w:tcW w:w="1607" w:type="dxa"/>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p>
        </w:tc>
        <w:tc>
          <w:tcPr>
            <w:tcW w:w="1607" w:type="dxa"/>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p>
        </w:tc>
      </w:tr>
      <w:tr w:rsidR="00A074FC" w:rsidRPr="00857CDA" w:rsidTr="006201FD">
        <w:tc>
          <w:tcPr>
            <w:tcW w:w="800" w:type="dxa"/>
            <w:tcBorders>
              <w:bottom w:val="single" w:sz="12" w:space="0" w:color="auto"/>
            </w:tcBorders>
            <w:shd w:val="clear" w:color="auto" w:fill="auto"/>
          </w:tcPr>
          <w:p w:rsidR="00196C06" w:rsidRPr="00857CDA" w:rsidRDefault="00196C06" w:rsidP="005E2BF8">
            <w:pPr>
              <w:spacing w:before="40" w:after="120"/>
              <w:ind w:right="113"/>
              <w:jc w:val="center"/>
              <w:rPr>
                <w:sz w:val="18"/>
                <w:szCs w:val="18"/>
                <w:lang w:val="ro-RO"/>
              </w:rPr>
            </w:pPr>
            <w:r w:rsidRPr="00857CDA">
              <w:rPr>
                <w:sz w:val="18"/>
                <w:szCs w:val="18"/>
                <w:lang w:val="ro-RO"/>
              </w:rPr>
              <w:t>3119</w:t>
            </w:r>
          </w:p>
        </w:tc>
        <w:tc>
          <w:tcPr>
            <w:tcW w:w="2412" w:type="dxa"/>
            <w:tcBorders>
              <w:bottom w:val="single" w:sz="12" w:space="0" w:color="auto"/>
            </w:tcBorders>
            <w:shd w:val="clear" w:color="auto" w:fill="auto"/>
          </w:tcPr>
          <w:p w:rsidR="00196C06" w:rsidRPr="00857CDA" w:rsidRDefault="00196C06" w:rsidP="005E2BF8">
            <w:pPr>
              <w:tabs>
                <w:tab w:val="left" w:pos="288"/>
                <w:tab w:val="left" w:pos="576"/>
                <w:tab w:val="left" w:pos="864"/>
                <w:tab w:val="left" w:pos="1152"/>
              </w:tabs>
              <w:spacing w:before="40" w:after="120"/>
              <w:ind w:left="144" w:right="43"/>
              <w:rPr>
                <w:lang w:val="ro-RO"/>
              </w:rPr>
            </w:pPr>
            <w:r w:rsidRPr="00857CDA">
              <w:rPr>
                <w:lang w:val="ro-RO"/>
              </w:rPr>
              <w:t>Et</w:t>
            </w:r>
            <w:r w:rsidR="005E2BF8" w:rsidRPr="00857CDA">
              <w:rPr>
                <w:lang w:val="ro-RO"/>
              </w:rPr>
              <w:t>i</w:t>
            </w:r>
            <w:r w:rsidRPr="00857CDA">
              <w:rPr>
                <w:lang w:val="ro-RO"/>
              </w:rPr>
              <w:t>l-2 perox</w:t>
            </w:r>
            <w:r w:rsidR="005E2BF8" w:rsidRPr="00857CDA">
              <w:rPr>
                <w:lang w:val="ro-RO"/>
              </w:rPr>
              <w:t>i</w:t>
            </w:r>
            <w:r w:rsidRPr="00857CDA">
              <w:rPr>
                <w:lang w:val="ro-RO"/>
              </w:rPr>
              <w:t>hexanoat de ter</w:t>
            </w:r>
            <w:r w:rsidR="005E2BF8" w:rsidRPr="00857CDA">
              <w:rPr>
                <w:lang w:val="ro-RO"/>
              </w:rPr>
              <w:t>ț</w:t>
            </w:r>
            <w:r w:rsidRPr="00857CDA">
              <w:rPr>
                <w:lang w:val="ro-RO"/>
              </w:rPr>
              <w:t>-am</w:t>
            </w:r>
            <w:r w:rsidR="005E2BF8" w:rsidRPr="00857CDA">
              <w:rPr>
                <w:lang w:val="ro-RO"/>
              </w:rPr>
              <w:t>i</w:t>
            </w:r>
            <w:r w:rsidRPr="00857CDA">
              <w:rPr>
                <w:lang w:val="ro-RO"/>
              </w:rPr>
              <w:t xml:space="preserve">l, </w:t>
            </w:r>
            <w:r w:rsidR="005E2BF8" w:rsidRPr="00857CDA">
              <w:rPr>
                <w:lang w:val="ro-RO"/>
              </w:rPr>
              <w:t>nu mai mult de 6</w:t>
            </w:r>
            <w:r w:rsidRPr="00857CDA">
              <w:rPr>
                <w:lang w:val="ro-RO"/>
              </w:rPr>
              <w:t xml:space="preserve">2 % </w:t>
            </w:r>
            <w:r w:rsidR="005E2BF8" w:rsidRPr="00857CDA">
              <w:rPr>
                <w:lang w:val="ro-RO"/>
              </w:rPr>
              <w:t>cu</w:t>
            </w:r>
            <w:r w:rsidR="00902C44" w:rsidRPr="00857CDA">
              <w:rPr>
                <w:lang w:val="ro-RO"/>
              </w:rPr>
              <w:t xml:space="preserve"> </w:t>
            </w:r>
            <w:r w:rsidRPr="00857CDA">
              <w:rPr>
                <w:lang w:val="ro-RO"/>
              </w:rPr>
              <w:t>un diluant d</w:t>
            </w:r>
            <w:r w:rsidR="005E2BF8" w:rsidRPr="00857CDA">
              <w:rPr>
                <w:lang w:val="ro-RO"/>
              </w:rPr>
              <w:t>e</w:t>
            </w:r>
            <w:r w:rsidRPr="00857CDA">
              <w:rPr>
                <w:lang w:val="ro-RO"/>
              </w:rPr>
              <w:t xml:space="preserve"> t</w:t>
            </w:r>
            <w:r w:rsidR="005E2BF8" w:rsidRPr="00857CDA">
              <w:rPr>
                <w:lang w:val="ro-RO"/>
              </w:rPr>
              <w:t>i</w:t>
            </w:r>
            <w:r w:rsidRPr="00857CDA">
              <w:rPr>
                <w:lang w:val="ro-RO"/>
              </w:rPr>
              <w:t>p A</w:t>
            </w:r>
          </w:p>
        </w:tc>
        <w:tc>
          <w:tcPr>
            <w:tcW w:w="1606" w:type="dxa"/>
            <w:tcBorders>
              <w:bottom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31HA1</w:t>
            </w:r>
          </w:p>
        </w:tc>
        <w:tc>
          <w:tcPr>
            <w:tcW w:w="1607" w:type="dxa"/>
            <w:tcBorders>
              <w:bottom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1000</w:t>
            </w:r>
          </w:p>
        </w:tc>
        <w:tc>
          <w:tcPr>
            <w:tcW w:w="1607" w:type="dxa"/>
            <w:tcBorders>
              <w:bottom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+15 </w:t>
            </w:r>
            <w:r w:rsidR="002D378C" w:rsidRPr="00857CDA">
              <w:rPr>
                <w:lang w:val="ro-RO"/>
              </w:rPr>
              <w:t>°</w:t>
            </w:r>
            <w:r w:rsidRPr="00857CDA">
              <w:rPr>
                <w:lang w:val="ro-RO"/>
              </w:rPr>
              <w:t>C</w:t>
            </w:r>
          </w:p>
        </w:tc>
        <w:tc>
          <w:tcPr>
            <w:tcW w:w="1607" w:type="dxa"/>
            <w:tcBorders>
              <w:bottom w:val="single" w:sz="12" w:space="0" w:color="auto"/>
            </w:tcBorders>
            <w:shd w:val="clear" w:color="auto" w:fill="auto"/>
          </w:tcPr>
          <w:p w:rsidR="00196C06" w:rsidRPr="00857CDA" w:rsidRDefault="00196C06" w:rsidP="006201FD">
            <w:pPr>
              <w:tabs>
                <w:tab w:val="left" w:pos="288"/>
                <w:tab w:val="left" w:pos="576"/>
                <w:tab w:val="left" w:pos="864"/>
                <w:tab w:val="left" w:pos="1152"/>
              </w:tabs>
              <w:spacing w:before="40" w:after="120"/>
              <w:ind w:left="144" w:right="43"/>
              <w:jc w:val="center"/>
              <w:rPr>
                <w:lang w:val="ro-RO"/>
              </w:rPr>
            </w:pPr>
            <w:r w:rsidRPr="00857CDA">
              <w:rPr>
                <w:lang w:val="ro-RO"/>
              </w:rPr>
              <w:t>+20 </w:t>
            </w:r>
            <w:r w:rsidR="002D378C" w:rsidRPr="00857CDA">
              <w:rPr>
                <w:lang w:val="ro-RO"/>
              </w:rPr>
              <w:t>°</w:t>
            </w:r>
            <w:r w:rsidRPr="00857CDA">
              <w:rPr>
                <w:lang w:val="ro-RO"/>
              </w:rPr>
              <w:t>C</w:t>
            </w:r>
          </w:p>
        </w:tc>
      </w:tr>
    </w:tbl>
    <w:p w:rsidR="00196C06" w:rsidRPr="00857CDA" w:rsidRDefault="00196C06" w:rsidP="00196C06">
      <w:pPr>
        <w:pStyle w:val="SingleTxtG"/>
        <w:spacing w:before="120"/>
        <w:rPr>
          <w:lang w:val="ro-RO"/>
        </w:rPr>
      </w:pPr>
      <w:r w:rsidRPr="00857CDA">
        <w:rPr>
          <w:lang w:val="ro-RO"/>
        </w:rPr>
        <w:lastRenderedPageBreak/>
        <w:t>4.1.4.3</w:t>
      </w:r>
      <w:r w:rsidRPr="00857CDA">
        <w:rPr>
          <w:lang w:val="ro-RO"/>
        </w:rPr>
        <w:tab/>
        <w:t xml:space="preserve">, </w:t>
      </w:r>
      <w:r w:rsidR="006A1ED1" w:rsidRPr="00857CDA">
        <w:rPr>
          <w:lang w:val="ro-RO"/>
        </w:rPr>
        <w:t>instrucțiunea de ambalare</w:t>
      </w:r>
      <w:r w:rsidRPr="00857CDA">
        <w:rPr>
          <w:lang w:val="ro-RO"/>
        </w:rPr>
        <w:t xml:space="preserve"> LP902</w:t>
      </w:r>
      <w:r w:rsidRPr="00857CDA">
        <w:rPr>
          <w:lang w:val="ro-RO"/>
        </w:rPr>
        <w:tab/>
      </w:r>
      <w:r w:rsidR="00342381" w:rsidRPr="00857CDA">
        <w:rPr>
          <w:lang w:val="ro-RO"/>
        </w:rPr>
        <w:t>după</w:t>
      </w:r>
      <w:r w:rsidRPr="00857CDA">
        <w:rPr>
          <w:lang w:val="ro-RO"/>
        </w:rPr>
        <w:t xml:space="preserve"> </w:t>
      </w:r>
      <w:r w:rsidR="00256E1C" w:rsidRPr="00857CDA">
        <w:rPr>
          <w:lang w:val="ro-RO"/>
        </w:rPr>
        <w:t>„</w:t>
      </w:r>
      <w:r w:rsidRPr="00857CDA">
        <w:rPr>
          <w:lang w:val="ro-RO"/>
        </w:rPr>
        <w:t>Ob</w:t>
      </w:r>
      <w:r w:rsidR="00342381" w:rsidRPr="00857CDA">
        <w:rPr>
          <w:lang w:val="ro-RO"/>
        </w:rPr>
        <w:t>iecte</w:t>
      </w:r>
      <w:r w:rsidRPr="00857CDA">
        <w:rPr>
          <w:lang w:val="ro-RO"/>
        </w:rPr>
        <w:t xml:space="preserve"> </w:t>
      </w:r>
      <w:r w:rsidR="00342381" w:rsidRPr="00857CDA">
        <w:rPr>
          <w:lang w:val="ro-RO"/>
        </w:rPr>
        <w:t>ambalate</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256E1C" w:rsidRPr="00857CDA">
        <w:rPr>
          <w:lang w:val="ro-RO"/>
        </w:rPr>
        <w:t>„</w:t>
      </w:r>
      <w:r w:rsidR="00342381" w:rsidRPr="00857CDA">
        <w:rPr>
          <w:lang w:val="ro-RO"/>
        </w:rPr>
        <w:t>Ambalajele trebuie să fie conforme nivelului de încercare al grupei de ambalare III</w:t>
      </w:r>
      <w:r w:rsidRPr="00857CDA">
        <w:rPr>
          <w:lang w:val="ro-RO"/>
        </w:rPr>
        <w:t>.</w:t>
      </w:r>
      <w:r w:rsidR="00660131" w:rsidRPr="00857CDA">
        <w:rPr>
          <w:lang w:val="ro-RO"/>
        </w:rPr>
        <w:t>”</w:t>
      </w:r>
      <w:r w:rsidR="00902C44" w:rsidRPr="00857CDA">
        <w:rPr>
          <w:lang w:val="ro-RO"/>
        </w:rPr>
        <w:t xml:space="preserve"> cu</w:t>
      </w:r>
      <w:r w:rsidR="00091658" w:rsidRPr="00857CDA">
        <w:rPr>
          <w:lang w:val="ro-RO"/>
        </w:rPr>
        <w:t>:</w:t>
      </w:r>
    </w:p>
    <w:p w:rsidR="00196C06" w:rsidRPr="00857CDA" w:rsidRDefault="00256E1C" w:rsidP="00196C06">
      <w:pPr>
        <w:pStyle w:val="SingleTxtG"/>
        <w:spacing w:before="120"/>
        <w:rPr>
          <w:lang w:val="ro-RO"/>
        </w:rPr>
      </w:pPr>
      <w:r w:rsidRPr="00857CDA">
        <w:rPr>
          <w:lang w:val="ro-RO"/>
        </w:rPr>
        <w:t>„</w:t>
      </w:r>
      <w:r w:rsidR="00342381" w:rsidRPr="00857CDA">
        <w:rPr>
          <w:lang w:val="ro-RO"/>
        </w:rPr>
        <w:t>Ambalajele mari rigide conforme nivelului de încercare al grupei de ambalare III</w:t>
      </w:r>
      <w:r w:rsidR="00D923CA" w:rsidRPr="00857CDA">
        <w:rPr>
          <w:lang w:val="ro-RO"/>
        </w:rPr>
        <w:t xml:space="preserve">, făcute </w:t>
      </w:r>
      <w:r w:rsidR="00342381" w:rsidRPr="00857CDA">
        <w:rPr>
          <w:lang w:val="ro-RO"/>
        </w:rPr>
        <w:t>din</w:t>
      </w:r>
      <w:r w:rsidR="00091658" w:rsidRPr="00857CDA">
        <w:rPr>
          <w:lang w:val="ro-RO"/>
        </w:rPr>
        <w:t>:</w:t>
      </w:r>
      <w:r w:rsidR="00196C06" w:rsidRPr="00857CDA">
        <w:rPr>
          <w:lang w:val="ro-RO"/>
        </w:rPr>
        <w:t xml:space="preserve"> </w:t>
      </w:r>
    </w:p>
    <w:p w:rsidR="00196C06" w:rsidRPr="00857CDA" w:rsidRDefault="00313BAD" w:rsidP="00196C06">
      <w:pPr>
        <w:pStyle w:val="SingleTxtG"/>
        <w:spacing w:after="0"/>
        <w:ind w:left="1699" w:right="1138"/>
        <w:rPr>
          <w:lang w:val="ro-RO"/>
        </w:rPr>
      </w:pPr>
      <w:r w:rsidRPr="00857CDA">
        <w:rPr>
          <w:lang w:val="ro-RO"/>
        </w:rPr>
        <w:t>Oțel</w:t>
      </w:r>
      <w:r w:rsidR="00196C06" w:rsidRPr="00857CDA">
        <w:rPr>
          <w:lang w:val="ro-RO"/>
        </w:rPr>
        <w:t xml:space="preserve"> (50A)</w:t>
      </w:r>
      <w:r w:rsidR="00641080" w:rsidRPr="00857CDA">
        <w:rPr>
          <w:lang w:val="ro-RO"/>
        </w:rPr>
        <w:t>;</w:t>
      </w:r>
    </w:p>
    <w:p w:rsidR="00196C06" w:rsidRPr="00857CDA" w:rsidRDefault="00196C06" w:rsidP="00196C06">
      <w:pPr>
        <w:pStyle w:val="SingleTxtG"/>
        <w:spacing w:after="0"/>
        <w:ind w:left="1699" w:right="1138"/>
        <w:rPr>
          <w:lang w:val="ro-RO"/>
        </w:rPr>
      </w:pPr>
      <w:r w:rsidRPr="00857CDA">
        <w:rPr>
          <w:lang w:val="ro-RO"/>
        </w:rPr>
        <w:t>Aluminiu (50B)</w:t>
      </w:r>
      <w:r w:rsidR="00641080" w:rsidRPr="00857CDA">
        <w:rPr>
          <w:lang w:val="ro-RO"/>
        </w:rPr>
        <w:t>;</w:t>
      </w:r>
    </w:p>
    <w:p w:rsidR="00196C06" w:rsidRPr="00857CDA" w:rsidRDefault="00313BAD" w:rsidP="00196C06">
      <w:pPr>
        <w:pStyle w:val="SingleTxtG"/>
        <w:spacing w:after="0"/>
        <w:ind w:left="1699" w:right="1138"/>
        <w:rPr>
          <w:lang w:val="ro-RO"/>
        </w:rPr>
      </w:pPr>
      <w:r w:rsidRPr="00857CDA">
        <w:rPr>
          <w:lang w:val="ro-RO"/>
        </w:rPr>
        <w:t xml:space="preserve">Metal altul decât oţelul sau aluminiul </w:t>
      </w:r>
      <w:r w:rsidR="00196C06" w:rsidRPr="00857CDA">
        <w:rPr>
          <w:lang w:val="ro-RO"/>
        </w:rPr>
        <w:t>(50N)</w:t>
      </w:r>
      <w:r w:rsidR="00641080" w:rsidRPr="00857CDA">
        <w:rPr>
          <w:lang w:val="ro-RO"/>
        </w:rPr>
        <w:t>;</w:t>
      </w:r>
    </w:p>
    <w:p w:rsidR="00196C06" w:rsidRPr="00857CDA" w:rsidRDefault="00196C06" w:rsidP="00196C06">
      <w:pPr>
        <w:pStyle w:val="SingleTxtG"/>
        <w:spacing w:after="0"/>
        <w:ind w:left="1699" w:right="1138"/>
        <w:rPr>
          <w:lang w:val="ro-RO"/>
        </w:rPr>
      </w:pPr>
      <w:r w:rsidRPr="00857CDA">
        <w:rPr>
          <w:lang w:val="ro-RO"/>
        </w:rPr>
        <w:t>Plasti</w:t>
      </w:r>
      <w:r w:rsidR="00313BAD" w:rsidRPr="00857CDA">
        <w:rPr>
          <w:lang w:val="ro-RO"/>
        </w:rPr>
        <w:t>c rigid</w:t>
      </w:r>
      <w:r w:rsidRPr="00857CDA">
        <w:rPr>
          <w:lang w:val="ro-RO"/>
        </w:rPr>
        <w:t xml:space="preserve"> (50H)</w:t>
      </w:r>
      <w:r w:rsidR="00641080" w:rsidRPr="00857CDA">
        <w:rPr>
          <w:lang w:val="ro-RO"/>
        </w:rPr>
        <w:t>;</w:t>
      </w:r>
    </w:p>
    <w:p w:rsidR="00196C06" w:rsidRPr="00857CDA" w:rsidRDefault="00313BAD" w:rsidP="00196C06">
      <w:pPr>
        <w:pStyle w:val="SingleTxtG"/>
        <w:spacing w:after="0"/>
        <w:ind w:left="1699" w:right="1138"/>
        <w:rPr>
          <w:lang w:val="ro-RO"/>
        </w:rPr>
      </w:pPr>
      <w:r w:rsidRPr="00857CDA">
        <w:rPr>
          <w:lang w:val="ro-RO"/>
        </w:rPr>
        <w:t>Lemn</w:t>
      </w:r>
      <w:r w:rsidR="00196C06" w:rsidRPr="00857CDA">
        <w:rPr>
          <w:lang w:val="ro-RO"/>
        </w:rPr>
        <w:t xml:space="preserve"> natur</w:t>
      </w:r>
      <w:r w:rsidRPr="00857CDA">
        <w:rPr>
          <w:lang w:val="ro-RO"/>
        </w:rPr>
        <w:t>a</w:t>
      </w:r>
      <w:r w:rsidR="00196C06" w:rsidRPr="00857CDA">
        <w:rPr>
          <w:lang w:val="ro-RO"/>
        </w:rPr>
        <w:t>l (50C)</w:t>
      </w:r>
      <w:r w:rsidR="00DA2DF0" w:rsidRPr="00857CDA">
        <w:rPr>
          <w:lang w:val="ro-RO"/>
        </w:rPr>
        <w:t>;</w:t>
      </w:r>
    </w:p>
    <w:p w:rsidR="00196C06" w:rsidRPr="00857CDA" w:rsidRDefault="00313BAD" w:rsidP="00641080">
      <w:pPr>
        <w:pStyle w:val="SingleTxtG"/>
        <w:spacing w:after="0"/>
        <w:ind w:left="1699" w:right="1138"/>
        <w:rPr>
          <w:lang w:val="ro-RO"/>
        </w:rPr>
      </w:pPr>
      <w:r w:rsidRPr="00857CDA">
        <w:rPr>
          <w:lang w:val="ro-RO"/>
        </w:rPr>
        <w:t>Placaj</w:t>
      </w:r>
      <w:r w:rsidR="00196C06" w:rsidRPr="00857CDA">
        <w:rPr>
          <w:lang w:val="ro-RO"/>
        </w:rPr>
        <w:t xml:space="preserve"> (50D)</w:t>
      </w:r>
      <w:r w:rsidR="00DA2DF0" w:rsidRPr="00857CDA">
        <w:rPr>
          <w:lang w:val="ro-RO"/>
        </w:rPr>
        <w:t>;</w:t>
      </w:r>
    </w:p>
    <w:p w:rsidR="00196C06" w:rsidRPr="00857CDA" w:rsidRDefault="00313BAD" w:rsidP="00196C06">
      <w:pPr>
        <w:pStyle w:val="SingleTxtG"/>
        <w:spacing w:after="0"/>
        <w:ind w:left="1699" w:right="1138"/>
        <w:rPr>
          <w:lang w:val="ro-RO"/>
        </w:rPr>
      </w:pPr>
      <w:r w:rsidRPr="00857CDA">
        <w:rPr>
          <w:lang w:val="ro-RO"/>
        </w:rPr>
        <w:t>Lemn</w:t>
      </w:r>
      <w:r w:rsidR="00196C06" w:rsidRPr="00857CDA">
        <w:rPr>
          <w:lang w:val="ro-RO"/>
        </w:rPr>
        <w:t xml:space="preserve"> reconstitu</w:t>
      </w:r>
      <w:r w:rsidRPr="00857CDA">
        <w:rPr>
          <w:lang w:val="ro-RO"/>
        </w:rPr>
        <w:t>it</w:t>
      </w:r>
      <w:r w:rsidR="00196C06" w:rsidRPr="00857CDA">
        <w:rPr>
          <w:lang w:val="ro-RO"/>
        </w:rPr>
        <w:t xml:space="preserve"> (50F)</w:t>
      </w:r>
      <w:r w:rsidR="00DA2DF0" w:rsidRPr="00857CDA">
        <w:rPr>
          <w:lang w:val="ro-RO"/>
        </w:rPr>
        <w:t>;</w:t>
      </w:r>
    </w:p>
    <w:p w:rsidR="00196C06" w:rsidRPr="00857CDA" w:rsidRDefault="00196C06" w:rsidP="00196C06">
      <w:pPr>
        <w:pStyle w:val="SingleTxtG"/>
        <w:ind w:left="1699" w:right="1138"/>
        <w:rPr>
          <w:b/>
          <w:lang w:val="ro-RO"/>
        </w:rPr>
      </w:pPr>
      <w:r w:rsidRPr="00857CDA">
        <w:rPr>
          <w:lang w:val="ro-RO"/>
        </w:rPr>
        <w:t>Carton rigid (50G)</w:t>
      </w:r>
      <w:r w:rsidR="00DA2DF0" w:rsidRPr="00857CDA">
        <w:rPr>
          <w:lang w:val="ro-RO"/>
        </w:rPr>
        <w:t>.</w:t>
      </w:r>
      <w:r w:rsidR="00660131" w:rsidRPr="00857CDA">
        <w:rPr>
          <w:lang w:val="ro-RO"/>
        </w:rPr>
        <w:t>”</w:t>
      </w:r>
      <w:r w:rsidRPr="00857CDA">
        <w:rPr>
          <w:lang w:val="ro-RO"/>
        </w:rPr>
        <w:t>.</w:t>
      </w:r>
    </w:p>
    <w:p w:rsidR="00D923CA" w:rsidRPr="00857CDA" w:rsidRDefault="004215B9" w:rsidP="00D923CA">
      <w:pPr>
        <w:pStyle w:val="SingleTxtG"/>
        <w:rPr>
          <w:lang w:val="ro-RO"/>
        </w:rPr>
      </w:pPr>
      <w:r w:rsidRPr="00857CDA">
        <w:rPr>
          <w:lang w:val="ro-RO"/>
        </w:rPr>
        <w:t xml:space="preserve">4.1.4.3, </w:t>
      </w:r>
      <w:r w:rsidR="006A1ED1" w:rsidRPr="00857CDA">
        <w:rPr>
          <w:lang w:val="ro-RO"/>
        </w:rPr>
        <w:t>instrucțiunea de ambalare</w:t>
      </w:r>
      <w:r w:rsidRPr="00857CDA">
        <w:rPr>
          <w:lang w:val="ro-RO"/>
        </w:rPr>
        <w:t xml:space="preserve"> LP902</w:t>
      </w:r>
      <w:r w:rsidRPr="00857CDA">
        <w:rPr>
          <w:lang w:val="ro-RO"/>
        </w:rPr>
        <w:tab/>
      </w:r>
      <w:r w:rsidR="00D923CA" w:rsidRPr="00857CDA">
        <w:rPr>
          <w:lang w:val="ro-RO"/>
        </w:rPr>
        <w:t>î</w:t>
      </w:r>
      <w:r w:rsidR="00902C44" w:rsidRPr="00857CDA">
        <w:rPr>
          <w:lang w:val="ro-RO"/>
        </w:rPr>
        <w:t xml:space="preserve">n </w:t>
      </w:r>
      <w:r w:rsidR="00970E20" w:rsidRPr="00857CDA">
        <w:rPr>
          <w:lang w:val="ro-RO"/>
        </w:rPr>
        <w:t>paragraf</w:t>
      </w:r>
      <w:r w:rsidR="00313BAD" w:rsidRPr="00857CDA">
        <w:rPr>
          <w:lang w:val="ro-RO"/>
        </w:rPr>
        <w:t>ul de după</w:t>
      </w:r>
      <w:r w:rsidRPr="00857CDA">
        <w:rPr>
          <w:lang w:val="ro-RO"/>
        </w:rPr>
        <w:t xml:space="preserve"> </w:t>
      </w:r>
      <w:r w:rsidR="00256E1C" w:rsidRPr="00857CDA">
        <w:rPr>
          <w:lang w:val="ro-RO"/>
        </w:rPr>
        <w:t>„</w:t>
      </w:r>
      <w:r w:rsidRPr="00857CDA">
        <w:rPr>
          <w:lang w:val="ro-RO"/>
        </w:rPr>
        <w:t>Ob</w:t>
      </w:r>
      <w:r w:rsidR="00313BAD" w:rsidRPr="00857CDA">
        <w:rPr>
          <w:lang w:val="ro-RO"/>
        </w:rPr>
        <w:t>i</w:t>
      </w:r>
      <w:r w:rsidRPr="00857CDA">
        <w:rPr>
          <w:lang w:val="ro-RO"/>
        </w:rPr>
        <w:t>e</w:t>
      </w:r>
      <w:r w:rsidR="00313BAD" w:rsidRPr="00857CDA">
        <w:rPr>
          <w:lang w:val="ro-RO"/>
        </w:rPr>
        <w:t>c</w:t>
      </w:r>
      <w:r w:rsidRPr="00857CDA">
        <w:rPr>
          <w:lang w:val="ro-RO"/>
        </w:rPr>
        <w:t>t</w:t>
      </w:r>
      <w:r w:rsidR="00313BAD" w:rsidRPr="00857CDA">
        <w:rPr>
          <w:lang w:val="ro-RO"/>
        </w:rPr>
        <w:t>e</w:t>
      </w:r>
      <w:r w:rsidRPr="00857CDA">
        <w:rPr>
          <w:lang w:val="ro-RO"/>
        </w:rPr>
        <w:t xml:space="preserve"> n</w:t>
      </w:r>
      <w:r w:rsidR="00313BAD" w:rsidRPr="00857CDA">
        <w:rPr>
          <w:lang w:val="ro-RO"/>
        </w:rPr>
        <w:t>eambalate</w:t>
      </w:r>
      <w:r w:rsidRPr="00857CDA">
        <w:rPr>
          <w:lang w:val="ro-RO"/>
        </w:rPr>
        <w:t>:</w:t>
      </w:r>
      <w:r w:rsidR="00660131" w:rsidRPr="00857CDA">
        <w:rPr>
          <w:lang w:val="ro-RO"/>
        </w:rPr>
        <w:t>”</w:t>
      </w:r>
      <w:r w:rsidRPr="00857CDA">
        <w:rPr>
          <w:lang w:val="ro-RO"/>
        </w:rPr>
        <w:t xml:space="preserve">, </w:t>
      </w:r>
      <w:r w:rsidR="00D923CA" w:rsidRPr="00857CDA">
        <w:rPr>
          <w:lang w:val="ro-RO"/>
        </w:rPr>
        <w:t>la sfârșit, se înlocuiește „atunci când acestea sunt transportate de la locul de fabricaţie la locul de asamblare” cu „atunci când sunt transportate de la locul de fabricaţie la locul de asamblare și invers, incluzând parcursul care include punctele de manipulare intermediare.”.</w:t>
      </w:r>
    </w:p>
    <w:p w:rsidR="004215B9" w:rsidRPr="00857CDA" w:rsidRDefault="004215B9" w:rsidP="00D923CA">
      <w:pPr>
        <w:pStyle w:val="SingleTxtG"/>
        <w:rPr>
          <w:lang w:val="ro-RO"/>
        </w:rPr>
      </w:pPr>
      <w:r w:rsidRPr="00857CDA">
        <w:rPr>
          <w:lang w:val="ro-RO"/>
        </w:rPr>
        <w:t xml:space="preserve">4.1.4.3, </w:t>
      </w:r>
      <w:r w:rsidR="006A1ED1" w:rsidRPr="00857CDA">
        <w:rPr>
          <w:lang w:val="ro-RO"/>
        </w:rPr>
        <w:t>instrucțiunea de ambalare</w:t>
      </w:r>
      <w:r w:rsidRPr="00857CDA">
        <w:rPr>
          <w:lang w:val="ro-RO"/>
        </w:rPr>
        <w:t xml:space="preserve"> LP903</w:t>
      </w:r>
      <w:r w:rsidR="00DD1250" w:rsidRPr="00857CDA">
        <w:rPr>
          <w:lang w:val="ro-RO"/>
        </w:rPr>
        <w:tab/>
      </w:r>
      <w:r w:rsidR="00D923CA" w:rsidRPr="00857CDA">
        <w:rPr>
          <w:lang w:val="ro-RO"/>
        </w:rPr>
        <w:t>î</w:t>
      </w:r>
      <w:r w:rsidR="00902C44" w:rsidRPr="00857CDA">
        <w:rPr>
          <w:lang w:val="ro-RO"/>
        </w:rPr>
        <w:t xml:space="preserve">n </w:t>
      </w:r>
      <w:r w:rsidR="00D923CA" w:rsidRPr="00857CDA">
        <w:rPr>
          <w:lang w:val="ro-RO"/>
        </w:rPr>
        <w:t xml:space="preserve">cea de </w:t>
      </w:r>
      <w:r w:rsidR="00970E20" w:rsidRPr="00857CDA">
        <w:rPr>
          <w:lang w:val="ro-RO"/>
        </w:rPr>
        <w:t>a doua frază</w:t>
      </w:r>
      <w:r w:rsidRPr="00857CDA">
        <w:rPr>
          <w:lang w:val="ro-RO"/>
        </w:rPr>
        <w:t xml:space="preserve">, </w:t>
      </w:r>
      <w:r w:rsidR="00902C44" w:rsidRPr="00857CDA">
        <w:rPr>
          <w:lang w:val="ro-RO"/>
        </w:rPr>
        <w:t>Se modifică</w:t>
      </w:r>
      <w:r w:rsidRPr="00857CDA">
        <w:rPr>
          <w:lang w:val="ro-RO"/>
        </w:rPr>
        <w:t xml:space="preserve"> </w:t>
      </w:r>
      <w:r w:rsidR="00256E1C" w:rsidRPr="00857CDA">
        <w:rPr>
          <w:lang w:val="ro-RO"/>
        </w:rPr>
        <w:t>„</w:t>
      </w:r>
      <w:r w:rsidR="00D923CA" w:rsidRPr="00857CDA">
        <w:rPr>
          <w:lang w:val="ro-RO"/>
        </w:rPr>
        <w:t xml:space="preserve"> , inclusiv pentru o baterie conţinută într-un echipament</w:t>
      </w:r>
      <w:r w:rsidR="00660131" w:rsidRPr="00857CDA">
        <w:rPr>
          <w:lang w:val="ro-RO"/>
        </w:rPr>
        <w:t>”</w:t>
      </w:r>
      <w:r w:rsidR="00902C44" w:rsidRPr="00857CDA">
        <w:rPr>
          <w:lang w:val="ro-RO"/>
        </w:rPr>
        <w:t xml:space="preserve"> cu </w:t>
      </w:r>
      <w:r w:rsidR="00256E1C" w:rsidRPr="00857CDA">
        <w:rPr>
          <w:lang w:val="ro-RO"/>
        </w:rPr>
        <w:t>„</w:t>
      </w:r>
      <w:r w:rsidR="00D923CA" w:rsidRPr="00857CDA">
        <w:rPr>
          <w:lang w:val="ro-RO"/>
        </w:rPr>
        <w:t>și pentru un singur echipament care conține baterii</w:t>
      </w:r>
      <w:r w:rsidR="00660131" w:rsidRPr="00857CDA">
        <w:rPr>
          <w:lang w:val="ro-RO"/>
        </w:rPr>
        <w:t>”</w:t>
      </w:r>
      <w:r w:rsidRPr="00857CDA">
        <w:rPr>
          <w:lang w:val="ro-RO"/>
        </w:rPr>
        <w:t xml:space="preserve">. </w:t>
      </w:r>
      <w:r w:rsidR="002B679C" w:rsidRPr="00857CDA">
        <w:rPr>
          <w:lang w:val="ro-RO"/>
        </w:rPr>
        <w:t>Se modifică</w:t>
      </w:r>
      <w:r w:rsidRPr="00857CDA">
        <w:rPr>
          <w:lang w:val="ro-RO"/>
        </w:rPr>
        <w:t xml:space="preserve"> </w:t>
      </w:r>
      <w:r w:rsidR="00970E20" w:rsidRPr="00857CDA">
        <w:rPr>
          <w:lang w:val="ro-RO"/>
        </w:rPr>
        <w:t>ultima frază</w:t>
      </w:r>
      <w:r w:rsidRPr="00857CDA">
        <w:rPr>
          <w:lang w:val="ro-RO"/>
        </w:rPr>
        <w:t xml:space="preserve"> </w:t>
      </w:r>
      <w:r w:rsidR="00D923CA" w:rsidRPr="00857CDA">
        <w:rPr>
          <w:lang w:val="ro-RO"/>
        </w:rPr>
        <w:t>dinaintea</w:t>
      </w:r>
      <w:r w:rsidRPr="00857CDA">
        <w:rPr>
          <w:lang w:val="ro-RO"/>
        </w:rPr>
        <w:t xml:space="preserve"> </w:t>
      </w:r>
      <w:r w:rsidR="006A1ED1" w:rsidRPr="00857CDA">
        <w:rPr>
          <w:lang w:val="ro-RO"/>
        </w:rPr>
        <w:t>dispoziți</w:t>
      </w:r>
      <w:r w:rsidR="00D923CA" w:rsidRPr="00857CDA">
        <w:rPr>
          <w:lang w:val="ro-RO"/>
        </w:rPr>
        <w:t>ei</w:t>
      </w:r>
      <w:r w:rsidR="006A1ED1" w:rsidRPr="00857CDA">
        <w:rPr>
          <w:lang w:val="ro-RO"/>
        </w:rPr>
        <w:t xml:space="preserve"> suplimentar</w:t>
      </w:r>
      <w:r w:rsidR="00D923CA" w:rsidRPr="00857CDA">
        <w:rPr>
          <w:lang w:val="ro-RO"/>
        </w:rPr>
        <w:t>e</w:t>
      </w:r>
      <w:r w:rsidRPr="00857CDA">
        <w:rPr>
          <w:lang w:val="ro-RO"/>
        </w:rPr>
        <w:t xml:space="preserve">, </w:t>
      </w:r>
      <w:r w:rsidR="002B679C" w:rsidRPr="00857CDA">
        <w:rPr>
          <w:lang w:val="ro-RO"/>
        </w:rPr>
        <w:t>după cum urmează</w:t>
      </w:r>
      <w:r w:rsidR="00256E1C" w:rsidRPr="00857CDA">
        <w:rPr>
          <w:lang w:val="ro-RO"/>
        </w:rPr>
        <w:t>:</w:t>
      </w:r>
      <w:r w:rsidRPr="00857CDA">
        <w:rPr>
          <w:lang w:val="ro-RO"/>
        </w:rPr>
        <w:t xml:space="preserve"> </w:t>
      </w:r>
      <w:r w:rsidR="00256E1C" w:rsidRPr="00857CDA">
        <w:rPr>
          <w:lang w:val="ro-RO"/>
        </w:rPr>
        <w:t>„</w:t>
      </w:r>
      <w:r w:rsidR="00D923CA" w:rsidRPr="00857CDA">
        <w:rPr>
          <w:lang w:val="ro-RO"/>
        </w:rPr>
        <w:t>Bateria sau echipamentul trebuie să fie ambalat(ă) în aşa fel încât să fie protejat(ă) împotriva deteriorărilor care pot fi cauzate prin deplasarea sau plasarea bateriei în interiorul ambalajului mare</w:t>
      </w:r>
      <w:r w:rsidRPr="00857CDA">
        <w:rPr>
          <w:lang w:val="ro-RO"/>
        </w:rPr>
        <w:t>.</w:t>
      </w:r>
      <w:r w:rsidR="00660131" w:rsidRPr="00857CDA">
        <w:rPr>
          <w:lang w:val="ro-RO"/>
        </w:rPr>
        <w:t>”</w:t>
      </w:r>
      <w:r w:rsidRPr="00857CDA">
        <w:rPr>
          <w:lang w:val="ro-RO"/>
        </w:rPr>
        <w:t>.</w:t>
      </w:r>
    </w:p>
    <w:p w:rsidR="004215B9" w:rsidRPr="00857CDA" w:rsidRDefault="004215B9" w:rsidP="004215B9">
      <w:pPr>
        <w:pStyle w:val="SingleTxtG"/>
        <w:rPr>
          <w:lang w:val="ro-RO"/>
        </w:rPr>
      </w:pPr>
      <w:r w:rsidRPr="00857CDA">
        <w:rPr>
          <w:lang w:val="ro-RO"/>
        </w:rPr>
        <w:t xml:space="preserve">4.1.4.3, </w:t>
      </w:r>
      <w:r w:rsidR="006A1ED1" w:rsidRPr="00857CDA">
        <w:rPr>
          <w:lang w:val="ro-RO"/>
        </w:rPr>
        <w:t>instrucțiunea de ambalare</w:t>
      </w:r>
      <w:r w:rsidRPr="00857CDA">
        <w:rPr>
          <w:lang w:val="ro-RO"/>
        </w:rPr>
        <w:t xml:space="preserve"> LP904</w:t>
      </w:r>
      <w:r w:rsidR="00DD1250" w:rsidRPr="00857CDA">
        <w:rPr>
          <w:lang w:val="ro-RO"/>
        </w:rPr>
        <w:tab/>
      </w:r>
      <w:r w:rsidR="00BF2AC1" w:rsidRPr="00857CDA">
        <w:rPr>
          <w:lang w:val="ro-RO"/>
        </w:rPr>
        <w:t>s</w:t>
      </w:r>
      <w:r w:rsidR="002B679C" w:rsidRPr="00857CDA">
        <w:rPr>
          <w:lang w:val="ro-RO"/>
        </w:rPr>
        <w:t>e modifică</w:t>
      </w:r>
      <w:r w:rsidR="00D923CA" w:rsidRPr="00857CDA">
        <w:rPr>
          <w:lang w:val="ro-RO"/>
        </w:rPr>
        <w:t>, după cum urmează</w:t>
      </w:r>
      <w:r w:rsidR="00091658" w:rsidRPr="00857CDA">
        <w:rPr>
          <w:lang w:val="ro-RO"/>
        </w:rPr>
        <w:t>:</w:t>
      </w:r>
    </w:p>
    <w:p w:rsidR="004215B9" w:rsidRPr="00857CDA" w:rsidRDefault="00902C44" w:rsidP="001A6331">
      <w:pPr>
        <w:pStyle w:val="SingleTxtG"/>
        <w:ind w:left="1701"/>
        <w:rPr>
          <w:lang w:val="ro-RO"/>
        </w:rPr>
      </w:pPr>
      <w:r w:rsidRPr="00857CDA">
        <w:rPr>
          <w:lang w:val="ro-RO"/>
        </w:rPr>
        <w:t xml:space="preserve">În </w:t>
      </w:r>
      <w:r w:rsidR="003634AA" w:rsidRPr="00857CDA">
        <w:rPr>
          <w:lang w:val="ro-RO"/>
        </w:rPr>
        <w:t>prima frază</w:t>
      </w:r>
      <w:r w:rsidR="004215B9" w:rsidRPr="00857CDA">
        <w:rPr>
          <w:lang w:val="ro-RO"/>
        </w:rPr>
        <w:t xml:space="preserve">, </w:t>
      </w:r>
      <w:r w:rsidR="00991390" w:rsidRPr="00857CDA">
        <w:rPr>
          <w:lang w:val="ro-RO"/>
        </w:rPr>
        <w:t>după</w:t>
      </w:r>
      <w:r w:rsidR="004215B9" w:rsidRPr="00857CDA">
        <w:rPr>
          <w:lang w:val="ro-RO"/>
        </w:rPr>
        <w:t xml:space="preserve"> </w:t>
      </w:r>
      <w:r w:rsidR="00256E1C" w:rsidRPr="00857CDA">
        <w:rPr>
          <w:lang w:val="ro-RO"/>
        </w:rPr>
        <w:t>„</w:t>
      </w:r>
      <w:r w:rsidR="00620A37" w:rsidRPr="00857CDA">
        <w:rPr>
          <w:lang w:val="ro-RO"/>
        </w:rPr>
        <w:t>sau defecte</w:t>
      </w:r>
      <w:r w:rsidR="00660131" w:rsidRPr="00857CDA">
        <w:rPr>
          <w:lang w:val="ro-RO"/>
        </w:rPr>
        <w:t>”</w:t>
      </w:r>
      <w:r w:rsidR="004215B9" w:rsidRPr="00857CDA">
        <w:rPr>
          <w:lang w:val="ro-RO"/>
        </w:rPr>
        <w:t xml:space="preserve"> </w:t>
      </w:r>
      <w:r w:rsidRPr="00857CDA">
        <w:rPr>
          <w:lang w:val="ro-RO"/>
        </w:rPr>
        <w:t>se adaugă</w:t>
      </w:r>
      <w:r w:rsidR="004215B9" w:rsidRPr="00857CDA">
        <w:rPr>
          <w:lang w:val="ro-RO"/>
        </w:rPr>
        <w:t xml:space="preserve"> </w:t>
      </w:r>
      <w:r w:rsidR="00256E1C" w:rsidRPr="00857CDA">
        <w:rPr>
          <w:lang w:val="ro-RO"/>
        </w:rPr>
        <w:t>„</w:t>
      </w:r>
      <w:r w:rsidR="004C27AD" w:rsidRPr="00857CDA">
        <w:rPr>
          <w:lang w:val="ro-RO"/>
        </w:rPr>
        <w:t xml:space="preserve">și </w:t>
      </w:r>
      <w:r w:rsidR="00620A37" w:rsidRPr="00857CDA">
        <w:rPr>
          <w:lang w:val="ro-RO"/>
        </w:rPr>
        <w:t>echipamentelor care conțin pile și baterii deteriorate sau defecte</w:t>
      </w:r>
      <w:r w:rsidR="00660131" w:rsidRPr="00857CDA">
        <w:rPr>
          <w:lang w:val="ro-RO"/>
        </w:rPr>
        <w:t>”</w:t>
      </w:r>
      <w:r w:rsidR="004215B9" w:rsidRPr="00857CDA">
        <w:rPr>
          <w:lang w:val="ro-RO"/>
        </w:rPr>
        <w:t xml:space="preserve">. </w:t>
      </w:r>
      <w:r w:rsidR="00620A37" w:rsidRPr="00857CDA">
        <w:rPr>
          <w:lang w:val="ro-RO"/>
        </w:rPr>
        <w:t>L</w:t>
      </w:r>
      <w:r w:rsidR="004215B9" w:rsidRPr="00857CDA">
        <w:rPr>
          <w:lang w:val="ro-RO"/>
        </w:rPr>
        <w:t xml:space="preserve">a </w:t>
      </w:r>
      <w:r w:rsidR="00620A37" w:rsidRPr="00857CDA">
        <w:rPr>
          <w:lang w:val="ro-RO"/>
        </w:rPr>
        <w:t>sfârșitul</w:t>
      </w:r>
      <w:r w:rsidR="004215B9" w:rsidRPr="00857CDA">
        <w:rPr>
          <w:lang w:val="ro-RO"/>
        </w:rPr>
        <w:t xml:space="preserve"> </w:t>
      </w:r>
      <w:r w:rsidR="003634AA" w:rsidRPr="00857CDA">
        <w:rPr>
          <w:lang w:val="ro-RO"/>
        </w:rPr>
        <w:t>prim</w:t>
      </w:r>
      <w:r w:rsidR="00620A37" w:rsidRPr="00857CDA">
        <w:rPr>
          <w:lang w:val="ro-RO"/>
        </w:rPr>
        <w:t>ei</w:t>
      </w:r>
      <w:r w:rsidR="003634AA" w:rsidRPr="00857CDA">
        <w:rPr>
          <w:lang w:val="ro-RO"/>
        </w:rPr>
        <w:t xml:space="preserve"> fraz</w:t>
      </w:r>
      <w:r w:rsidR="00620A37" w:rsidRPr="00857CDA">
        <w:rPr>
          <w:lang w:val="ro-RO"/>
        </w:rPr>
        <w:t>e</w:t>
      </w:r>
      <w:r w:rsidR="004215B9" w:rsidRPr="00857CDA">
        <w:rPr>
          <w:lang w:val="ro-RO"/>
        </w:rPr>
        <w:t xml:space="preserve">, </w:t>
      </w:r>
      <w:r w:rsidR="00620A37" w:rsidRPr="00857CDA">
        <w:rPr>
          <w:lang w:val="ro-RO"/>
        </w:rPr>
        <w:t>s</w:t>
      </w:r>
      <w:r w:rsidRPr="00857CDA">
        <w:rPr>
          <w:lang w:val="ro-RO"/>
        </w:rPr>
        <w:t>e șterge</w:t>
      </w:r>
      <w:r w:rsidR="004215B9" w:rsidRPr="00857CDA">
        <w:rPr>
          <w:lang w:val="ro-RO"/>
        </w:rPr>
        <w:t xml:space="preserve"> </w:t>
      </w:r>
      <w:r w:rsidR="00256E1C" w:rsidRPr="00857CDA">
        <w:rPr>
          <w:lang w:val="ro-RO"/>
        </w:rPr>
        <w:t>„</w:t>
      </w:r>
      <w:r w:rsidR="00620A37" w:rsidRPr="00857CDA">
        <w:rPr>
          <w:lang w:val="ro-RO"/>
        </w:rPr>
        <w:t xml:space="preserve"> , inclusiv celor conţinute în echipamente</w:t>
      </w:r>
      <w:r w:rsidR="00660131" w:rsidRPr="00857CDA">
        <w:rPr>
          <w:lang w:val="ro-RO"/>
        </w:rPr>
        <w:t>”</w:t>
      </w:r>
      <w:r w:rsidR="004215B9" w:rsidRPr="00857CDA">
        <w:rPr>
          <w:lang w:val="ro-RO"/>
        </w:rPr>
        <w:t xml:space="preserve">. </w:t>
      </w:r>
    </w:p>
    <w:p w:rsidR="004215B9" w:rsidRPr="00857CDA" w:rsidRDefault="002B679C" w:rsidP="001A6331">
      <w:pPr>
        <w:pStyle w:val="SingleTxtG"/>
        <w:ind w:left="1701"/>
        <w:rPr>
          <w:lang w:val="ro-RO"/>
        </w:rPr>
      </w:pPr>
      <w:r w:rsidRPr="00857CDA">
        <w:rPr>
          <w:lang w:val="ro-RO"/>
        </w:rPr>
        <w:t>Se modifică</w:t>
      </w:r>
      <w:r w:rsidR="004215B9" w:rsidRPr="00857CDA">
        <w:rPr>
          <w:lang w:val="ro-RO"/>
        </w:rPr>
        <w:t xml:space="preserve"> </w:t>
      </w:r>
      <w:r w:rsidR="00620A37" w:rsidRPr="00857CDA">
        <w:rPr>
          <w:lang w:val="ro-RO"/>
        </w:rPr>
        <w:t>începutul celei de</w:t>
      </w:r>
      <w:r w:rsidR="004215B9" w:rsidRPr="00857CDA">
        <w:rPr>
          <w:lang w:val="ro-RO"/>
        </w:rPr>
        <w:t xml:space="preserve"> </w:t>
      </w:r>
      <w:r w:rsidR="00970E20" w:rsidRPr="00857CDA">
        <w:rPr>
          <w:lang w:val="ro-RO"/>
        </w:rPr>
        <w:t>a doua fraz</w:t>
      </w:r>
      <w:r w:rsidR="00620A37" w:rsidRPr="00857CDA">
        <w:rPr>
          <w:lang w:val="ro-RO"/>
        </w:rPr>
        <w:t>e</w:t>
      </w:r>
      <w:r w:rsidRPr="00857CDA">
        <w:rPr>
          <w:lang w:val="ro-RO"/>
        </w:rPr>
        <w:t>, după cum urmează</w:t>
      </w:r>
      <w:r w:rsidR="00091658" w:rsidRPr="00857CDA">
        <w:rPr>
          <w:lang w:val="ro-RO"/>
        </w:rPr>
        <w:t>:</w:t>
      </w:r>
      <w:r w:rsidR="004215B9" w:rsidRPr="00857CDA">
        <w:rPr>
          <w:lang w:val="ro-RO"/>
        </w:rPr>
        <w:t xml:space="preserve"> </w:t>
      </w:r>
      <w:r w:rsidR="00256E1C" w:rsidRPr="00857CDA">
        <w:rPr>
          <w:lang w:val="ro-RO"/>
        </w:rPr>
        <w:t>„</w:t>
      </w:r>
      <w:r w:rsidR="00620A37" w:rsidRPr="00857CDA">
        <w:rPr>
          <w:lang w:val="ro-RO"/>
        </w:rPr>
        <w:t>Următoarele ambalaje mari sunt autorizate pentru o singură baterie deteriorată sau defectă sau pentru un singur echipament care conține pile sau baterii deteriorate sau defecte, dacă sunt îndeplinite …</w:t>
      </w:r>
      <w:r w:rsidR="00660131" w:rsidRPr="00857CDA">
        <w:rPr>
          <w:lang w:val="ro-RO"/>
        </w:rPr>
        <w:t>”</w:t>
      </w:r>
      <w:r w:rsidR="00992897" w:rsidRPr="00857CDA">
        <w:rPr>
          <w:lang w:val="ro-RO"/>
        </w:rPr>
        <w:t>.</w:t>
      </w:r>
    </w:p>
    <w:p w:rsidR="0016259D" w:rsidRPr="00857CDA" w:rsidRDefault="00902C44" w:rsidP="0016259D">
      <w:pPr>
        <w:pStyle w:val="SingleTxtG"/>
        <w:ind w:left="1701"/>
        <w:rPr>
          <w:lang w:val="ro-RO"/>
        </w:rPr>
      </w:pPr>
      <w:r w:rsidRPr="00857CDA">
        <w:rPr>
          <w:lang w:val="ro-RO"/>
        </w:rPr>
        <w:t xml:space="preserve">În </w:t>
      </w:r>
      <w:r w:rsidR="002E0722" w:rsidRPr="00857CDA">
        <w:rPr>
          <w:lang w:val="ro-RO"/>
        </w:rPr>
        <w:t xml:space="preserve">cea de </w:t>
      </w:r>
      <w:r w:rsidR="00970E20" w:rsidRPr="00857CDA">
        <w:rPr>
          <w:lang w:val="ro-RO"/>
        </w:rPr>
        <w:t>a treia frază</w:t>
      </w:r>
      <w:r w:rsidR="0016259D" w:rsidRPr="00857CDA">
        <w:rPr>
          <w:lang w:val="ro-RO"/>
        </w:rPr>
        <w:t xml:space="preserve">, </w:t>
      </w:r>
      <w:r w:rsidR="002E0722" w:rsidRPr="00857CDA">
        <w:rPr>
          <w:lang w:val="ro-RO"/>
        </w:rPr>
        <w:t>s</w:t>
      </w:r>
      <w:r w:rsidRPr="00857CDA">
        <w:rPr>
          <w:lang w:val="ro-RO"/>
        </w:rPr>
        <w:t>e modifică</w:t>
      </w:r>
      <w:r w:rsidR="0016259D" w:rsidRPr="00857CDA">
        <w:rPr>
          <w:lang w:val="ro-RO"/>
        </w:rPr>
        <w:t xml:space="preserve"> </w:t>
      </w:r>
      <w:r w:rsidR="00256E1C" w:rsidRPr="00857CDA">
        <w:rPr>
          <w:lang w:val="ro-RO"/>
        </w:rPr>
        <w:t>„</w:t>
      </w:r>
      <w:r w:rsidR="002E0722" w:rsidRPr="00857CDA">
        <w:rPr>
          <w:lang w:val="ro-RO"/>
        </w:rPr>
        <w:t>Pentru baterii şi pentru echipamentele care conţin baterii, ambalaje mari de:</w:t>
      </w:r>
      <w:r w:rsidR="00660131" w:rsidRPr="00857CDA">
        <w:rPr>
          <w:lang w:val="ro-RO"/>
        </w:rPr>
        <w:t>”</w:t>
      </w:r>
      <w:r w:rsidRPr="00857CDA">
        <w:rPr>
          <w:lang w:val="ro-RO"/>
        </w:rPr>
        <w:t xml:space="preserve"> cu </w:t>
      </w:r>
      <w:r w:rsidR="00256E1C" w:rsidRPr="00857CDA">
        <w:rPr>
          <w:lang w:val="ro-RO"/>
        </w:rPr>
        <w:t>„</w:t>
      </w:r>
      <w:r w:rsidR="002E0722" w:rsidRPr="00857CDA">
        <w:rPr>
          <w:lang w:val="ro-RO"/>
        </w:rPr>
        <w:t>Pentru bateriile şi pentru echipamentele care conţin pile și baterii</w:t>
      </w:r>
      <w:r w:rsidR="0016259D" w:rsidRPr="00857CDA">
        <w:rPr>
          <w:lang w:val="ro-RO"/>
        </w:rPr>
        <w:t>:</w:t>
      </w:r>
      <w:r w:rsidR="00660131" w:rsidRPr="00857CDA">
        <w:rPr>
          <w:lang w:val="ro-RO"/>
        </w:rPr>
        <w:t>”</w:t>
      </w:r>
      <w:r w:rsidR="0016259D" w:rsidRPr="00857CDA">
        <w:rPr>
          <w:lang w:val="ro-RO"/>
        </w:rPr>
        <w:t>.</w:t>
      </w:r>
    </w:p>
    <w:p w:rsidR="00290141" w:rsidRPr="00857CDA" w:rsidRDefault="002E0722" w:rsidP="001A6331">
      <w:pPr>
        <w:pStyle w:val="SingleTxtG"/>
        <w:ind w:left="1701"/>
        <w:rPr>
          <w:lang w:val="ro-RO"/>
        </w:rPr>
      </w:pPr>
      <w:r w:rsidRPr="00857CDA">
        <w:rPr>
          <w:lang w:val="ro-RO"/>
        </w:rPr>
        <w:t>Înainte de</w:t>
      </w:r>
      <w:r w:rsidR="00290141" w:rsidRPr="00857CDA">
        <w:rPr>
          <w:lang w:val="ro-RO"/>
        </w:rPr>
        <w:t xml:space="preserve"> </w:t>
      </w:r>
      <w:r w:rsidR="00256E1C" w:rsidRPr="00857CDA">
        <w:rPr>
          <w:lang w:val="ro-RO"/>
        </w:rPr>
        <w:t>„</w:t>
      </w:r>
      <w:r w:rsidRPr="00857CDA">
        <w:rPr>
          <w:lang w:val="ro-RO"/>
        </w:rPr>
        <w:t>Oțel</w:t>
      </w:r>
      <w:r w:rsidR="00290141" w:rsidRPr="00857CDA">
        <w:rPr>
          <w:lang w:val="ro-RO"/>
        </w:rPr>
        <w:t xml:space="preserve"> (50A)</w:t>
      </w:r>
      <w:r w:rsidR="00660131" w:rsidRPr="00857CDA">
        <w:rPr>
          <w:lang w:val="ro-RO"/>
        </w:rPr>
        <w:t>”</w:t>
      </w:r>
      <w:r w:rsidR="00290141" w:rsidRPr="00857CDA">
        <w:rPr>
          <w:lang w:val="ro-RO"/>
        </w:rPr>
        <w:t xml:space="preserve">, </w:t>
      </w:r>
      <w:r w:rsidR="000022EF" w:rsidRPr="00857CDA">
        <w:rPr>
          <w:lang w:val="ro-RO"/>
        </w:rPr>
        <w:t>se introduce</w:t>
      </w:r>
      <w:r w:rsidR="00290141" w:rsidRPr="00857CDA">
        <w:rPr>
          <w:lang w:val="ro-RO"/>
        </w:rPr>
        <w:t xml:space="preserve"> </w:t>
      </w:r>
      <w:r w:rsidR="00857CDA" w:rsidRPr="00857CDA">
        <w:rPr>
          <w:lang w:val="ro-RO"/>
        </w:rPr>
        <w:t>un</w:t>
      </w:r>
      <w:r w:rsidRPr="00857CDA">
        <w:rPr>
          <w:lang w:val="ro-RO"/>
        </w:rPr>
        <w:t xml:space="preserve"> nou rând, după cum urmează</w:t>
      </w:r>
      <w:r w:rsidR="00091658" w:rsidRPr="00857CDA">
        <w:rPr>
          <w:lang w:val="ro-RO"/>
        </w:rPr>
        <w:t>:</w:t>
      </w:r>
    </w:p>
    <w:p w:rsidR="00290141" w:rsidRPr="00857CDA" w:rsidRDefault="00256E1C" w:rsidP="001A6331">
      <w:pPr>
        <w:pStyle w:val="SingleTxtG"/>
        <w:ind w:left="1701"/>
        <w:rPr>
          <w:lang w:val="ro-RO"/>
        </w:rPr>
      </w:pPr>
      <w:r w:rsidRPr="00857CDA">
        <w:rPr>
          <w:lang w:val="ro-RO"/>
        </w:rPr>
        <w:t>„</w:t>
      </w:r>
      <w:r w:rsidR="002E0722" w:rsidRPr="00857CDA">
        <w:rPr>
          <w:lang w:val="ro-RO"/>
        </w:rPr>
        <w:t>Ambalajele mari rigide conforme nivelului de încercare al grupei de ambalare II, făcute din</w:t>
      </w:r>
      <w:r w:rsidR="00290141" w:rsidRPr="00857CDA">
        <w:rPr>
          <w:iCs/>
          <w:lang w:val="ro-RO"/>
        </w:rPr>
        <w:t>:</w:t>
      </w:r>
      <w:r w:rsidR="00660131" w:rsidRPr="00857CDA">
        <w:rPr>
          <w:lang w:val="ro-RO"/>
        </w:rPr>
        <w:t>”</w:t>
      </w:r>
      <w:r w:rsidR="00290141" w:rsidRPr="00857CDA">
        <w:rPr>
          <w:lang w:val="ro-RO"/>
        </w:rPr>
        <w:t>.</w:t>
      </w:r>
    </w:p>
    <w:p w:rsidR="00290141" w:rsidRPr="00857CDA" w:rsidRDefault="002E0722" w:rsidP="001A6331">
      <w:pPr>
        <w:pStyle w:val="SingleTxtG"/>
        <w:ind w:left="1701"/>
        <w:rPr>
          <w:lang w:val="ro-RO"/>
        </w:rPr>
      </w:pPr>
      <w:r w:rsidRPr="00857CDA">
        <w:rPr>
          <w:lang w:val="ro-RO"/>
        </w:rPr>
        <w:t>Se șterge fraza de d</w:t>
      </w:r>
      <w:r w:rsidR="00991390" w:rsidRPr="00857CDA">
        <w:rPr>
          <w:lang w:val="ro-RO"/>
        </w:rPr>
        <w:t>upă</w:t>
      </w:r>
      <w:r w:rsidR="00290141" w:rsidRPr="00857CDA">
        <w:rPr>
          <w:lang w:val="ro-RO"/>
        </w:rPr>
        <w:t xml:space="preserve"> </w:t>
      </w:r>
      <w:r w:rsidR="00256E1C" w:rsidRPr="00857CDA">
        <w:rPr>
          <w:lang w:val="ro-RO"/>
        </w:rPr>
        <w:t>„</w:t>
      </w:r>
      <w:r w:rsidRPr="00857CDA">
        <w:rPr>
          <w:lang w:val="ro-RO"/>
        </w:rPr>
        <w:t xml:space="preserve">placaj </w:t>
      </w:r>
      <w:r w:rsidR="00290141" w:rsidRPr="00857CDA">
        <w:rPr>
          <w:lang w:val="ro-RO"/>
        </w:rPr>
        <w:t>(50D)</w:t>
      </w:r>
      <w:r w:rsidR="00660131" w:rsidRPr="00857CDA">
        <w:rPr>
          <w:lang w:val="ro-RO"/>
        </w:rPr>
        <w:t>”</w:t>
      </w:r>
      <w:r w:rsidRPr="00857CDA">
        <w:rPr>
          <w:lang w:val="ro-RO"/>
        </w:rPr>
        <w:t xml:space="preserve">: </w:t>
      </w:r>
      <w:r w:rsidR="00256E1C" w:rsidRPr="00857CDA">
        <w:rPr>
          <w:lang w:val="ro-RO"/>
        </w:rPr>
        <w:t>„</w:t>
      </w:r>
      <w:r w:rsidRPr="00857CDA">
        <w:rPr>
          <w:lang w:val="ro-RO"/>
        </w:rPr>
        <w:t>Ambalajele trebuie să îndeplinească nivelul de încercare al grupei de ambalare II</w:t>
      </w:r>
      <w:r w:rsidR="00290141" w:rsidRPr="00857CDA">
        <w:rPr>
          <w:lang w:val="ro-RO"/>
        </w:rPr>
        <w:t>.</w:t>
      </w:r>
      <w:r w:rsidR="00660131" w:rsidRPr="00857CDA">
        <w:rPr>
          <w:lang w:val="ro-RO"/>
        </w:rPr>
        <w:t>”</w:t>
      </w:r>
      <w:r w:rsidR="00290141" w:rsidRPr="00857CDA">
        <w:rPr>
          <w:lang w:val="ro-RO"/>
        </w:rPr>
        <w:t>.</w:t>
      </w:r>
    </w:p>
    <w:p w:rsidR="004215B9" w:rsidRPr="00857CDA" w:rsidRDefault="004F7694" w:rsidP="001A6331">
      <w:pPr>
        <w:pStyle w:val="SingleTxtG"/>
        <w:ind w:left="1701"/>
        <w:rPr>
          <w:lang w:val="ro-RO"/>
        </w:rPr>
      </w:pPr>
      <w:r w:rsidRPr="00857CDA">
        <w:rPr>
          <w:lang w:val="ro-RO"/>
        </w:rPr>
        <w:t>La începutul punctului</w:t>
      </w:r>
      <w:r w:rsidR="004215B9" w:rsidRPr="00857CDA">
        <w:rPr>
          <w:lang w:val="ro-RO"/>
        </w:rPr>
        <w:t xml:space="preserve"> 1., </w:t>
      </w:r>
      <w:r w:rsidRPr="00857CDA">
        <w:rPr>
          <w:lang w:val="ro-RO"/>
        </w:rPr>
        <w:t>s</w:t>
      </w:r>
      <w:r w:rsidR="00902C44" w:rsidRPr="00857CDA">
        <w:rPr>
          <w:lang w:val="ro-RO"/>
        </w:rPr>
        <w:t>e modifică</w:t>
      </w:r>
      <w:r w:rsidR="004215B9" w:rsidRPr="00857CDA">
        <w:rPr>
          <w:lang w:val="ro-RO"/>
        </w:rPr>
        <w:t xml:space="preserve"> </w:t>
      </w:r>
      <w:r w:rsidR="00256E1C" w:rsidRPr="00857CDA">
        <w:rPr>
          <w:lang w:val="ro-RO"/>
        </w:rPr>
        <w:t>„</w:t>
      </w:r>
      <w:r w:rsidRPr="00857CDA">
        <w:rPr>
          <w:lang w:val="ro-RO"/>
        </w:rPr>
        <w:t>Fiecare baterie deteriorată sau defectă sau fiecare echipament, care conţine o astfel de baterie</w:t>
      </w:r>
      <w:r w:rsidR="00660131" w:rsidRPr="00857CDA">
        <w:rPr>
          <w:lang w:val="ro-RO"/>
        </w:rPr>
        <w:t>”</w:t>
      </w:r>
      <w:r w:rsidR="00902C44" w:rsidRPr="00857CDA">
        <w:rPr>
          <w:lang w:val="ro-RO"/>
        </w:rPr>
        <w:t xml:space="preserve"> cu </w:t>
      </w:r>
      <w:r w:rsidR="00256E1C" w:rsidRPr="00857CDA">
        <w:rPr>
          <w:lang w:val="ro-RO"/>
        </w:rPr>
        <w:t>„</w:t>
      </w:r>
      <w:r w:rsidRPr="00857CDA">
        <w:rPr>
          <w:lang w:val="ro-RO"/>
        </w:rPr>
        <w:t>Bateria deteriorată sau defectă sa</w:t>
      </w:r>
      <w:r w:rsidR="004215B9" w:rsidRPr="00857CDA">
        <w:rPr>
          <w:lang w:val="ro-RO"/>
        </w:rPr>
        <w:t xml:space="preserve">u </w:t>
      </w:r>
      <w:r w:rsidRPr="00857CDA">
        <w:rPr>
          <w:lang w:val="ro-RO"/>
        </w:rPr>
        <w:t>echipamentul care</w:t>
      </w:r>
      <w:r w:rsidR="004215B9" w:rsidRPr="00857CDA">
        <w:rPr>
          <w:lang w:val="ro-RO"/>
        </w:rPr>
        <w:t xml:space="preserve"> con</w:t>
      </w:r>
      <w:r w:rsidRPr="00857CDA">
        <w:rPr>
          <w:lang w:val="ro-RO"/>
        </w:rPr>
        <w:t>ține</w:t>
      </w:r>
      <w:r w:rsidR="004215B9" w:rsidRPr="00857CDA">
        <w:rPr>
          <w:lang w:val="ro-RO"/>
        </w:rPr>
        <w:t xml:space="preserve"> pile</w:t>
      </w:r>
      <w:r w:rsidRPr="00857CDA">
        <w:rPr>
          <w:lang w:val="ro-RO"/>
        </w:rPr>
        <w:t xml:space="preserve"> sa</w:t>
      </w:r>
      <w:r w:rsidR="004215B9" w:rsidRPr="00857CDA">
        <w:rPr>
          <w:lang w:val="ro-RO"/>
        </w:rPr>
        <w:t>u bateri</w:t>
      </w:r>
      <w:r w:rsidRPr="00857CDA">
        <w:rPr>
          <w:lang w:val="ro-RO"/>
        </w:rPr>
        <w:t>i deteriorate sau defecte</w:t>
      </w:r>
      <w:r w:rsidR="00660131" w:rsidRPr="00857CDA">
        <w:rPr>
          <w:lang w:val="ro-RO"/>
        </w:rPr>
        <w:t>”</w:t>
      </w:r>
      <w:r w:rsidR="004215B9" w:rsidRPr="00857CDA">
        <w:rPr>
          <w:lang w:val="ro-RO"/>
        </w:rPr>
        <w:t xml:space="preserve">. </w:t>
      </w:r>
    </w:p>
    <w:p w:rsidR="004215B9" w:rsidRPr="00857CDA" w:rsidRDefault="00D32324" w:rsidP="001A6331">
      <w:pPr>
        <w:pStyle w:val="SingleTxtG"/>
        <w:ind w:left="1701"/>
        <w:rPr>
          <w:lang w:val="ro-RO"/>
        </w:rPr>
      </w:pPr>
      <w:r w:rsidRPr="00857CDA">
        <w:rPr>
          <w:lang w:val="ro-RO"/>
        </w:rPr>
        <w:t>La punctul</w:t>
      </w:r>
      <w:r w:rsidR="004215B9" w:rsidRPr="00857CDA">
        <w:rPr>
          <w:lang w:val="ro-RO"/>
        </w:rPr>
        <w:t xml:space="preserve"> 2., </w:t>
      </w:r>
      <w:r w:rsidRPr="00857CDA">
        <w:rPr>
          <w:lang w:val="ro-RO"/>
        </w:rPr>
        <w:t>s</w:t>
      </w:r>
      <w:r w:rsidR="00902C44" w:rsidRPr="00857CDA">
        <w:rPr>
          <w:lang w:val="ro-RO"/>
        </w:rPr>
        <w:t>e modifică</w:t>
      </w:r>
      <w:r w:rsidR="004215B9" w:rsidRPr="00857CDA">
        <w:rPr>
          <w:lang w:val="ro-RO"/>
        </w:rPr>
        <w:t xml:space="preserve"> </w:t>
      </w:r>
      <w:r w:rsidR="00256E1C" w:rsidRPr="00857CDA">
        <w:rPr>
          <w:lang w:val="ro-RO"/>
        </w:rPr>
        <w:t>„</w:t>
      </w:r>
      <w:r w:rsidRPr="00857CDA">
        <w:rPr>
          <w:lang w:val="ro-RO"/>
        </w:rPr>
        <w:t>Fiecare ambalaj interior</w:t>
      </w:r>
      <w:r w:rsidR="00660131" w:rsidRPr="00857CDA">
        <w:rPr>
          <w:lang w:val="ro-RO"/>
        </w:rPr>
        <w:t>”</w:t>
      </w:r>
      <w:r w:rsidR="00902C44" w:rsidRPr="00857CDA">
        <w:rPr>
          <w:lang w:val="ro-RO"/>
        </w:rPr>
        <w:t xml:space="preserve"> cu </w:t>
      </w:r>
      <w:r w:rsidR="00256E1C" w:rsidRPr="00857CDA">
        <w:rPr>
          <w:lang w:val="ro-RO"/>
        </w:rPr>
        <w:t>„</w:t>
      </w:r>
      <w:r w:rsidRPr="00857CDA">
        <w:rPr>
          <w:lang w:val="ro-RO"/>
        </w:rPr>
        <w:t>Ambalajul interior</w:t>
      </w:r>
      <w:r w:rsidR="00660131" w:rsidRPr="00857CDA">
        <w:rPr>
          <w:lang w:val="ro-RO"/>
        </w:rPr>
        <w:t>”</w:t>
      </w:r>
      <w:r w:rsidR="004C27AD" w:rsidRPr="00857CDA">
        <w:rPr>
          <w:lang w:val="ro-RO"/>
        </w:rPr>
        <w:t xml:space="preserve"> și </w:t>
      </w:r>
      <w:r w:rsidRPr="00857CDA">
        <w:rPr>
          <w:lang w:val="ro-RO"/>
        </w:rPr>
        <w:t>s</w:t>
      </w:r>
      <w:r w:rsidR="00902C44" w:rsidRPr="00857CDA">
        <w:rPr>
          <w:lang w:val="ro-RO"/>
        </w:rPr>
        <w:t>e modifică</w:t>
      </w:r>
      <w:r w:rsidR="00DA77EF" w:rsidRPr="00857CDA">
        <w:rPr>
          <w:lang w:val="ro-RO"/>
        </w:rPr>
        <w:t xml:space="preserve"> </w:t>
      </w:r>
      <w:r w:rsidRPr="00857CDA">
        <w:rPr>
          <w:lang w:val="ro-RO"/>
        </w:rPr>
        <w:t>„neconductiv” cu „neconducător de electricitate”</w:t>
      </w:r>
      <w:r w:rsidR="00DA77EF" w:rsidRPr="00857CDA">
        <w:rPr>
          <w:lang w:val="ro-RO"/>
        </w:rPr>
        <w:t>.</w:t>
      </w:r>
    </w:p>
    <w:p w:rsidR="004215B9" w:rsidRPr="00857CDA" w:rsidRDefault="00D32324" w:rsidP="001A6331">
      <w:pPr>
        <w:pStyle w:val="SingleTxtG"/>
        <w:ind w:left="1701"/>
        <w:rPr>
          <w:lang w:val="ro-RO"/>
        </w:rPr>
      </w:pPr>
      <w:r w:rsidRPr="00857CDA">
        <w:rPr>
          <w:lang w:val="ro-RO"/>
        </w:rPr>
        <w:t xml:space="preserve">La punctul </w:t>
      </w:r>
      <w:r w:rsidR="004215B9" w:rsidRPr="00857CDA">
        <w:rPr>
          <w:lang w:val="ro-RO"/>
        </w:rPr>
        <w:t xml:space="preserve">4., </w:t>
      </w:r>
      <w:r w:rsidR="00991390" w:rsidRPr="00857CDA">
        <w:rPr>
          <w:lang w:val="ro-RO"/>
        </w:rPr>
        <w:t>după</w:t>
      </w:r>
      <w:r w:rsidR="004215B9" w:rsidRPr="00857CDA">
        <w:rPr>
          <w:lang w:val="ro-RO"/>
        </w:rPr>
        <w:t xml:space="preserve"> </w:t>
      </w:r>
      <w:r w:rsidR="00256E1C" w:rsidRPr="00857CDA">
        <w:rPr>
          <w:lang w:val="ro-RO"/>
        </w:rPr>
        <w:t>„</w:t>
      </w:r>
      <w:r w:rsidRPr="00857CDA">
        <w:rPr>
          <w:lang w:val="ro-RO"/>
        </w:rPr>
        <w:t>deplasare a bateriei</w:t>
      </w:r>
      <w:r w:rsidR="00660131" w:rsidRPr="00857CDA">
        <w:rPr>
          <w:lang w:val="ro-RO"/>
        </w:rPr>
        <w:t>”</w:t>
      </w:r>
      <w:r w:rsidR="004215B9" w:rsidRPr="00857CDA">
        <w:rPr>
          <w:lang w:val="ro-RO"/>
        </w:rPr>
        <w:t xml:space="preserve">, </w:t>
      </w:r>
      <w:r w:rsidR="00902C44" w:rsidRPr="00857CDA">
        <w:rPr>
          <w:lang w:val="ro-RO"/>
        </w:rPr>
        <w:t>se adaugă</w:t>
      </w:r>
      <w:r w:rsidR="004215B9" w:rsidRPr="00857CDA">
        <w:rPr>
          <w:lang w:val="ro-RO"/>
        </w:rPr>
        <w:t xml:space="preserve"> </w:t>
      </w:r>
      <w:r w:rsidR="00256E1C" w:rsidRPr="00857CDA">
        <w:rPr>
          <w:lang w:val="ro-RO"/>
        </w:rPr>
        <w:t>„</w:t>
      </w:r>
      <w:r w:rsidRPr="00857CDA">
        <w:rPr>
          <w:lang w:val="ro-RO"/>
        </w:rPr>
        <w:t>sa</w:t>
      </w:r>
      <w:r w:rsidR="004215B9" w:rsidRPr="00857CDA">
        <w:rPr>
          <w:lang w:val="ro-RO"/>
        </w:rPr>
        <w:t xml:space="preserve">u </w:t>
      </w:r>
      <w:r w:rsidRPr="00857CDA">
        <w:rPr>
          <w:lang w:val="ro-RO"/>
        </w:rPr>
        <w:t>a echipa</w:t>
      </w:r>
      <w:r w:rsidR="004215B9" w:rsidRPr="00857CDA">
        <w:rPr>
          <w:lang w:val="ro-RO"/>
        </w:rPr>
        <w:t>ment</w:t>
      </w:r>
      <w:r w:rsidRPr="00857CDA">
        <w:rPr>
          <w:lang w:val="ro-RO"/>
        </w:rPr>
        <w:t>ului</w:t>
      </w:r>
      <w:r w:rsidR="00660131" w:rsidRPr="00857CDA">
        <w:rPr>
          <w:lang w:val="ro-RO"/>
        </w:rPr>
        <w:t>”</w:t>
      </w:r>
      <w:r w:rsidR="004C27AD" w:rsidRPr="00857CDA">
        <w:rPr>
          <w:lang w:val="ro-RO"/>
        </w:rPr>
        <w:t xml:space="preserve"> și </w:t>
      </w:r>
      <w:r w:rsidRPr="00857CDA">
        <w:rPr>
          <w:lang w:val="ro-RO"/>
        </w:rPr>
        <w:t>s</w:t>
      </w:r>
      <w:r w:rsidR="00902C44" w:rsidRPr="00857CDA">
        <w:rPr>
          <w:lang w:val="ro-RO"/>
        </w:rPr>
        <w:t>e modifică</w:t>
      </w:r>
      <w:r w:rsidR="00DA77EF" w:rsidRPr="00857CDA">
        <w:rPr>
          <w:lang w:val="ro-RO"/>
        </w:rPr>
        <w:t xml:space="preserve"> </w:t>
      </w:r>
      <w:r w:rsidRPr="00857CDA">
        <w:rPr>
          <w:lang w:val="ro-RO"/>
        </w:rPr>
        <w:t>„neconductiv” cu „neconducător de electricitate”</w:t>
      </w:r>
      <w:r w:rsidR="00DA77EF" w:rsidRPr="00857CDA">
        <w:rPr>
          <w:lang w:val="ro-RO"/>
        </w:rPr>
        <w:t>.</w:t>
      </w:r>
    </w:p>
    <w:p w:rsidR="004215B9" w:rsidRPr="00857CDA" w:rsidRDefault="00902C44" w:rsidP="001A6331">
      <w:pPr>
        <w:pStyle w:val="SingleTxtG"/>
        <w:ind w:left="1701"/>
        <w:rPr>
          <w:lang w:val="ro-RO"/>
        </w:rPr>
      </w:pPr>
      <w:r w:rsidRPr="00857CDA">
        <w:rPr>
          <w:lang w:val="ro-RO"/>
        </w:rPr>
        <w:lastRenderedPageBreak/>
        <w:t xml:space="preserve">În </w:t>
      </w:r>
      <w:r w:rsidR="00970E20" w:rsidRPr="00857CDA">
        <w:rPr>
          <w:lang w:val="ro-RO"/>
        </w:rPr>
        <w:t>ultima frază</w:t>
      </w:r>
      <w:r w:rsidR="00335CBD" w:rsidRPr="00857CDA">
        <w:rPr>
          <w:lang w:val="ro-RO"/>
        </w:rPr>
        <w:t xml:space="preserve"> </w:t>
      </w:r>
      <w:r w:rsidR="00D32324" w:rsidRPr="00857CDA">
        <w:rPr>
          <w:lang w:val="ro-RO"/>
        </w:rPr>
        <w:t>de dinaintea</w:t>
      </w:r>
      <w:r w:rsidR="00335CBD" w:rsidRPr="00857CDA">
        <w:rPr>
          <w:lang w:val="ro-RO"/>
        </w:rPr>
        <w:t xml:space="preserve"> </w:t>
      </w:r>
      <w:r w:rsidR="006A1ED1" w:rsidRPr="00857CDA">
        <w:rPr>
          <w:lang w:val="ro-RO"/>
        </w:rPr>
        <w:t>dispoziți</w:t>
      </w:r>
      <w:r w:rsidR="00D32324" w:rsidRPr="00857CDA">
        <w:rPr>
          <w:lang w:val="ro-RO"/>
        </w:rPr>
        <w:t>ei</w:t>
      </w:r>
      <w:r w:rsidR="006A1ED1" w:rsidRPr="00857CDA">
        <w:rPr>
          <w:lang w:val="ro-RO"/>
        </w:rPr>
        <w:t xml:space="preserve"> suplimentar</w:t>
      </w:r>
      <w:r w:rsidR="00D32324" w:rsidRPr="00857CDA">
        <w:rPr>
          <w:lang w:val="ro-RO"/>
        </w:rPr>
        <w:t>e</w:t>
      </w:r>
      <w:r w:rsidR="00335CBD" w:rsidRPr="00857CDA">
        <w:rPr>
          <w:lang w:val="ro-RO"/>
        </w:rPr>
        <w:t xml:space="preserve">, </w:t>
      </w:r>
      <w:r w:rsidR="00D32324" w:rsidRPr="00857CDA">
        <w:rPr>
          <w:lang w:val="ro-RO"/>
        </w:rPr>
        <w:t>înainte de</w:t>
      </w:r>
      <w:r w:rsidR="00335CBD" w:rsidRPr="00857CDA">
        <w:rPr>
          <w:lang w:val="ro-RO"/>
        </w:rPr>
        <w:t xml:space="preserve"> </w:t>
      </w:r>
      <w:r w:rsidR="00256E1C" w:rsidRPr="00857CDA">
        <w:rPr>
          <w:lang w:val="ro-RO"/>
        </w:rPr>
        <w:t>„</w:t>
      </w:r>
      <w:r w:rsidR="00335CBD" w:rsidRPr="00857CDA">
        <w:rPr>
          <w:lang w:val="ro-RO"/>
        </w:rPr>
        <w:t>bateri</w:t>
      </w:r>
      <w:r w:rsidR="00D32324" w:rsidRPr="00857CDA">
        <w:rPr>
          <w:lang w:val="ro-RO"/>
        </w:rPr>
        <w:t>ile</w:t>
      </w:r>
      <w:r w:rsidR="00660131" w:rsidRPr="00857CDA">
        <w:rPr>
          <w:lang w:val="ro-RO"/>
        </w:rPr>
        <w:t>”</w:t>
      </w:r>
      <w:r w:rsidR="00335CBD" w:rsidRPr="00857CDA">
        <w:rPr>
          <w:lang w:val="ro-RO"/>
        </w:rPr>
        <w:t xml:space="preserve"> </w:t>
      </w:r>
      <w:r w:rsidRPr="00857CDA">
        <w:rPr>
          <w:lang w:val="ro-RO"/>
        </w:rPr>
        <w:t>se adaugă</w:t>
      </w:r>
      <w:r w:rsidR="00335CBD" w:rsidRPr="00857CDA">
        <w:rPr>
          <w:lang w:val="ro-RO"/>
        </w:rPr>
        <w:t xml:space="preserve"> </w:t>
      </w:r>
      <w:r w:rsidR="00256E1C" w:rsidRPr="00857CDA">
        <w:rPr>
          <w:lang w:val="ro-RO"/>
        </w:rPr>
        <w:t>„</w:t>
      </w:r>
      <w:r w:rsidR="00335CBD" w:rsidRPr="00857CDA">
        <w:rPr>
          <w:lang w:val="ro-RO"/>
        </w:rPr>
        <w:t>pile</w:t>
      </w:r>
      <w:r w:rsidR="00D32324" w:rsidRPr="00857CDA">
        <w:rPr>
          <w:lang w:val="ro-RO"/>
        </w:rPr>
        <w:t>le</w:t>
      </w:r>
      <w:r w:rsidR="004C27AD" w:rsidRPr="00857CDA">
        <w:rPr>
          <w:lang w:val="ro-RO"/>
        </w:rPr>
        <w:t xml:space="preserve"> și </w:t>
      </w:r>
      <w:r w:rsidR="00660131" w:rsidRPr="00857CDA">
        <w:rPr>
          <w:lang w:val="ro-RO"/>
        </w:rPr>
        <w:t>“</w:t>
      </w:r>
      <w:r w:rsidR="00335CBD" w:rsidRPr="00857CDA">
        <w:rPr>
          <w:lang w:val="ro-RO"/>
        </w:rPr>
        <w:t>.</w:t>
      </w:r>
    </w:p>
    <w:p w:rsidR="004215B9" w:rsidRPr="00857CDA" w:rsidRDefault="00902C44" w:rsidP="001A6331">
      <w:pPr>
        <w:pStyle w:val="SingleTxtG"/>
        <w:ind w:left="1701"/>
        <w:rPr>
          <w:lang w:val="ro-RO"/>
        </w:rPr>
      </w:pPr>
      <w:r w:rsidRPr="00857CDA">
        <w:rPr>
          <w:lang w:val="ro-RO"/>
        </w:rPr>
        <w:t xml:space="preserve">În </w:t>
      </w:r>
      <w:r w:rsidR="006A1ED1" w:rsidRPr="00857CDA">
        <w:rPr>
          <w:lang w:val="ro-RO"/>
        </w:rPr>
        <w:t>dispoziția suplimentară</w:t>
      </w:r>
      <w:r w:rsidR="00335CBD" w:rsidRPr="00857CDA">
        <w:rPr>
          <w:lang w:val="ro-RO"/>
        </w:rPr>
        <w:t xml:space="preserve">, </w:t>
      </w:r>
      <w:r w:rsidR="00CC1B33" w:rsidRPr="00857CDA">
        <w:rPr>
          <w:lang w:val="ro-RO"/>
        </w:rPr>
        <w:t>se înlocuiește</w:t>
      </w:r>
      <w:r w:rsidR="00335CBD" w:rsidRPr="00857CDA">
        <w:rPr>
          <w:lang w:val="ro-RO"/>
        </w:rPr>
        <w:t xml:space="preserve"> </w:t>
      </w:r>
      <w:r w:rsidR="00256E1C" w:rsidRPr="00857CDA">
        <w:rPr>
          <w:lang w:val="ro-RO"/>
        </w:rPr>
        <w:t>„</w:t>
      </w:r>
      <w:r w:rsidR="00CC1B33" w:rsidRPr="00857CDA">
        <w:rPr>
          <w:lang w:val="ro-RO"/>
        </w:rPr>
        <w:t>Bateriile</w:t>
      </w:r>
      <w:r w:rsidR="00660131" w:rsidRPr="00857CDA">
        <w:rPr>
          <w:lang w:val="ro-RO"/>
        </w:rPr>
        <w:t>”</w:t>
      </w:r>
      <w:r w:rsidR="00335CBD" w:rsidRPr="00857CDA">
        <w:rPr>
          <w:lang w:val="ro-RO"/>
        </w:rPr>
        <w:t xml:space="preserve"> </w:t>
      </w:r>
      <w:r w:rsidR="00CC1B33" w:rsidRPr="00857CDA">
        <w:rPr>
          <w:lang w:val="ro-RO"/>
        </w:rPr>
        <w:t>cu</w:t>
      </w:r>
      <w:r w:rsidR="00335CBD" w:rsidRPr="00857CDA">
        <w:rPr>
          <w:lang w:val="ro-RO"/>
        </w:rPr>
        <w:t xml:space="preserve"> </w:t>
      </w:r>
      <w:r w:rsidR="00256E1C" w:rsidRPr="00857CDA">
        <w:rPr>
          <w:lang w:val="ro-RO"/>
        </w:rPr>
        <w:t>„</w:t>
      </w:r>
      <w:r w:rsidR="00CC1B33" w:rsidRPr="00857CDA">
        <w:rPr>
          <w:lang w:val="ro-RO"/>
        </w:rPr>
        <w:t xml:space="preserve">Pilele </w:t>
      </w:r>
      <w:r w:rsidR="004C27AD" w:rsidRPr="00857CDA">
        <w:rPr>
          <w:lang w:val="ro-RO"/>
        </w:rPr>
        <w:t xml:space="preserve">și </w:t>
      </w:r>
      <w:r w:rsidR="00CC1B33" w:rsidRPr="00857CDA">
        <w:rPr>
          <w:lang w:val="ro-RO"/>
        </w:rPr>
        <w:t>bateriile</w:t>
      </w:r>
      <w:r w:rsidR="00660131" w:rsidRPr="00857CDA">
        <w:rPr>
          <w:lang w:val="ro-RO"/>
        </w:rPr>
        <w:t>“</w:t>
      </w:r>
      <w:r w:rsidR="00335CBD" w:rsidRPr="00857CDA">
        <w:rPr>
          <w:lang w:val="ro-RO"/>
        </w:rPr>
        <w:t>.</w:t>
      </w:r>
    </w:p>
    <w:p w:rsidR="009C2E03" w:rsidRPr="00857CDA" w:rsidRDefault="009C2E03">
      <w:pPr>
        <w:suppressAutoHyphens w:val="0"/>
        <w:spacing w:line="240" w:lineRule="auto"/>
        <w:rPr>
          <w:lang w:val="ro-RO"/>
        </w:rPr>
      </w:pPr>
    </w:p>
    <w:p w:rsidR="00DD1250" w:rsidRPr="00857CDA" w:rsidRDefault="00DD1250" w:rsidP="00A06354">
      <w:pPr>
        <w:pStyle w:val="SingleTxtG"/>
        <w:tabs>
          <w:tab w:val="left" w:pos="2268"/>
        </w:tabs>
        <w:rPr>
          <w:lang w:val="ro-RO"/>
        </w:rPr>
      </w:pPr>
      <w:r w:rsidRPr="00857CDA">
        <w:rPr>
          <w:lang w:val="ro-RO"/>
        </w:rPr>
        <w:t>4.1.4.3</w:t>
      </w:r>
      <w:r w:rsidRPr="00857CDA">
        <w:rPr>
          <w:lang w:val="ro-RO"/>
        </w:rPr>
        <w:tab/>
      </w:r>
      <w:r w:rsidR="00BF2AC1" w:rsidRPr="00857CDA">
        <w:rPr>
          <w:lang w:val="ro-RO"/>
        </w:rPr>
        <w:t>Se adaugă nou</w:t>
      </w:r>
      <w:r w:rsidR="009441F9">
        <w:rPr>
          <w:lang w:val="ro-RO"/>
        </w:rPr>
        <w:t>a</w:t>
      </w:r>
      <w:r w:rsidR="00BF2AC1" w:rsidRPr="00857CDA">
        <w:rPr>
          <w:lang w:val="ro-RO"/>
        </w:rPr>
        <w:t xml:space="preserve"> instrucțiune de ambalare LP03, după cum urmează</w:t>
      </w:r>
      <w:r w:rsidR="00091658" w:rsidRPr="00857CDA">
        <w:rPr>
          <w:lang w:val="ro-RO"/>
        </w:rPr>
        <w:t>:</w:t>
      </w:r>
    </w:p>
    <w:tbl>
      <w:tblPr>
        <w:tblW w:w="9645" w:type="dxa"/>
        <w:jc w:val="center"/>
        <w:tblLayout w:type="fixed"/>
        <w:tblCellMar>
          <w:left w:w="0" w:type="dxa"/>
          <w:right w:w="113" w:type="dxa"/>
        </w:tblCellMar>
        <w:tblLook w:val="01E0" w:firstRow="1" w:lastRow="1" w:firstColumn="1" w:lastColumn="1" w:noHBand="0" w:noVBand="0"/>
      </w:tblPr>
      <w:tblGrid>
        <w:gridCol w:w="1137"/>
        <w:gridCol w:w="7513"/>
        <w:gridCol w:w="995"/>
      </w:tblGrid>
      <w:tr w:rsidR="00A074FC" w:rsidRPr="00857CDA" w:rsidTr="00BF2AC1">
        <w:trPr>
          <w:cantSplit/>
          <w:tblHeader/>
          <w:jc w:val="center"/>
        </w:trPr>
        <w:tc>
          <w:tcPr>
            <w:tcW w:w="1137"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DD1250" w:rsidRPr="00857CDA"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ro-RO"/>
              </w:rPr>
            </w:pPr>
            <w:r w:rsidRPr="00857CDA">
              <w:rPr>
                <w:b/>
                <w:lang w:val="ro-RO"/>
              </w:rPr>
              <w:t>LP03</w:t>
            </w:r>
          </w:p>
        </w:tc>
        <w:tc>
          <w:tcPr>
            <w:tcW w:w="7513"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DD1250" w:rsidRPr="00857CDA" w:rsidRDefault="00BF2AC1"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ro-RO"/>
              </w:rPr>
            </w:pPr>
            <w:r w:rsidRPr="00857CDA">
              <w:rPr>
                <w:b/>
                <w:iCs/>
                <w:lang w:val="ro-RO"/>
              </w:rPr>
              <w:t>INSTRUCȚIUNE</w:t>
            </w:r>
            <w:r w:rsidR="006A1ED1" w:rsidRPr="00857CDA">
              <w:rPr>
                <w:b/>
                <w:iCs/>
                <w:lang w:val="ro-RO"/>
              </w:rPr>
              <w:t xml:space="preserve"> DE AMBALARE</w:t>
            </w:r>
          </w:p>
        </w:tc>
        <w:tc>
          <w:tcPr>
            <w:tcW w:w="99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D1250" w:rsidRPr="00857CDA" w:rsidRDefault="00DD1250" w:rsidP="00657D7C">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ro-RO"/>
              </w:rPr>
            </w:pPr>
            <w:r w:rsidRPr="00857CDA">
              <w:rPr>
                <w:b/>
                <w:iCs/>
                <w:lang w:val="ro-RO"/>
              </w:rPr>
              <w:t>LP03</w:t>
            </w:r>
          </w:p>
        </w:tc>
      </w:tr>
      <w:tr w:rsidR="00A074FC" w:rsidRPr="00857CDA"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D1250" w:rsidRPr="00857CDA" w:rsidRDefault="00CC1B33" w:rsidP="00CC1B33">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t xml:space="preserve">Această instrucţiune se aplică pentru </w:t>
            </w:r>
            <w:r w:rsidR="002B679C" w:rsidRPr="00857CDA">
              <w:rPr>
                <w:iCs/>
                <w:lang w:val="ro-RO"/>
              </w:rPr>
              <w:t>Nr. ONU</w:t>
            </w:r>
            <w:r w:rsidR="00DD1250" w:rsidRPr="00857CDA">
              <w:rPr>
                <w:iCs/>
                <w:lang w:val="ro-RO"/>
              </w:rPr>
              <w:t xml:space="preserve"> 3537</w:t>
            </w:r>
            <w:r w:rsidR="00695AA0" w:rsidRPr="00857CDA">
              <w:rPr>
                <w:iCs/>
                <w:lang w:val="ro-RO"/>
              </w:rPr>
              <w:t xml:space="preserve"> </w:t>
            </w:r>
            <w:r w:rsidRPr="00857CDA">
              <w:rPr>
                <w:iCs/>
                <w:lang w:val="ro-RO"/>
              </w:rPr>
              <w:t>la</w:t>
            </w:r>
            <w:r w:rsidR="00DD1250" w:rsidRPr="00857CDA">
              <w:rPr>
                <w:iCs/>
                <w:lang w:val="ro-RO"/>
              </w:rPr>
              <w:t xml:space="preserve"> 3548.</w:t>
            </w:r>
          </w:p>
        </w:tc>
      </w:tr>
      <w:tr w:rsidR="00A074FC" w:rsidRPr="00857CDA"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DD1250" w:rsidRPr="00857CDA" w:rsidRDefault="00B95B90" w:rsidP="00CC1B33">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ind w:left="502" w:hanging="502"/>
              <w:jc w:val="both"/>
              <w:rPr>
                <w:lang w:val="ro-RO"/>
              </w:rPr>
            </w:pPr>
            <w:r w:rsidRPr="00857CDA">
              <w:rPr>
                <w:lang w:val="ro-RO"/>
              </w:rPr>
              <w:t>1)</w:t>
            </w:r>
            <w:r w:rsidR="00DD1250" w:rsidRPr="00857CDA">
              <w:rPr>
                <w:lang w:val="ro-RO"/>
              </w:rPr>
              <w:t xml:space="preserve"> </w:t>
            </w:r>
            <w:r w:rsidR="00DD1250" w:rsidRPr="00857CDA">
              <w:rPr>
                <w:lang w:val="ro-RO"/>
              </w:rPr>
              <w:tab/>
            </w:r>
            <w:r w:rsidR="00CC1B33" w:rsidRPr="00857CDA">
              <w:rPr>
                <w:lang w:val="ro-RO"/>
              </w:rPr>
              <w:t>Următoarele ambalaje mari sunt autorizate, dacă îndeplinesc dispoziţiile generale de la 4.1.1 şi 4.1.3:</w:t>
            </w:r>
          </w:p>
        </w:tc>
      </w:tr>
      <w:tr w:rsidR="00A074FC" w:rsidRPr="007D305F"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DD1250" w:rsidRPr="00857CDA" w:rsidRDefault="00DD1250" w:rsidP="00CC1B33">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lang w:val="ro-RO"/>
              </w:rPr>
              <w:tab/>
            </w:r>
            <w:r w:rsidR="00CC1B33" w:rsidRPr="00857CDA">
              <w:rPr>
                <w:iCs/>
                <w:lang w:val="ro-RO"/>
              </w:rPr>
              <w:t>Ambalajele mari rigide conforme nivelului de încercare al grupei de ambalare II, făcute din</w:t>
            </w:r>
            <w:r w:rsidR="00091658" w:rsidRPr="00857CDA">
              <w:rPr>
                <w:lang w:val="ro-RO"/>
              </w:rPr>
              <w:t>:</w:t>
            </w:r>
            <w:r w:rsidR="00FF4720" w:rsidRPr="00857CDA">
              <w:rPr>
                <w:iCs/>
                <w:lang w:val="ro-RO"/>
              </w:rPr>
              <w:t xml:space="preserve"> </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DD1250" w:rsidRPr="00857CDA" w:rsidRDefault="00D76631" w:rsidP="00D76631">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Oțel</w:t>
            </w:r>
            <w:r w:rsidR="00DD1250" w:rsidRPr="00857CDA">
              <w:rPr>
                <w:iCs/>
                <w:lang w:val="ro-RO"/>
              </w:rPr>
              <w:t xml:space="preserve"> (50A)</w:t>
            </w:r>
            <w:r w:rsidR="00836A3C" w:rsidRPr="00857CDA">
              <w:rPr>
                <w:iCs/>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836A3C" w:rsidP="00D76631">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Aluminiu (50B);</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76631" w:rsidP="00D76631">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lang w:val="ro-RO"/>
              </w:rPr>
              <w:t xml:space="preserve">Metal altul decât oţelul sau aluminiul </w:t>
            </w:r>
            <w:r w:rsidR="00836A3C" w:rsidRPr="00857CDA">
              <w:rPr>
                <w:iCs/>
                <w:lang w:val="ro-RO"/>
              </w:rPr>
              <w:t>(50N);</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836A3C" w:rsidP="00D76631">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Plasti</w:t>
            </w:r>
            <w:r w:rsidR="00D76631" w:rsidRPr="00857CDA">
              <w:rPr>
                <w:iCs/>
                <w:lang w:val="ro-RO"/>
              </w:rPr>
              <w:t>c</w:t>
            </w:r>
            <w:r w:rsidRPr="00857CDA">
              <w:rPr>
                <w:iCs/>
                <w:lang w:val="ro-RO"/>
              </w:rPr>
              <w:t xml:space="preserve"> rigid (50H)</w:t>
            </w:r>
            <w:r w:rsidR="00D76631" w:rsidRPr="00857CDA">
              <w:rPr>
                <w:iCs/>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76631" w:rsidP="00D76631">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Lemn</w:t>
            </w:r>
            <w:r w:rsidR="00836A3C" w:rsidRPr="00857CDA">
              <w:rPr>
                <w:iCs/>
                <w:lang w:val="ro-RO"/>
              </w:rPr>
              <w:t xml:space="preserve"> natur</w:t>
            </w:r>
            <w:r w:rsidRPr="00857CDA">
              <w:rPr>
                <w:iCs/>
                <w:lang w:val="ro-RO"/>
              </w:rPr>
              <w:t>a</w:t>
            </w:r>
            <w:r w:rsidR="00836A3C" w:rsidRPr="00857CDA">
              <w:rPr>
                <w:iCs/>
                <w:lang w:val="ro-RO"/>
              </w:rPr>
              <w:t>l (50C)</w:t>
            </w:r>
            <w:r w:rsidRPr="00857CDA">
              <w:rPr>
                <w:iCs/>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76631"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Placaj</w:t>
            </w:r>
            <w:r w:rsidR="00836A3C" w:rsidRPr="00857CDA">
              <w:rPr>
                <w:iCs/>
                <w:lang w:val="ro-RO"/>
              </w:rPr>
              <w:t xml:space="preserve"> (50D)</w:t>
            </w:r>
            <w:r w:rsidRPr="00857CDA">
              <w:rPr>
                <w:iCs/>
                <w:lang w:val="ro-RO"/>
              </w:rPr>
              <w:t>;</w:t>
            </w:r>
          </w:p>
        </w:tc>
      </w:tr>
      <w:tr w:rsidR="00A074FC" w:rsidRPr="00857CDA"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D1250" w:rsidRPr="00857CDA" w:rsidRDefault="00D76631" w:rsidP="00657D7C">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Lemn reconstituit</w:t>
            </w:r>
            <w:r w:rsidR="00836A3C" w:rsidRPr="00857CDA">
              <w:rPr>
                <w:iCs/>
                <w:lang w:val="ro-RO"/>
              </w:rPr>
              <w:t xml:space="preserve"> (50F)</w:t>
            </w:r>
            <w:r w:rsidRPr="00857CDA">
              <w:rPr>
                <w:iCs/>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D1250" w:rsidP="00D76631">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Carton rigid (50G).</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2)</w:t>
            </w:r>
            <w:r w:rsidR="00DD1250" w:rsidRPr="00857CDA">
              <w:rPr>
                <w:lang w:val="ro-RO"/>
              </w:rPr>
              <w:tab/>
            </w:r>
            <w:r w:rsidR="006C6EF2" w:rsidRPr="00857CDA">
              <w:rPr>
                <w:lang w:val="ro-RO"/>
              </w:rPr>
              <w:t>În plus, trebuie îndeplinite următoarele condiții</w:t>
            </w:r>
            <w:r w:rsidR="00091658" w:rsidRPr="00857CDA">
              <w:rPr>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D1250" w:rsidP="00E61B6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a) </w:t>
            </w:r>
            <w:r w:rsidRPr="00857CDA">
              <w:rPr>
                <w:lang w:val="ro-RO"/>
              </w:rPr>
              <w:tab/>
            </w:r>
            <w:r w:rsidR="00E61B6D" w:rsidRPr="00857CDA">
              <w:rPr>
                <w:lang w:val="ro-RO"/>
              </w:rPr>
              <w:t>Recipientele din obiecte care conțin lichide sau solide trebuie să fie fabricate din materiale adecvate și fixate în cadrul obiectului astfel încât, în condiții normale de transport, să nu se poată sparge, să fie perforate sau să se scurgă conținutul în obiect sau în ambalajul exterior</w:t>
            </w:r>
            <w:r w:rsidR="00D76631" w:rsidRPr="00857CDA">
              <w:rPr>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D1250" w:rsidP="00E61B6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b) </w:t>
            </w:r>
            <w:r w:rsidRPr="00857CDA">
              <w:rPr>
                <w:lang w:val="ro-RO"/>
              </w:rPr>
              <w:tab/>
            </w:r>
            <w:r w:rsidR="00E61B6D" w:rsidRPr="00857CDA">
              <w:rPr>
                <w:lang w:val="ro-RO"/>
              </w:rPr>
              <w:t>Recipientele care conțin lichide și sunt prevăzute cu dispozitive de închidere trebuie ambalate astfel încât închiderile lor să fie orientate corespunzător. Recipientele trebuie, de asemenea, să respecte dispozițiile pentru încercarea la presiune internă de la 6.1.5.5;</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D1250" w:rsidP="00E61B6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c) </w:t>
            </w:r>
            <w:r w:rsidRPr="00857CDA">
              <w:rPr>
                <w:lang w:val="ro-RO"/>
              </w:rPr>
              <w:tab/>
            </w:r>
            <w:r w:rsidR="00E61B6D" w:rsidRPr="00857CDA">
              <w:rPr>
                <w:lang w:val="ro-RO"/>
              </w:rPr>
              <w:t>Recipientele susceptibile de a se sparge sau de a fi perforate cu ușurință, de exemplu, recipientele din sticlă, porțelan sau gresie sau anumite materiale plastice, trebuie să fie bine protejate. Orice scurgere a conținutului nu trebuie să modifice în mod semnificativ proprietățile de protecție ale obiectului sau ale ambalajului său exterior;</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DD1250" w:rsidRPr="00857CDA" w:rsidRDefault="00DD1250"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d) </w:t>
            </w:r>
            <w:r w:rsidRPr="00857CDA">
              <w:rPr>
                <w:lang w:val="ro-RO"/>
              </w:rPr>
              <w:tab/>
            </w:r>
            <w:r w:rsidR="00E61B6D" w:rsidRPr="00857CDA">
              <w:rPr>
                <w:lang w:val="ro-RO"/>
              </w:rPr>
              <w:t>Recipientele care conțin gaze, plasate în interiorul obiectelor, trebuie să îndeplinească prescripțiile de la secțiunea 4.1.6 și de la capitolul 6.2, după caz, sau să asigure un nivel de protecție echivalent cu cel al instrucțiunilor de ambalare P200 sau P208;</w:t>
            </w:r>
          </w:p>
        </w:tc>
      </w:tr>
      <w:tr w:rsidR="00A074FC" w:rsidRPr="007D305F" w:rsidTr="00FC7059">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DD1250" w:rsidRPr="00857CDA" w:rsidRDefault="00DD1250" w:rsidP="00657D7C">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e) </w:t>
            </w:r>
            <w:r w:rsidRPr="00857CDA">
              <w:rPr>
                <w:lang w:val="ro-RO"/>
              </w:rPr>
              <w:tab/>
            </w:r>
            <w:r w:rsidR="00E61B6D" w:rsidRPr="00857CDA">
              <w:rPr>
                <w:lang w:val="ro-RO"/>
              </w:rPr>
              <w:t>În cazul în care obiectul nu conține niciun recipient, acesta trebuie să rețină complet substanțele periculoase conținute și să prevină orice scurgere a acestora în condiții normale de transport.</w:t>
            </w:r>
          </w:p>
        </w:tc>
      </w:tr>
      <w:tr w:rsidR="00A074FC" w:rsidRPr="007D305F"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DD1250" w:rsidRPr="00857CDA" w:rsidRDefault="00B95B90" w:rsidP="00657D7C">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3)</w:t>
            </w:r>
            <w:r w:rsidR="00DD1250" w:rsidRPr="00857CDA">
              <w:rPr>
                <w:lang w:val="ro-RO"/>
              </w:rPr>
              <w:tab/>
            </w:r>
            <w:r w:rsidR="00E61B6D" w:rsidRPr="00857CDA">
              <w:rPr>
                <w:lang w:val="ro-RO"/>
              </w:rPr>
              <w:t>Obiectele trebuie ambalate astfel încât să se evite orice mișcare a acestora și orice funcționare accidentală în condiții normale de transport.</w:t>
            </w:r>
          </w:p>
        </w:tc>
      </w:tr>
    </w:tbl>
    <w:p w:rsidR="00725BE1" w:rsidRPr="00857CDA" w:rsidRDefault="00725BE1" w:rsidP="0074245A">
      <w:pPr>
        <w:pStyle w:val="SingleTxtG"/>
        <w:spacing w:before="120"/>
        <w:rPr>
          <w:lang w:val="ro-RO"/>
        </w:rPr>
      </w:pPr>
    </w:p>
    <w:p w:rsidR="00725BE1" w:rsidRPr="00857CDA" w:rsidRDefault="00725BE1">
      <w:pPr>
        <w:suppressAutoHyphens w:val="0"/>
        <w:spacing w:line="240" w:lineRule="auto"/>
        <w:rPr>
          <w:lang w:val="ro-RO"/>
        </w:rPr>
      </w:pPr>
      <w:r w:rsidRPr="00857CDA">
        <w:rPr>
          <w:lang w:val="ro-RO"/>
        </w:rPr>
        <w:br w:type="page"/>
      </w:r>
    </w:p>
    <w:p w:rsidR="004215B9" w:rsidRPr="00857CDA" w:rsidRDefault="004215B9" w:rsidP="0074245A">
      <w:pPr>
        <w:pStyle w:val="SingleTxtG"/>
        <w:spacing w:before="120"/>
        <w:rPr>
          <w:lang w:val="ro-RO"/>
        </w:rPr>
      </w:pPr>
      <w:r w:rsidRPr="00857CDA">
        <w:rPr>
          <w:lang w:val="ro-RO"/>
        </w:rPr>
        <w:lastRenderedPageBreak/>
        <w:t>4.1.4.3</w:t>
      </w:r>
      <w:r w:rsidRPr="00857CDA">
        <w:rPr>
          <w:lang w:val="ro-RO"/>
        </w:rPr>
        <w:tab/>
      </w:r>
      <w:r w:rsidRPr="00857CDA">
        <w:rPr>
          <w:lang w:val="ro-RO"/>
        </w:rPr>
        <w:tab/>
      </w:r>
      <w:r w:rsidR="00BF2AC1" w:rsidRPr="00857CDA">
        <w:rPr>
          <w:lang w:val="ro-RO"/>
        </w:rPr>
        <w:t>Se adaugă noua instrucțiune de ambalare LP905, după cum urmează:</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A074FC" w:rsidRPr="00857CDA" w:rsidTr="00FC7059">
        <w:trPr>
          <w:cantSplit/>
          <w:tblHeader/>
        </w:trPr>
        <w:tc>
          <w:tcPr>
            <w:tcW w:w="853" w:type="dxa"/>
          </w:tcPr>
          <w:p w:rsidR="004215B9" w:rsidRPr="00857CDA"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ro-RO"/>
              </w:rPr>
            </w:pPr>
            <w:r w:rsidRPr="00857CDA">
              <w:rPr>
                <w:b/>
                <w:bCs/>
                <w:lang w:val="ro-RO"/>
              </w:rPr>
              <w:t>LP905</w:t>
            </w:r>
          </w:p>
        </w:tc>
        <w:tc>
          <w:tcPr>
            <w:tcW w:w="7938" w:type="dxa"/>
          </w:tcPr>
          <w:p w:rsidR="004215B9" w:rsidRPr="00857CDA" w:rsidRDefault="004215B9" w:rsidP="00BF2AC1">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lang w:val="ro-RO"/>
              </w:rPr>
            </w:pPr>
            <w:r w:rsidRPr="00857CDA">
              <w:rPr>
                <w:b/>
                <w:bCs/>
                <w:lang w:val="ro-RO"/>
              </w:rPr>
              <w:t>INSTRUC</w:t>
            </w:r>
            <w:r w:rsidR="00BF2AC1" w:rsidRPr="00857CDA">
              <w:rPr>
                <w:b/>
                <w:bCs/>
                <w:lang w:val="ro-RO"/>
              </w:rPr>
              <w:t>ȚIUNE</w:t>
            </w:r>
            <w:r w:rsidRPr="00857CDA">
              <w:rPr>
                <w:b/>
                <w:bCs/>
                <w:lang w:val="ro-RO"/>
              </w:rPr>
              <w:t xml:space="preserve"> </w:t>
            </w:r>
            <w:r w:rsidR="006A1ED1" w:rsidRPr="00857CDA">
              <w:rPr>
                <w:b/>
                <w:bCs/>
                <w:lang w:val="ro-RO"/>
              </w:rPr>
              <w:t>DE AMBALARE</w:t>
            </w:r>
          </w:p>
        </w:tc>
        <w:tc>
          <w:tcPr>
            <w:tcW w:w="850" w:type="dxa"/>
          </w:tcPr>
          <w:p w:rsidR="004215B9" w:rsidRPr="00857CDA" w:rsidRDefault="004215B9" w:rsidP="006201FD">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ro-RO"/>
              </w:rPr>
            </w:pPr>
            <w:r w:rsidRPr="00857CDA">
              <w:rPr>
                <w:b/>
                <w:bCs/>
                <w:lang w:val="ro-RO"/>
              </w:rPr>
              <w:t>LP905</w:t>
            </w:r>
          </w:p>
        </w:tc>
      </w:tr>
      <w:tr w:rsidR="00A074FC" w:rsidRPr="007D305F" w:rsidTr="006201FD">
        <w:trPr>
          <w:cantSplit/>
        </w:trPr>
        <w:tc>
          <w:tcPr>
            <w:tcW w:w="9641" w:type="dxa"/>
            <w:gridSpan w:val="3"/>
            <w:tcBorders>
              <w:bottom w:val="single" w:sz="6" w:space="0" w:color="auto"/>
            </w:tcBorders>
          </w:tcPr>
          <w:p w:rsidR="004215B9" w:rsidRPr="00857CDA" w:rsidRDefault="007B6F3F" w:rsidP="00E61B6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iCs/>
                <w:lang w:val="ro-RO"/>
              </w:rPr>
            </w:pPr>
            <w:r w:rsidRPr="00857CDA">
              <w:rPr>
                <w:iCs/>
                <w:lang w:val="ro-RO"/>
              </w:rPr>
              <w:t>Această instrucţiune se aplică seriilor de producție compuse din maxim 100 de pile și baterii de la Nr. ONU 3090, 3091, 3480 și 3481 și prototipurilor de pre-producție de pile și baterii de la aceleași nr. ONU, atunci când aceste prototipuri sunt transportate pentru a fi încercate.</w:t>
            </w:r>
          </w:p>
        </w:tc>
      </w:tr>
      <w:tr w:rsidR="00A074FC" w:rsidRPr="007D305F" w:rsidTr="006201FD">
        <w:trPr>
          <w:cantSplit/>
        </w:trPr>
        <w:tc>
          <w:tcPr>
            <w:tcW w:w="9641" w:type="dxa"/>
            <w:gridSpan w:val="3"/>
            <w:tcBorders>
              <w:top w:val="single" w:sz="6" w:space="0" w:color="auto"/>
              <w:bottom w:val="nil"/>
            </w:tcBorders>
          </w:tcPr>
          <w:p w:rsidR="004215B9" w:rsidRPr="00857CDA" w:rsidRDefault="007B6F3F" w:rsidP="00857CDA">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ro-RO"/>
              </w:rPr>
            </w:pPr>
            <w:r w:rsidRPr="00857CDA">
              <w:rPr>
                <w:lang w:val="ro-RO"/>
              </w:rPr>
              <w:t>Următoarele ambalaje mari sunt autorizate pentru o singură baterie și pentru un singur ec</w:t>
            </w:r>
            <w:r w:rsidR="00857CDA">
              <w:rPr>
                <w:lang w:val="ro-RO"/>
              </w:rPr>
              <w:t>h</w:t>
            </w:r>
            <w:r w:rsidRPr="00857CDA">
              <w:rPr>
                <w:lang w:val="ro-RO"/>
              </w:rPr>
              <w:t>ipament care conține pile sau baterii, dacă sunt îndeplinite dispoziţiile generale de la 4.1.1 şi 4.1.3:</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ro-RO"/>
              </w:rPr>
            </w:pPr>
            <w:r w:rsidRPr="00857CDA">
              <w:rPr>
                <w:lang w:val="ro-RO"/>
              </w:rPr>
              <w:t>1)</w:t>
            </w:r>
            <w:r w:rsidRPr="00857CDA">
              <w:rPr>
                <w:lang w:val="ro-RO"/>
              </w:rPr>
              <w:tab/>
            </w:r>
            <w:r w:rsidR="00991390" w:rsidRPr="00857CDA">
              <w:rPr>
                <w:lang w:val="ro-RO"/>
              </w:rPr>
              <w:t>Pentru</w:t>
            </w:r>
            <w:r w:rsidRPr="00857CDA">
              <w:rPr>
                <w:lang w:val="ro-RO"/>
              </w:rPr>
              <w:t xml:space="preserve"> </w:t>
            </w:r>
            <w:r w:rsidR="007B6F3F" w:rsidRPr="00857CDA">
              <w:rPr>
                <w:lang w:val="ro-RO"/>
              </w:rPr>
              <w:t>o</w:t>
            </w:r>
            <w:r w:rsidRPr="00857CDA">
              <w:rPr>
                <w:lang w:val="ro-RO"/>
              </w:rPr>
              <w:t xml:space="preserve"> </w:t>
            </w:r>
            <w:r w:rsidRPr="00857CDA">
              <w:rPr>
                <w:rFonts w:asciiTheme="majorBidi" w:hAnsiTheme="majorBidi" w:cstheme="majorBidi"/>
                <w:lang w:val="ro-RO"/>
              </w:rPr>
              <w:t>baterie</w:t>
            </w:r>
            <w:r w:rsidR="00091658" w:rsidRPr="00857CDA">
              <w:rPr>
                <w:lang w:val="ro-RO"/>
              </w:rPr>
              <w:t>:</w:t>
            </w:r>
          </w:p>
        </w:tc>
      </w:tr>
      <w:tr w:rsidR="00A074FC" w:rsidRPr="007D305F" w:rsidTr="006201FD">
        <w:trPr>
          <w:cantSplit/>
        </w:trPr>
        <w:tc>
          <w:tcPr>
            <w:tcW w:w="9641" w:type="dxa"/>
            <w:gridSpan w:val="3"/>
            <w:tcBorders>
              <w:top w:val="nil"/>
              <w:bottom w:val="nil"/>
            </w:tcBorders>
          </w:tcPr>
          <w:p w:rsidR="004215B9" w:rsidRPr="00857CDA" w:rsidRDefault="004215B9"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ro-RO"/>
              </w:rPr>
            </w:pPr>
            <w:r w:rsidRPr="00857CDA">
              <w:rPr>
                <w:lang w:val="ro-RO"/>
              </w:rPr>
              <w:tab/>
            </w:r>
            <w:r w:rsidR="007B6F3F" w:rsidRPr="00857CDA">
              <w:rPr>
                <w:iCs/>
                <w:lang w:val="ro-RO"/>
              </w:rPr>
              <w:t>Ambalajele mari rigide conforme nivelului de încercare al grupei de ambalare II, făcute din</w:t>
            </w:r>
            <w:r w:rsidR="007B6F3F" w:rsidRPr="00857CDA">
              <w:rPr>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007B6F3F" w:rsidRPr="00857CDA">
              <w:rPr>
                <w:rFonts w:asciiTheme="majorBidi" w:hAnsiTheme="majorBidi" w:cstheme="majorBidi"/>
                <w:lang w:val="ro-RO"/>
              </w:rPr>
              <w:t>Oțel</w:t>
            </w:r>
            <w:r w:rsidR="00836A3C" w:rsidRPr="00857CDA">
              <w:rPr>
                <w:rFonts w:asciiTheme="majorBidi" w:hAnsiTheme="majorBidi" w:cstheme="majorBidi"/>
                <w:lang w:val="ro-RO"/>
              </w:rPr>
              <w:t xml:space="preserve"> (50A)</w:t>
            </w:r>
            <w:r w:rsidR="00D76631" w:rsidRPr="00857CDA">
              <w:rPr>
                <w:rFonts w:asciiTheme="majorBidi" w:hAnsiTheme="majorBidi" w:cstheme="majorBidi"/>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00836A3C" w:rsidRPr="00857CDA">
              <w:rPr>
                <w:rFonts w:asciiTheme="majorBidi" w:hAnsiTheme="majorBidi" w:cstheme="majorBidi"/>
                <w:lang w:val="ro-RO"/>
              </w:rPr>
              <w:t>Aluminiu (50B)</w:t>
            </w:r>
            <w:r w:rsidR="00D76631" w:rsidRPr="00857CDA">
              <w:rPr>
                <w:rFonts w:asciiTheme="majorBidi" w:hAnsiTheme="majorBidi" w:cstheme="majorBidi"/>
                <w:lang w:val="ro-RO"/>
              </w:rPr>
              <w:t>;</w:t>
            </w:r>
          </w:p>
        </w:tc>
      </w:tr>
      <w:tr w:rsidR="00A074FC" w:rsidRPr="007D305F"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007B6F3F" w:rsidRPr="00857CDA">
              <w:rPr>
                <w:rFonts w:asciiTheme="majorBidi" w:hAnsiTheme="majorBidi" w:cstheme="majorBidi"/>
                <w:lang w:val="ro-RO"/>
              </w:rPr>
              <w:t>Me</w:t>
            </w:r>
            <w:r w:rsidRPr="00857CDA">
              <w:rPr>
                <w:rFonts w:asciiTheme="majorBidi" w:hAnsiTheme="majorBidi" w:cstheme="majorBidi"/>
                <w:lang w:val="ro-RO"/>
              </w:rPr>
              <w:t>tal a</w:t>
            </w:r>
            <w:r w:rsidR="007B6F3F" w:rsidRPr="00857CDA">
              <w:rPr>
                <w:rFonts w:asciiTheme="majorBidi" w:hAnsiTheme="majorBidi" w:cstheme="majorBidi"/>
                <w:lang w:val="ro-RO"/>
              </w:rPr>
              <w:t>l</w:t>
            </w:r>
            <w:r w:rsidRPr="00857CDA">
              <w:rPr>
                <w:rFonts w:asciiTheme="majorBidi" w:hAnsiTheme="majorBidi" w:cstheme="majorBidi"/>
                <w:lang w:val="ro-RO"/>
              </w:rPr>
              <w:t>t</w:t>
            </w:r>
            <w:r w:rsidR="007B6F3F" w:rsidRPr="00857CDA">
              <w:rPr>
                <w:rFonts w:asciiTheme="majorBidi" w:hAnsiTheme="majorBidi" w:cstheme="majorBidi"/>
                <w:lang w:val="ro-RO"/>
              </w:rPr>
              <w:t>ul</w:t>
            </w:r>
            <w:r w:rsidRPr="00857CDA">
              <w:rPr>
                <w:rFonts w:asciiTheme="majorBidi" w:hAnsiTheme="majorBidi" w:cstheme="majorBidi"/>
                <w:lang w:val="ro-RO"/>
              </w:rPr>
              <w:t xml:space="preserve"> </w:t>
            </w:r>
            <w:r w:rsidR="007B6F3F" w:rsidRPr="00857CDA">
              <w:rPr>
                <w:rFonts w:asciiTheme="majorBidi" w:hAnsiTheme="majorBidi" w:cstheme="majorBidi"/>
                <w:lang w:val="ro-RO"/>
              </w:rPr>
              <w:t xml:space="preserve">decât oțel sau </w:t>
            </w:r>
            <w:r w:rsidR="00836A3C" w:rsidRPr="00857CDA">
              <w:rPr>
                <w:rFonts w:asciiTheme="majorBidi" w:hAnsiTheme="majorBidi" w:cstheme="majorBidi"/>
                <w:lang w:val="ro-RO"/>
              </w:rPr>
              <w:t>aluminiu (50N)</w:t>
            </w:r>
            <w:r w:rsidR="00D76631" w:rsidRPr="00857CDA">
              <w:rPr>
                <w:rFonts w:asciiTheme="majorBidi" w:hAnsiTheme="majorBidi" w:cstheme="majorBidi"/>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00836A3C" w:rsidRPr="00857CDA">
              <w:rPr>
                <w:rFonts w:asciiTheme="majorBidi" w:hAnsiTheme="majorBidi" w:cstheme="majorBidi"/>
                <w:lang w:val="ro-RO"/>
              </w:rPr>
              <w:t>Plasti</w:t>
            </w:r>
            <w:r w:rsidR="007B6F3F" w:rsidRPr="00857CDA">
              <w:rPr>
                <w:rFonts w:asciiTheme="majorBidi" w:hAnsiTheme="majorBidi" w:cstheme="majorBidi"/>
                <w:lang w:val="ro-RO"/>
              </w:rPr>
              <w:t>c</w:t>
            </w:r>
            <w:r w:rsidR="00836A3C" w:rsidRPr="00857CDA">
              <w:rPr>
                <w:rFonts w:asciiTheme="majorBidi" w:hAnsiTheme="majorBidi" w:cstheme="majorBidi"/>
                <w:lang w:val="ro-RO"/>
              </w:rPr>
              <w:t xml:space="preserve"> rigid (50H)</w:t>
            </w:r>
            <w:r w:rsidR="00D76631" w:rsidRPr="00857CDA">
              <w:rPr>
                <w:rFonts w:asciiTheme="majorBidi" w:hAnsiTheme="majorBidi" w:cstheme="majorBidi"/>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007B6F3F" w:rsidRPr="00857CDA">
              <w:rPr>
                <w:rFonts w:asciiTheme="majorBidi" w:hAnsiTheme="majorBidi" w:cstheme="majorBidi"/>
                <w:lang w:val="ro-RO"/>
              </w:rPr>
              <w:t>Lemn</w:t>
            </w:r>
            <w:r w:rsidRPr="00857CDA">
              <w:rPr>
                <w:rFonts w:asciiTheme="majorBidi" w:hAnsiTheme="majorBidi" w:cstheme="majorBidi"/>
                <w:lang w:val="ro-RO"/>
              </w:rPr>
              <w:t xml:space="preserve"> </w:t>
            </w:r>
            <w:r w:rsidR="00086498" w:rsidRPr="00857CDA">
              <w:rPr>
                <w:rFonts w:asciiTheme="majorBidi" w:hAnsiTheme="majorBidi" w:cstheme="majorBidi"/>
                <w:lang w:val="ro-RO"/>
              </w:rPr>
              <w:t>natur</w:t>
            </w:r>
            <w:r w:rsidR="007B6F3F" w:rsidRPr="00857CDA">
              <w:rPr>
                <w:rFonts w:asciiTheme="majorBidi" w:hAnsiTheme="majorBidi" w:cstheme="majorBidi"/>
                <w:lang w:val="ro-RO"/>
              </w:rPr>
              <w:t>a</w:t>
            </w:r>
            <w:r w:rsidR="00086498" w:rsidRPr="00857CDA">
              <w:rPr>
                <w:rFonts w:asciiTheme="majorBidi" w:hAnsiTheme="majorBidi" w:cstheme="majorBidi"/>
                <w:lang w:val="ro-RO"/>
              </w:rPr>
              <w:t xml:space="preserve">l </w:t>
            </w:r>
            <w:r w:rsidR="00836A3C" w:rsidRPr="00857CDA">
              <w:rPr>
                <w:rFonts w:asciiTheme="majorBidi" w:hAnsiTheme="majorBidi" w:cstheme="majorBidi"/>
                <w:lang w:val="ro-RO"/>
              </w:rPr>
              <w:t>(50C)</w:t>
            </w:r>
            <w:r w:rsidR="00D76631" w:rsidRPr="00857CDA">
              <w:rPr>
                <w:rFonts w:asciiTheme="majorBidi" w:hAnsiTheme="majorBidi" w:cstheme="majorBidi"/>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ro-RO"/>
              </w:rPr>
            </w:pPr>
            <w:r w:rsidRPr="00857CDA">
              <w:rPr>
                <w:lang w:val="ro-RO"/>
              </w:rPr>
              <w:tab/>
            </w:r>
            <w:r w:rsidR="007B6F3F" w:rsidRPr="00857CDA">
              <w:rPr>
                <w:rFonts w:asciiTheme="majorBidi" w:hAnsiTheme="majorBidi" w:cstheme="majorBidi"/>
                <w:lang w:val="ro-RO"/>
              </w:rPr>
              <w:t>Placaj</w:t>
            </w:r>
            <w:r w:rsidR="00836A3C" w:rsidRPr="00857CDA">
              <w:rPr>
                <w:rFonts w:asciiTheme="majorBidi" w:hAnsiTheme="majorBidi" w:cstheme="majorBidi"/>
                <w:lang w:val="ro-RO"/>
              </w:rPr>
              <w:t xml:space="preserve"> (50D)</w:t>
            </w:r>
            <w:r w:rsidR="00D76631" w:rsidRPr="00857CDA">
              <w:rPr>
                <w:rFonts w:asciiTheme="majorBidi" w:hAnsiTheme="majorBidi" w:cstheme="majorBidi"/>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ro-RO"/>
              </w:rPr>
            </w:pPr>
            <w:r w:rsidRPr="00857CDA">
              <w:rPr>
                <w:lang w:val="ro-RO"/>
              </w:rPr>
              <w:tab/>
            </w:r>
            <w:r w:rsidR="007B6F3F" w:rsidRPr="00857CDA">
              <w:rPr>
                <w:rFonts w:asciiTheme="majorBidi" w:hAnsiTheme="majorBidi" w:cstheme="majorBidi"/>
                <w:lang w:val="ro-RO"/>
              </w:rPr>
              <w:t>Lemn</w:t>
            </w:r>
            <w:r w:rsidR="00836A3C" w:rsidRPr="00857CDA">
              <w:rPr>
                <w:rFonts w:asciiTheme="majorBidi" w:hAnsiTheme="majorBidi" w:cstheme="majorBidi"/>
                <w:lang w:val="ro-RO"/>
              </w:rPr>
              <w:t xml:space="preserve"> reconstitu</w:t>
            </w:r>
            <w:r w:rsidR="007B6F3F" w:rsidRPr="00857CDA">
              <w:rPr>
                <w:rFonts w:asciiTheme="majorBidi" w:hAnsiTheme="majorBidi" w:cstheme="majorBidi"/>
                <w:lang w:val="ro-RO"/>
              </w:rPr>
              <w:t>it</w:t>
            </w:r>
            <w:r w:rsidR="00836A3C" w:rsidRPr="00857CDA">
              <w:rPr>
                <w:rFonts w:asciiTheme="majorBidi" w:hAnsiTheme="majorBidi" w:cstheme="majorBidi"/>
                <w:lang w:val="ro-RO"/>
              </w:rPr>
              <w:t xml:space="preserve"> (50F)</w:t>
            </w:r>
            <w:r w:rsidR="00D76631" w:rsidRPr="00857CDA">
              <w:rPr>
                <w:rFonts w:asciiTheme="majorBidi" w:hAnsiTheme="majorBidi" w:cstheme="majorBidi"/>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7B6F3F">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ro-RO"/>
              </w:rPr>
            </w:pPr>
            <w:r w:rsidRPr="00857CDA">
              <w:rPr>
                <w:lang w:val="ro-RO"/>
              </w:rPr>
              <w:tab/>
            </w:r>
            <w:r w:rsidRPr="00857CDA">
              <w:rPr>
                <w:rFonts w:asciiTheme="majorBidi" w:hAnsiTheme="majorBidi" w:cstheme="majorBidi"/>
                <w:lang w:val="ro-RO"/>
              </w:rPr>
              <w:t>Carton rigid (50G).</w:t>
            </w:r>
          </w:p>
        </w:tc>
      </w:tr>
      <w:tr w:rsidR="00A074FC" w:rsidRPr="00857CDA" w:rsidTr="006201FD">
        <w:trPr>
          <w:cantSplit/>
        </w:trPr>
        <w:tc>
          <w:tcPr>
            <w:tcW w:w="9641" w:type="dxa"/>
            <w:gridSpan w:val="3"/>
            <w:tcBorders>
              <w:top w:val="nil"/>
              <w:bottom w:val="nil"/>
            </w:tcBorders>
          </w:tcPr>
          <w:p w:rsidR="004215B9"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ro-RO"/>
              </w:rPr>
            </w:pPr>
            <w:r w:rsidRPr="00857CDA">
              <w:rPr>
                <w:rFonts w:asciiTheme="majorBidi" w:hAnsiTheme="majorBidi" w:cstheme="majorBidi"/>
                <w:lang w:val="ro-RO"/>
              </w:rPr>
              <w:t>Ambalajele mari, trebuie, de asemenea, să îndeplinească următoarele prescripții:</w:t>
            </w:r>
          </w:p>
        </w:tc>
      </w:tr>
      <w:tr w:rsidR="00A074FC" w:rsidRPr="00857CDA" w:rsidTr="006201FD">
        <w:trPr>
          <w:cantSplit/>
        </w:trPr>
        <w:tc>
          <w:tcPr>
            <w:tcW w:w="9641" w:type="dxa"/>
            <w:gridSpan w:val="3"/>
            <w:tcBorders>
              <w:top w:val="nil"/>
              <w:bottom w:val="nil"/>
            </w:tcBorders>
          </w:tcPr>
          <w:p w:rsidR="004215B9" w:rsidRPr="00857CDA" w:rsidRDefault="004215B9" w:rsidP="00A53C98">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ro-RO"/>
              </w:rPr>
            </w:pPr>
            <w:r w:rsidRPr="00857CDA">
              <w:rPr>
                <w:rFonts w:asciiTheme="majorBidi" w:hAnsiTheme="majorBidi" w:cstheme="majorBidi"/>
                <w:bCs/>
                <w:lang w:val="ro-RO"/>
              </w:rPr>
              <w:t>a)</w:t>
            </w:r>
            <w:r w:rsidRPr="00857CDA">
              <w:rPr>
                <w:rFonts w:asciiTheme="majorBidi" w:hAnsiTheme="majorBidi" w:cstheme="majorBidi"/>
                <w:bCs/>
                <w:lang w:val="ro-RO"/>
              </w:rPr>
              <w:tab/>
            </w:r>
            <w:r w:rsidR="00663AE7" w:rsidRPr="00857CDA">
              <w:rPr>
                <w:rFonts w:asciiTheme="majorBidi" w:hAnsiTheme="majorBidi" w:cstheme="majorBidi"/>
                <w:bCs/>
                <w:lang w:val="ro-RO"/>
              </w:rPr>
              <w:t>O baterie de dimensiun</w:t>
            </w:r>
            <w:r w:rsidR="00A53C98" w:rsidRPr="00857CDA">
              <w:rPr>
                <w:rFonts w:asciiTheme="majorBidi" w:hAnsiTheme="majorBidi" w:cstheme="majorBidi"/>
                <w:bCs/>
                <w:lang w:val="ro-RO"/>
              </w:rPr>
              <w:t>i</w:t>
            </w:r>
            <w:r w:rsidR="00663AE7" w:rsidRPr="00857CDA">
              <w:rPr>
                <w:rFonts w:asciiTheme="majorBidi" w:hAnsiTheme="majorBidi" w:cstheme="majorBidi"/>
                <w:bCs/>
                <w:lang w:val="ro-RO"/>
              </w:rPr>
              <w:t>, formă sau masă diferit</w:t>
            </w:r>
            <w:r w:rsidR="00A53C98" w:rsidRPr="00857CDA">
              <w:rPr>
                <w:rFonts w:asciiTheme="majorBidi" w:hAnsiTheme="majorBidi" w:cstheme="majorBidi"/>
                <w:bCs/>
                <w:lang w:val="ro-RO"/>
              </w:rPr>
              <w:t>e</w:t>
            </w:r>
            <w:r w:rsidR="00663AE7" w:rsidRPr="00857CDA">
              <w:rPr>
                <w:rFonts w:asciiTheme="majorBidi" w:hAnsiTheme="majorBidi" w:cstheme="majorBidi"/>
                <w:bCs/>
                <w:lang w:val="ro-RO"/>
              </w:rPr>
              <w:t xml:space="preserve"> poate fi ambalată într-un ambalaj exterior al unui model tip încercat și menționat mai sus, cu condiția ca masa brută totală a coletului să nu depășească masa brută pentru care a fost încercat modelul tip;</w:t>
            </w:r>
          </w:p>
        </w:tc>
      </w:tr>
      <w:tr w:rsidR="00A074FC" w:rsidRPr="007D305F" w:rsidTr="006201FD">
        <w:trPr>
          <w:cantSplit/>
        </w:trPr>
        <w:tc>
          <w:tcPr>
            <w:tcW w:w="9641" w:type="dxa"/>
            <w:gridSpan w:val="3"/>
            <w:tcBorders>
              <w:top w:val="nil"/>
              <w:bottom w:val="nil"/>
            </w:tcBorders>
          </w:tcPr>
          <w:p w:rsidR="004215B9" w:rsidRPr="00857CDA" w:rsidRDefault="004215B9" w:rsidP="00663AE7">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ro-RO"/>
              </w:rPr>
            </w:pPr>
            <w:r w:rsidRPr="00857CDA">
              <w:rPr>
                <w:rFonts w:asciiTheme="majorBidi" w:hAnsiTheme="majorBidi" w:cstheme="majorBidi"/>
                <w:lang w:val="ro-RO"/>
              </w:rPr>
              <w:t>b)</w:t>
            </w:r>
            <w:r w:rsidRPr="00857CDA">
              <w:rPr>
                <w:rFonts w:asciiTheme="majorBidi" w:hAnsiTheme="majorBidi" w:cstheme="majorBidi"/>
                <w:lang w:val="ro-RO"/>
              </w:rPr>
              <w:tab/>
            </w:r>
            <w:r w:rsidR="00663AE7" w:rsidRPr="00857CDA">
              <w:rPr>
                <w:rFonts w:asciiTheme="majorBidi" w:hAnsiTheme="majorBidi" w:cstheme="majorBidi"/>
                <w:lang w:val="ro-RO"/>
              </w:rPr>
              <w:t>B</w:t>
            </w:r>
            <w:r w:rsidRPr="00857CDA">
              <w:rPr>
                <w:rFonts w:asciiTheme="majorBidi" w:hAnsiTheme="majorBidi" w:cstheme="majorBidi"/>
                <w:bCs/>
                <w:lang w:val="ro-RO"/>
              </w:rPr>
              <w:t>ateri</w:t>
            </w:r>
            <w:r w:rsidR="00663AE7" w:rsidRPr="00857CDA">
              <w:rPr>
                <w:rFonts w:asciiTheme="majorBidi" w:hAnsiTheme="majorBidi" w:cstheme="majorBidi"/>
                <w:bCs/>
                <w:lang w:val="ro-RO"/>
              </w:rPr>
              <w:t>a</w:t>
            </w:r>
            <w:r w:rsidRPr="00857CDA">
              <w:rPr>
                <w:rFonts w:asciiTheme="majorBidi" w:hAnsiTheme="majorBidi" w:cstheme="majorBidi"/>
                <w:lang w:val="ro-RO"/>
              </w:rPr>
              <w:t xml:space="preserve"> est</w:t>
            </w:r>
            <w:r w:rsidR="00663AE7" w:rsidRPr="00857CDA">
              <w:rPr>
                <w:rFonts w:asciiTheme="majorBidi" w:hAnsiTheme="majorBidi" w:cstheme="majorBidi"/>
                <w:lang w:val="ro-RO"/>
              </w:rPr>
              <w:t>e a</w:t>
            </w:r>
            <w:r w:rsidRPr="00857CDA">
              <w:rPr>
                <w:rFonts w:asciiTheme="majorBidi" w:hAnsiTheme="majorBidi" w:cstheme="majorBidi"/>
                <w:lang w:val="ro-RO"/>
              </w:rPr>
              <w:t>mbal</w:t>
            </w:r>
            <w:r w:rsidR="00663AE7" w:rsidRPr="00857CDA">
              <w:rPr>
                <w:rFonts w:asciiTheme="majorBidi" w:hAnsiTheme="majorBidi" w:cstheme="majorBidi"/>
                <w:lang w:val="ro-RO"/>
              </w:rPr>
              <w:t>ată</w:t>
            </w:r>
            <w:r w:rsidRPr="00857CDA">
              <w:rPr>
                <w:rFonts w:asciiTheme="majorBidi" w:hAnsiTheme="majorBidi" w:cstheme="majorBidi"/>
                <w:lang w:val="ro-RO"/>
              </w:rPr>
              <w:t xml:space="preserve"> </w:t>
            </w:r>
            <w:r w:rsidR="00663AE7" w:rsidRPr="00857CDA">
              <w:rPr>
                <w:rFonts w:asciiTheme="majorBidi" w:hAnsiTheme="majorBidi" w:cstheme="majorBidi"/>
                <w:lang w:val="ro-RO"/>
              </w:rPr>
              <w:t>într-</w:t>
            </w:r>
            <w:r w:rsidRPr="00857CDA">
              <w:rPr>
                <w:rFonts w:asciiTheme="majorBidi" w:hAnsiTheme="majorBidi" w:cstheme="majorBidi"/>
                <w:lang w:val="ro-RO"/>
              </w:rPr>
              <w:t xml:space="preserve">un </w:t>
            </w:r>
            <w:r w:rsidR="00663AE7" w:rsidRPr="00857CDA">
              <w:rPr>
                <w:rFonts w:asciiTheme="majorBidi" w:hAnsiTheme="majorBidi" w:cstheme="majorBidi"/>
                <w:lang w:val="ro-RO"/>
              </w:rPr>
              <w:t>a</w:t>
            </w:r>
            <w:r w:rsidRPr="00857CDA">
              <w:rPr>
                <w:rFonts w:asciiTheme="majorBidi" w:hAnsiTheme="majorBidi" w:cstheme="majorBidi"/>
                <w:lang w:val="ro-RO"/>
              </w:rPr>
              <w:t>mbala</w:t>
            </w:r>
            <w:r w:rsidR="00663AE7" w:rsidRPr="00857CDA">
              <w:rPr>
                <w:rFonts w:asciiTheme="majorBidi" w:hAnsiTheme="majorBidi" w:cstheme="majorBidi"/>
                <w:lang w:val="ro-RO"/>
              </w:rPr>
              <w:t>j</w:t>
            </w:r>
            <w:r w:rsidRPr="00857CDA">
              <w:rPr>
                <w:rFonts w:asciiTheme="majorBidi" w:hAnsiTheme="majorBidi" w:cstheme="majorBidi"/>
                <w:lang w:val="ro-RO"/>
              </w:rPr>
              <w:t xml:space="preserve"> int</w:t>
            </w:r>
            <w:r w:rsidR="00663AE7" w:rsidRPr="00857CDA">
              <w:rPr>
                <w:rFonts w:asciiTheme="majorBidi" w:hAnsiTheme="majorBidi" w:cstheme="majorBidi"/>
                <w:lang w:val="ro-RO"/>
              </w:rPr>
              <w:t>e</w:t>
            </w:r>
            <w:r w:rsidRPr="00857CDA">
              <w:rPr>
                <w:rFonts w:asciiTheme="majorBidi" w:hAnsiTheme="majorBidi" w:cstheme="majorBidi"/>
                <w:lang w:val="ro-RO"/>
              </w:rPr>
              <w:t>ri</w:t>
            </w:r>
            <w:r w:rsidR="00663AE7" w:rsidRPr="00857CDA">
              <w:rPr>
                <w:rFonts w:asciiTheme="majorBidi" w:hAnsiTheme="majorBidi" w:cstheme="majorBidi"/>
                <w:lang w:val="ro-RO"/>
              </w:rPr>
              <w:t>o</w:t>
            </w:r>
            <w:r w:rsidRPr="00857CDA">
              <w:rPr>
                <w:rFonts w:asciiTheme="majorBidi" w:hAnsiTheme="majorBidi" w:cstheme="majorBidi"/>
                <w:lang w:val="ro-RO"/>
              </w:rPr>
              <w:t>r pla</w:t>
            </w:r>
            <w:r w:rsidR="00663AE7" w:rsidRPr="00857CDA">
              <w:rPr>
                <w:rFonts w:asciiTheme="majorBidi" w:hAnsiTheme="majorBidi" w:cstheme="majorBidi"/>
                <w:lang w:val="ro-RO"/>
              </w:rPr>
              <w:t>sat într-un</w:t>
            </w:r>
            <w:r w:rsidR="00DD1250" w:rsidRPr="00857CDA">
              <w:rPr>
                <w:rFonts w:asciiTheme="majorBidi" w:hAnsiTheme="majorBidi" w:cstheme="majorBidi"/>
                <w:lang w:val="ro-RO"/>
              </w:rPr>
              <w:t xml:space="preserve"> </w:t>
            </w:r>
            <w:r w:rsidR="00663AE7" w:rsidRPr="00857CDA">
              <w:rPr>
                <w:rFonts w:asciiTheme="majorBidi" w:hAnsiTheme="majorBidi" w:cstheme="majorBidi"/>
                <w:lang w:val="ro-RO"/>
              </w:rPr>
              <w:t>a</w:t>
            </w:r>
            <w:r w:rsidR="00DD1250" w:rsidRPr="00857CDA">
              <w:rPr>
                <w:rFonts w:asciiTheme="majorBidi" w:hAnsiTheme="majorBidi" w:cstheme="majorBidi"/>
                <w:lang w:val="ro-RO"/>
              </w:rPr>
              <w:t>mbala</w:t>
            </w:r>
            <w:r w:rsidR="00663AE7" w:rsidRPr="00857CDA">
              <w:rPr>
                <w:rFonts w:asciiTheme="majorBidi" w:hAnsiTheme="majorBidi" w:cstheme="majorBidi"/>
                <w:lang w:val="ro-RO"/>
              </w:rPr>
              <w:t>j</w:t>
            </w:r>
            <w:r w:rsidR="00DD1250" w:rsidRPr="00857CDA">
              <w:rPr>
                <w:rFonts w:asciiTheme="majorBidi" w:hAnsiTheme="majorBidi" w:cstheme="majorBidi"/>
                <w:lang w:val="ro-RO"/>
              </w:rPr>
              <w:t xml:space="preserve"> ext</w:t>
            </w:r>
            <w:r w:rsidR="00663AE7" w:rsidRPr="00857CDA">
              <w:rPr>
                <w:rFonts w:asciiTheme="majorBidi" w:hAnsiTheme="majorBidi" w:cstheme="majorBidi"/>
                <w:lang w:val="ro-RO"/>
              </w:rPr>
              <w:t>e</w:t>
            </w:r>
            <w:r w:rsidR="00DD1250" w:rsidRPr="00857CDA">
              <w:rPr>
                <w:rFonts w:asciiTheme="majorBidi" w:hAnsiTheme="majorBidi" w:cstheme="majorBidi"/>
                <w:lang w:val="ro-RO"/>
              </w:rPr>
              <w:t>ri</w:t>
            </w:r>
            <w:r w:rsidR="00663AE7" w:rsidRPr="00857CDA">
              <w:rPr>
                <w:rFonts w:asciiTheme="majorBidi" w:hAnsiTheme="majorBidi" w:cstheme="majorBidi"/>
                <w:lang w:val="ro-RO"/>
              </w:rPr>
              <w:t>o</w:t>
            </w:r>
            <w:r w:rsidR="00DD1250" w:rsidRPr="00857CDA">
              <w:rPr>
                <w:rFonts w:asciiTheme="majorBidi" w:hAnsiTheme="majorBidi" w:cstheme="majorBidi"/>
                <w:lang w:val="ro-RO"/>
              </w:rPr>
              <w:t>r</w:t>
            </w:r>
            <w:r w:rsidR="00D76631" w:rsidRPr="00857CDA">
              <w:rPr>
                <w:lang w:val="ro-RO"/>
              </w:rPr>
              <w:t>;</w:t>
            </w:r>
          </w:p>
        </w:tc>
      </w:tr>
      <w:tr w:rsidR="00A074FC" w:rsidRPr="007D305F" w:rsidTr="00FC7059">
        <w:trPr>
          <w:cantSplit/>
        </w:trPr>
        <w:tc>
          <w:tcPr>
            <w:tcW w:w="9641" w:type="dxa"/>
            <w:gridSpan w:val="3"/>
            <w:tcBorders>
              <w:top w:val="nil"/>
              <w:bottom w:val="single" w:sz="4" w:space="0" w:color="auto"/>
            </w:tcBorders>
          </w:tcPr>
          <w:p w:rsidR="004215B9" w:rsidRPr="00857CDA" w:rsidRDefault="004215B9" w:rsidP="00663AE7">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ro-RO"/>
              </w:rPr>
            </w:pPr>
            <w:r w:rsidRPr="00857CDA">
              <w:rPr>
                <w:rFonts w:asciiTheme="majorBidi" w:hAnsiTheme="majorBidi" w:cstheme="majorBidi"/>
                <w:bCs/>
                <w:lang w:val="ro-RO"/>
              </w:rPr>
              <w:t>c)</w:t>
            </w:r>
            <w:r w:rsidRPr="00857CDA">
              <w:rPr>
                <w:rFonts w:asciiTheme="majorBidi" w:hAnsiTheme="majorBidi" w:cstheme="majorBidi"/>
                <w:bCs/>
                <w:lang w:val="ro-RO"/>
              </w:rPr>
              <w:tab/>
            </w:r>
            <w:r w:rsidR="00663AE7" w:rsidRPr="00857CDA">
              <w:rPr>
                <w:rFonts w:asciiTheme="majorBidi" w:hAnsiTheme="majorBidi" w:cstheme="majorBidi"/>
                <w:bCs/>
                <w:lang w:val="ro-RO"/>
              </w:rPr>
              <w:t>Ambalajul interior este înconjurat de un material necombustibil, neconducător de electricitate, care asigură o izolare termică suficientă pentru a-l proteja de degajarea periculoasă de căldură</w:t>
            </w:r>
            <w:r w:rsidR="00D76631" w:rsidRPr="00857CDA">
              <w:rPr>
                <w:lang w:val="ro-RO"/>
              </w:rPr>
              <w:t>;</w:t>
            </w:r>
          </w:p>
        </w:tc>
      </w:tr>
      <w:tr w:rsidR="00A074FC" w:rsidRPr="007D305F" w:rsidTr="00FC7059">
        <w:trPr>
          <w:cantSplit/>
        </w:trPr>
        <w:tc>
          <w:tcPr>
            <w:tcW w:w="9641" w:type="dxa"/>
            <w:gridSpan w:val="3"/>
            <w:tcBorders>
              <w:top w:val="single" w:sz="4" w:space="0" w:color="auto"/>
              <w:bottom w:val="nil"/>
            </w:tcBorders>
          </w:tcPr>
          <w:p w:rsidR="004215B9" w:rsidRPr="00857CDA" w:rsidRDefault="004215B9" w:rsidP="00A53C98">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ro-RO"/>
              </w:rPr>
            </w:pPr>
            <w:r w:rsidRPr="00857CDA">
              <w:rPr>
                <w:rFonts w:asciiTheme="majorBidi" w:hAnsiTheme="majorBidi" w:cstheme="majorBidi"/>
                <w:lang w:val="ro-RO"/>
              </w:rPr>
              <w:t>d)</w:t>
            </w:r>
            <w:r w:rsidRPr="00857CDA">
              <w:rPr>
                <w:rFonts w:asciiTheme="majorBidi" w:hAnsiTheme="majorBidi" w:cstheme="majorBidi"/>
                <w:lang w:val="ro-RO"/>
              </w:rPr>
              <w:tab/>
            </w:r>
            <w:r w:rsidR="00663AE7" w:rsidRPr="00857CDA">
              <w:rPr>
                <w:rFonts w:asciiTheme="majorBidi" w:hAnsiTheme="majorBidi" w:cstheme="majorBidi"/>
                <w:lang w:val="ro-RO"/>
              </w:rPr>
              <w:t xml:space="preserve">Trebuie luate măsuri adecvate pentru a proteja bateria împotriva vibrațiilor și a șocurilor, precum și pentru a preveni orice mișcare a acesteia în interiorul </w:t>
            </w:r>
            <w:r w:rsidR="00A53C98" w:rsidRPr="00857CDA">
              <w:rPr>
                <w:rFonts w:asciiTheme="majorBidi" w:hAnsiTheme="majorBidi" w:cstheme="majorBidi"/>
                <w:lang w:val="ro-RO"/>
              </w:rPr>
              <w:t>colet</w:t>
            </w:r>
            <w:r w:rsidR="00663AE7" w:rsidRPr="00857CDA">
              <w:rPr>
                <w:rFonts w:asciiTheme="majorBidi" w:hAnsiTheme="majorBidi" w:cstheme="majorBidi"/>
                <w:lang w:val="ro-RO"/>
              </w:rPr>
              <w:t>ului care ar putea-o deteriora și face transportul acesteia periculos. Atunci când este utilizat material de umplutură în aceste scopuri, acesta trebuie să fie necombustibil și neconducător de electricitate; și</w:t>
            </w:r>
          </w:p>
        </w:tc>
      </w:tr>
      <w:tr w:rsidR="00A074FC" w:rsidRPr="007D305F" w:rsidTr="006201FD">
        <w:trPr>
          <w:cantSplit/>
        </w:trPr>
        <w:tc>
          <w:tcPr>
            <w:tcW w:w="9641" w:type="dxa"/>
            <w:gridSpan w:val="3"/>
            <w:tcBorders>
              <w:top w:val="nil"/>
              <w:bottom w:val="nil"/>
            </w:tcBorders>
          </w:tcPr>
          <w:p w:rsidR="004215B9" w:rsidRPr="00857CDA" w:rsidRDefault="004215B9" w:rsidP="00663AE7">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ro-RO"/>
              </w:rPr>
            </w:pPr>
            <w:r w:rsidRPr="00857CDA">
              <w:rPr>
                <w:rFonts w:asciiTheme="majorBidi" w:hAnsiTheme="majorBidi" w:cstheme="majorBidi"/>
                <w:lang w:val="ro-RO"/>
              </w:rPr>
              <w:t>e)</w:t>
            </w:r>
            <w:r w:rsidRPr="00857CDA">
              <w:rPr>
                <w:rFonts w:asciiTheme="majorBidi" w:hAnsiTheme="majorBidi" w:cstheme="majorBidi"/>
                <w:lang w:val="ro-RO"/>
              </w:rPr>
              <w:tab/>
            </w:r>
            <w:r w:rsidR="00663AE7" w:rsidRPr="00857CDA">
              <w:rPr>
                <w:rFonts w:asciiTheme="majorBidi" w:hAnsiTheme="majorBidi" w:cstheme="majorBidi"/>
                <w:lang w:val="ro-RO"/>
              </w:rPr>
              <w:t>Necombustibilitatea trebuie să fie evaluată în conformitate cu un standard recunoscut în ţara în care a fost conceput sau fabricat ambalajul mare</w:t>
            </w:r>
            <w:r w:rsidRPr="00857CDA">
              <w:rPr>
                <w:rFonts w:asciiTheme="majorBidi" w:hAnsiTheme="majorBidi" w:cstheme="majorBidi"/>
                <w:lang w:val="ro-RO"/>
              </w:rPr>
              <w:t>.</w:t>
            </w:r>
          </w:p>
        </w:tc>
      </w:tr>
      <w:tr w:rsidR="00A074FC" w:rsidRPr="00857CDA" w:rsidTr="006201FD">
        <w:trPr>
          <w:cantSplit/>
        </w:trPr>
        <w:tc>
          <w:tcPr>
            <w:tcW w:w="9641" w:type="dxa"/>
            <w:gridSpan w:val="3"/>
            <w:tcBorders>
              <w:top w:val="nil"/>
              <w:bottom w:val="nil"/>
            </w:tcBorders>
          </w:tcPr>
          <w:p w:rsidR="004215B9" w:rsidRPr="00857CDA" w:rsidRDefault="004215B9" w:rsidP="00663AE7">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ro-RO"/>
              </w:rPr>
            </w:pPr>
            <w:r w:rsidRPr="00857CDA">
              <w:rPr>
                <w:rFonts w:asciiTheme="majorBidi" w:hAnsiTheme="majorBidi" w:cstheme="majorBidi"/>
                <w:lang w:val="ro-RO"/>
              </w:rPr>
              <w:t>2)</w:t>
            </w:r>
            <w:r w:rsidRPr="00857CDA">
              <w:rPr>
                <w:rFonts w:asciiTheme="majorBidi" w:hAnsiTheme="majorBidi" w:cstheme="majorBidi"/>
                <w:lang w:val="ro-RO"/>
              </w:rPr>
              <w:tab/>
            </w:r>
            <w:r w:rsidR="00991390" w:rsidRPr="00857CDA">
              <w:rPr>
                <w:rFonts w:asciiTheme="majorBidi" w:hAnsiTheme="majorBidi" w:cstheme="majorBidi"/>
                <w:lang w:val="ro-RO"/>
              </w:rPr>
              <w:t>Pentru</w:t>
            </w:r>
            <w:r w:rsidRPr="00857CDA">
              <w:rPr>
                <w:rFonts w:asciiTheme="majorBidi" w:hAnsiTheme="majorBidi" w:cstheme="majorBidi"/>
                <w:lang w:val="ro-RO"/>
              </w:rPr>
              <w:t xml:space="preserve"> </w:t>
            </w:r>
            <w:r w:rsidR="00695AA0" w:rsidRPr="00857CDA">
              <w:rPr>
                <w:rFonts w:asciiTheme="majorBidi" w:hAnsiTheme="majorBidi" w:cstheme="majorBidi"/>
                <w:lang w:val="ro-RO"/>
              </w:rPr>
              <w:t xml:space="preserve">un </w:t>
            </w:r>
            <w:r w:rsidR="00663AE7" w:rsidRPr="00857CDA">
              <w:rPr>
                <w:rFonts w:asciiTheme="majorBidi" w:hAnsiTheme="majorBidi" w:cstheme="majorBidi"/>
                <w:lang w:val="ro-RO"/>
              </w:rPr>
              <w:t>singur echipament care</w:t>
            </w:r>
            <w:r w:rsidR="00BD3F6A" w:rsidRPr="00857CDA">
              <w:rPr>
                <w:rFonts w:asciiTheme="majorBidi" w:hAnsiTheme="majorBidi" w:cstheme="majorBidi"/>
                <w:lang w:val="ro-RO"/>
              </w:rPr>
              <w:t xml:space="preserve"> </w:t>
            </w:r>
            <w:r w:rsidR="00695AA0" w:rsidRPr="00857CDA">
              <w:rPr>
                <w:rFonts w:asciiTheme="majorBidi" w:hAnsiTheme="majorBidi" w:cstheme="majorBidi"/>
                <w:lang w:val="ro-RO"/>
              </w:rPr>
              <w:t>con</w:t>
            </w:r>
            <w:r w:rsidR="00663AE7" w:rsidRPr="00857CDA">
              <w:rPr>
                <w:rFonts w:asciiTheme="majorBidi" w:hAnsiTheme="majorBidi" w:cstheme="majorBidi"/>
                <w:lang w:val="ro-RO"/>
              </w:rPr>
              <w:t>ține</w:t>
            </w:r>
            <w:r w:rsidRPr="00857CDA">
              <w:rPr>
                <w:rFonts w:asciiTheme="majorBidi" w:hAnsiTheme="majorBidi" w:cstheme="majorBidi"/>
                <w:lang w:val="ro-RO"/>
              </w:rPr>
              <w:t xml:space="preserve"> pile </w:t>
            </w:r>
            <w:r w:rsidR="00663AE7" w:rsidRPr="00857CDA">
              <w:rPr>
                <w:rFonts w:asciiTheme="majorBidi" w:hAnsiTheme="majorBidi" w:cstheme="majorBidi"/>
                <w:lang w:val="ro-RO"/>
              </w:rPr>
              <w:t>sa</w:t>
            </w:r>
            <w:r w:rsidRPr="00857CDA">
              <w:rPr>
                <w:rFonts w:asciiTheme="majorBidi" w:hAnsiTheme="majorBidi" w:cstheme="majorBidi"/>
                <w:lang w:val="ro-RO"/>
              </w:rPr>
              <w:t>u bateri</w:t>
            </w:r>
            <w:r w:rsidR="00663AE7" w:rsidRPr="00857CDA">
              <w:rPr>
                <w:rFonts w:asciiTheme="majorBidi" w:hAnsiTheme="majorBidi" w:cstheme="majorBidi"/>
                <w:lang w:val="ro-RO"/>
              </w:rPr>
              <w:t>i</w:t>
            </w:r>
            <w:r w:rsidR="00091658" w:rsidRPr="00857CDA">
              <w:rPr>
                <w:lang w:val="ro-RO"/>
              </w:rPr>
              <w:t>:</w:t>
            </w:r>
          </w:p>
        </w:tc>
      </w:tr>
      <w:tr w:rsidR="00A074FC" w:rsidRPr="007D305F" w:rsidTr="006201FD">
        <w:trPr>
          <w:cantSplit/>
        </w:trPr>
        <w:tc>
          <w:tcPr>
            <w:tcW w:w="9641" w:type="dxa"/>
            <w:gridSpan w:val="3"/>
            <w:tcBorders>
              <w:top w:val="nil"/>
              <w:bottom w:val="nil"/>
            </w:tcBorders>
          </w:tcPr>
          <w:p w:rsidR="004215B9" w:rsidRPr="00857CDA" w:rsidRDefault="004215B9" w:rsidP="006201F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rPr>
                <w:lang w:val="ro-RO"/>
              </w:rPr>
            </w:pPr>
            <w:r w:rsidRPr="00857CDA">
              <w:rPr>
                <w:lang w:val="ro-RO"/>
              </w:rPr>
              <w:tab/>
            </w:r>
            <w:r w:rsidR="00663AE7" w:rsidRPr="00857CDA">
              <w:rPr>
                <w:iCs/>
                <w:lang w:val="ro-RO"/>
              </w:rPr>
              <w:t>Ambalajele mari rigide conforme nivelului de încercare al grupei de ambalare II, făcute din</w:t>
            </w:r>
            <w:r w:rsidR="00663AE7" w:rsidRPr="00857CDA">
              <w:rPr>
                <w:lang w:val="ro-RO"/>
              </w:rPr>
              <w:t>:</w:t>
            </w:r>
          </w:p>
        </w:tc>
      </w:tr>
      <w:tr w:rsidR="00663AE7" w:rsidRPr="00857CDA"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Pr="00857CDA">
              <w:rPr>
                <w:rFonts w:asciiTheme="majorBidi" w:hAnsiTheme="majorBidi" w:cstheme="majorBidi"/>
                <w:lang w:val="ro-RO"/>
              </w:rPr>
              <w:t>Oțel (50A);</w:t>
            </w:r>
          </w:p>
        </w:tc>
      </w:tr>
      <w:tr w:rsidR="00663AE7" w:rsidRPr="00857CDA"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Pr="00857CDA">
              <w:rPr>
                <w:rFonts w:asciiTheme="majorBidi" w:hAnsiTheme="majorBidi" w:cstheme="majorBidi"/>
                <w:lang w:val="ro-RO"/>
              </w:rPr>
              <w:t>Aluminiu (50B);</w:t>
            </w:r>
          </w:p>
        </w:tc>
      </w:tr>
      <w:tr w:rsidR="00663AE7" w:rsidRPr="007D305F"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Pr="00857CDA">
              <w:rPr>
                <w:rFonts w:asciiTheme="majorBidi" w:hAnsiTheme="majorBidi" w:cstheme="majorBidi"/>
                <w:lang w:val="ro-RO"/>
              </w:rPr>
              <w:t>Metal altul decât oțel sau aluminiu (50N);</w:t>
            </w:r>
          </w:p>
        </w:tc>
      </w:tr>
      <w:tr w:rsidR="00663AE7" w:rsidRPr="00857CDA"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Pr="00857CDA">
              <w:rPr>
                <w:rFonts w:asciiTheme="majorBidi" w:hAnsiTheme="majorBidi" w:cstheme="majorBidi"/>
                <w:lang w:val="ro-RO"/>
              </w:rPr>
              <w:t>Plastic rigid (50H);</w:t>
            </w:r>
          </w:p>
        </w:tc>
      </w:tr>
      <w:tr w:rsidR="00663AE7" w:rsidRPr="00857CDA"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lang w:val="ro-RO"/>
              </w:rPr>
              <w:tab/>
            </w:r>
            <w:r w:rsidRPr="00857CDA">
              <w:rPr>
                <w:rFonts w:asciiTheme="majorBidi" w:hAnsiTheme="majorBidi" w:cstheme="majorBidi"/>
                <w:lang w:val="ro-RO"/>
              </w:rPr>
              <w:t>Lemn natural (50C);</w:t>
            </w:r>
          </w:p>
        </w:tc>
      </w:tr>
      <w:tr w:rsidR="00663AE7" w:rsidRPr="00857CDA"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ro-RO"/>
              </w:rPr>
            </w:pPr>
            <w:r w:rsidRPr="00857CDA">
              <w:rPr>
                <w:lang w:val="ro-RO"/>
              </w:rPr>
              <w:tab/>
            </w:r>
            <w:r w:rsidRPr="00857CDA">
              <w:rPr>
                <w:rFonts w:asciiTheme="majorBidi" w:hAnsiTheme="majorBidi" w:cstheme="majorBidi"/>
                <w:lang w:val="ro-RO"/>
              </w:rPr>
              <w:t>Placaj (50D);</w:t>
            </w:r>
          </w:p>
        </w:tc>
      </w:tr>
      <w:tr w:rsidR="00663AE7" w:rsidRPr="00857CDA"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ro-RO"/>
              </w:rPr>
            </w:pPr>
            <w:r w:rsidRPr="00857CDA">
              <w:rPr>
                <w:lang w:val="ro-RO"/>
              </w:rPr>
              <w:tab/>
            </w:r>
            <w:r w:rsidRPr="00857CDA">
              <w:rPr>
                <w:rFonts w:asciiTheme="majorBidi" w:hAnsiTheme="majorBidi" w:cstheme="majorBidi"/>
                <w:lang w:val="ro-RO"/>
              </w:rPr>
              <w:t>Lemn reconstituit (50F);</w:t>
            </w:r>
          </w:p>
        </w:tc>
      </w:tr>
      <w:tr w:rsidR="00663AE7" w:rsidRPr="00857CDA" w:rsidTr="006201FD">
        <w:trPr>
          <w:cantSplit/>
        </w:trPr>
        <w:tc>
          <w:tcPr>
            <w:tcW w:w="9641" w:type="dxa"/>
            <w:gridSpan w:val="3"/>
            <w:tcBorders>
              <w:top w:val="nil"/>
              <w:bottom w:val="nil"/>
            </w:tcBorders>
          </w:tcPr>
          <w:p w:rsidR="00663AE7" w:rsidRPr="00857CDA" w:rsidRDefault="00663AE7" w:rsidP="00663AE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lang w:val="ro-RO"/>
              </w:rPr>
            </w:pPr>
            <w:r w:rsidRPr="00857CDA">
              <w:rPr>
                <w:lang w:val="ro-RO"/>
              </w:rPr>
              <w:tab/>
            </w:r>
            <w:r w:rsidRPr="00857CDA">
              <w:rPr>
                <w:rFonts w:asciiTheme="majorBidi" w:hAnsiTheme="majorBidi" w:cstheme="majorBidi"/>
                <w:lang w:val="ro-RO"/>
              </w:rPr>
              <w:t>Carton rigid (50G).</w:t>
            </w:r>
          </w:p>
        </w:tc>
      </w:tr>
      <w:tr w:rsidR="00A074FC" w:rsidRPr="00857CDA" w:rsidTr="006201FD">
        <w:trPr>
          <w:cantSplit/>
        </w:trPr>
        <w:tc>
          <w:tcPr>
            <w:tcW w:w="9641" w:type="dxa"/>
            <w:gridSpan w:val="3"/>
            <w:tcBorders>
              <w:top w:val="nil"/>
              <w:bottom w:val="nil"/>
            </w:tcBorders>
          </w:tcPr>
          <w:p w:rsidR="004215B9" w:rsidRPr="00857CDA" w:rsidRDefault="00663AE7" w:rsidP="006201FD">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ro-RO"/>
              </w:rPr>
            </w:pPr>
            <w:r w:rsidRPr="00857CDA">
              <w:rPr>
                <w:rFonts w:asciiTheme="majorBidi" w:hAnsiTheme="majorBidi" w:cstheme="majorBidi"/>
                <w:lang w:val="ro-RO"/>
              </w:rPr>
              <w:t>Ambalajele mari, trebuie, de asemenea, să îndeplinească următoarele prescripții:</w:t>
            </w:r>
          </w:p>
        </w:tc>
      </w:tr>
      <w:tr w:rsidR="00A074FC" w:rsidRPr="00857CDA" w:rsidTr="006201FD">
        <w:trPr>
          <w:cantSplit/>
        </w:trPr>
        <w:tc>
          <w:tcPr>
            <w:tcW w:w="9641" w:type="dxa"/>
            <w:gridSpan w:val="3"/>
            <w:tcBorders>
              <w:top w:val="nil"/>
              <w:bottom w:val="nil"/>
            </w:tcBorders>
          </w:tcPr>
          <w:p w:rsidR="004215B9" w:rsidRPr="00857CDA" w:rsidRDefault="004215B9" w:rsidP="00A53C98">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lang w:val="ro-RO"/>
              </w:rPr>
            </w:pPr>
            <w:r w:rsidRPr="00857CDA">
              <w:rPr>
                <w:rFonts w:asciiTheme="majorBidi" w:hAnsiTheme="majorBidi" w:cstheme="majorBidi"/>
                <w:bCs/>
                <w:lang w:val="ro-RO"/>
              </w:rPr>
              <w:t>a)</w:t>
            </w:r>
            <w:r w:rsidRPr="00857CDA">
              <w:rPr>
                <w:rFonts w:asciiTheme="majorBidi" w:hAnsiTheme="majorBidi" w:cstheme="majorBidi"/>
                <w:bCs/>
                <w:lang w:val="ro-RO"/>
              </w:rPr>
              <w:tab/>
            </w:r>
            <w:r w:rsidR="00A53C98" w:rsidRPr="00857CDA">
              <w:rPr>
                <w:rFonts w:asciiTheme="majorBidi" w:hAnsiTheme="majorBidi" w:cstheme="majorBidi"/>
                <w:bCs/>
                <w:lang w:val="ro-RO"/>
              </w:rPr>
              <w:t>Un echipament de dimensiuni, formă sau masă diferite poate fi ambalat într-un ambalaj exterior al unui model tip încercat și menționat mai sus, cu condiția ca masa brută totală a coletului să nu depășească masa brută pentru care a fost încercat modelul tip;</w:t>
            </w:r>
          </w:p>
        </w:tc>
      </w:tr>
      <w:tr w:rsidR="00A074FC" w:rsidRPr="00857CDA" w:rsidTr="006201FD">
        <w:trPr>
          <w:cantSplit/>
        </w:trPr>
        <w:tc>
          <w:tcPr>
            <w:tcW w:w="9641" w:type="dxa"/>
            <w:gridSpan w:val="3"/>
            <w:tcBorders>
              <w:top w:val="nil"/>
              <w:bottom w:val="nil"/>
            </w:tcBorders>
          </w:tcPr>
          <w:p w:rsidR="004215B9" w:rsidRPr="00857CDA" w:rsidRDefault="004215B9" w:rsidP="00A53C98">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ro-RO"/>
              </w:rPr>
            </w:pPr>
            <w:r w:rsidRPr="00857CDA">
              <w:rPr>
                <w:rFonts w:asciiTheme="majorBidi" w:hAnsiTheme="majorBidi" w:cstheme="majorBidi"/>
                <w:lang w:val="ro-RO"/>
              </w:rPr>
              <w:t>b)</w:t>
            </w:r>
            <w:r w:rsidRPr="00857CDA">
              <w:rPr>
                <w:rFonts w:asciiTheme="majorBidi" w:hAnsiTheme="majorBidi" w:cstheme="majorBidi"/>
                <w:lang w:val="ro-RO"/>
              </w:rPr>
              <w:tab/>
            </w:r>
            <w:r w:rsidR="00A53C98" w:rsidRPr="00857CDA">
              <w:rPr>
                <w:rFonts w:asciiTheme="majorBidi" w:hAnsiTheme="majorBidi" w:cstheme="majorBidi"/>
                <w:lang w:val="ro-RO"/>
              </w:rPr>
              <w:t>Echipamentul este construit sau ambalat astfel încât să se evite orice funcționare accidentală în timpul transportului;</w:t>
            </w:r>
          </w:p>
        </w:tc>
      </w:tr>
      <w:tr w:rsidR="00A074FC" w:rsidRPr="007D305F" w:rsidTr="006201FD">
        <w:trPr>
          <w:cantSplit/>
        </w:trPr>
        <w:tc>
          <w:tcPr>
            <w:tcW w:w="9641" w:type="dxa"/>
            <w:gridSpan w:val="3"/>
            <w:tcBorders>
              <w:top w:val="nil"/>
              <w:bottom w:val="nil"/>
            </w:tcBorders>
          </w:tcPr>
          <w:p w:rsidR="004215B9" w:rsidRPr="00857CDA" w:rsidRDefault="004215B9" w:rsidP="00A53C98">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ro-RO"/>
              </w:rPr>
            </w:pPr>
            <w:r w:rsidRPr="00857CDA">
              <w:rPr>
                <w:rFonts w:asciiTheme="majorBidi" w:hAnsiTheme="majorBidi" w:cstheme="majorBidi"/>
                <w:lang w:val="ro-RO"/>
              </w:rPr>
              <w:lastRenderedPageBreak/>
              <w:t>c)</w:t>
            </w:r>
            <w:r w:rsidRPr="00857CDA">
              <w:rPr>
                <w:rFonts w:asciiTheme="majorBidi" w:hAnsiTheme="majorBidi" w:cstheme="majorBidi"/>
                <w:lang w:val="ro-RO"/>
              </w:rPr>
              <w:tab/>
            </w:r>
            <w:r w:rsidR="00A53C98" w:rsidRPr="00857CDA">
              <w:rPr>
                <w:rFonts w:asciiTheme="majorBidi" w:hAnsiTheme="majorBidi" w:cstheme="majorBidi"/>
                <w:lang w:val="ro-RO"/>
              </w:rPr>
              <w:t>Trebuie luate măsuri adecvate pentru a proteja echipamentul împotriva vibrațiilor și a șocurilor, precum și pentru a preveni orice mișcare a acestuia în interiorul coletului care ar putea să-l deterioreze și face transportul acesteia periculos. Atunci când este utilizat material de umplutură în aceste scopuri, acesta trebuie să fie necombustibil și neconducător de electricitate; și</w:t>
            </w:r>
          </w:p>
        </w:tc>
      </w:tr>
      <w:tr w:rsidR="00A074FC" w:rsidRPr="007D305F" w:rsidTr="006201FD">
        <w:trPr>
          <w:cantSplit/>
        </w:trPr>
        <w:tc>
          <w:tcPr>
            <w:tcW w:w="9641" w:type="dxa"/>
            <w:gridSpan w:val="3"/>
            <w:tcBorders>
              <w:top w:val="nil"/>
              <w:bottom w:val="single" w:sz="6" w:space="0" w:color="auto"/>
            </w:tcBorders>
          </w:tcPr>
          <w:p w:rsidR="004215B9" w:rsidRPr="00857CDA" w:rsidRDefault="004215B9" w:rsidP="006201FD">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lang w:val="ro-RO"/>
              </w:rPr>
            </w:pPr>
            <w:r w:rsidRPr="00857CDA">
              <w:rPr>
                <w:rFonts w:asciiTheme="majorBidi" w:hAnsiTheme="majorBidi" w:cstheme="majorBidi"/>
                <w:lang w:val="ro-RO"/>
              </w:rPr>
              <w:t>d)</w:t>
            </w:r>
            <w:r w:rsidRPr="00857CDA">
              <w:rPr>
                <w:rFonts w:asciiTheme="majorBidi" w:hAnsiTheme="majorBidi" w:cstheme="majorBidi"/>
                <w:lang w:val="ro-RO"/>
              </w:rPr>
              <w:tab/>
            </w:r>
            <w:r w:rsidR="00771DF7" w:rsidRPr="00857CDA">
              <w:rPr>
                <w:rFonts w:asciiTheme="majorBidi" w:hAnsiTheme="majorBidi" w:cstheme="majorBidi"/>
                <w:lang w:val="ro-RO"/>
              </w:rPr>
              <w:t>Necombustibilitatea trebuie să fie evaluată în conformitate cu un standard recunoscut în ţara în care a fost conceput sau fabricat ambalajul mare</w:t>
            </w:r>
            <w:r w:rsidRPr="00857CDA">
              <w:rPr>
                <w:rFonts w:asciiTheme="majorBidi" w:hAnsiTheme="majorBidi" w:cstheme="majorBidi"/>
                <w:lang w:val="ro-RO"/>
              </w:rPr>
              <w:t>.</w:t>
            </w:r>
          </w:p>
        </w:tc>
      </w:tr>
      <w:tr w:rsidR="00A074FC" w:rsidRPr="00857CDA" w:rsidTr="006201FD">
        <w:trPr>
          <w:cantSplit/>
        </w:trPr>
        <w:tc>
          <w:tcPr>
            <w:tcW w:w="9641" w:type="dxa"/>
            <w:gridSpan w:val="3"/>
            <w:tcBorders>
              <w:top w:val="single" w:sz="6" w:space="0" w:color="auto"/>
              <w:bottom w:val="nil"/>
            </w:tcBorders>
          </w:tcPr>
          <w:p w:rsidR="004215B9" w:rsidRPr="00857CDA" w:rsidRDefault="006A1ED1" w:rsidP="00771DF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lang w:val="ro-RO"/>
              </w:rPr>
            </w:pPr>
            <w:r w:rsidRPr="00857CDA">
              <w:rPr>
                <w:b/>
                <w:lang w:val="ro-RO"/>
              </w:rPr>
              <w:t>Dispoziți</w:t>
            </w:r>
            <w:r w:rsidR="00771DF7" w:rsidRPr="00857CDA">
              <w:rPr>
                <w:b/>
                <w:lang w:val="ro-RO"/>
              </w:rPr>
              <w:t>e</w:t>
            </w:r>
            <w:r w:rsidRPr="00857CDA">
              <w:rPr>
                <w:b/>
                <w:lang w:val="ro-RO"/>
              </w:rPr>
              <w:t xml:space="preserve"> suplimentară</w:t>
            </w:r>
            <w:r w:rsidR="004215B9" w:rsidRPr="00857CDA">
              <w:rPr>
                <w:b/>
                <w:lang w:val="ro-RO"/>
              </w:rPr>
              <w:t>:</w:t>
            </w:r>
          </w:p>
        </w:tc>
      </w:tr>
      <w:tr w:rsidR="00A074FC" w:rsidRPr="00857CDA" w:rsidTr="006201FD">
        <w:trPr>
          <w:cantSplit/>
        </w:trPr>
        <w:tc>
          <w:tcPr>
            <w:tcW w:w="9641" w:type="dxa"/>
            <w:gridSpan w:val="3"/>
            <w:tcBorders>
              <w:top w:val="nil"/>
              <w:bottom w:val="single" w:sz="6" w:space="0" w:color="auto"/>
            </w:tcBorders>
          </w:tcPr>
          <w:p w:rsidR="004215B9" w:rsidRPr="00857CDA" w:rsidRDefault="00771DF7" w:rsidP="009F1284">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ro-RO"/>
              </w:rPr>
            </w:pPr>
            <w:r w:rsidRPr="00857CDA">
              <w:rPr>
                <w:iCs/>
                <w:lang w:val="ro-RO"/>
              </w:rPr>
              <w:t>Pilele sau bateriile trebuie să fie protejate contra scurt-circuitelor.</w:t>
            </w:r>
          </w:p>
        </w:tc>
      </w:tr>
    </w:tbl>
    <w:p w:rsidR="00725BE1" w:rsidRPr="00857CDA" w:rsidRDefault="00725BE1" w:rsidP="00725BE1">
      <w:pPr>
        <w:suppressAutoHyphens w:val="0"/>
        <w:spacing w:line="240" w:lineRule="auto"/>
        <w:rPr>
          <w:lang w:val="ro-RO"/>
        </w:rPr>
      </w:pPr>
    </w:p>
    <w:p w:rsidR="00E93B06" w:rsidRPr="00857CDA" w:rsidRDefault="00E93B06" w:rsidP="00725BE1">
      <w:pPr>
        <w:suppressAutoHyphens w:val="0"/>
        <w:spacing w:line="240" w:lineRule="auto"/>
        <w:rPr>
          <w:lang w:val="ro-RO"/>
        </w:rPr>
      </w:pPr>
      <w:r w:rsidRPr="00857CDA">
        <w:rPr>
          <w:lang w:val="ro-RO"/>
        </w:rPr>
        <w:t>4.1.4.3</w:t>
      </w:r>
      <w:r w:rsidRPr="00857CDA">
        <w:rPr>
          <w:lang w:val="ro-RO"/>
        </w:rPr>
        <w:tab/>
      </w:r>
      <w:r w:rsidRPr="00857CDA">
        <w:rPr>
          <w:lang w:val="ro-RO"/>
        </w:rPr>
        <w:tab/>
      </w:r>
      <w:r w:rsidR="00BF2AC1" w:rsidRPr="00857CDA">
        <w:rPr>
          <w:lang w:val="ro-RO"/>
        </w:rPr>
        <w:t>Se adaugă noua instrucțiune de ambalare LP906, după cum urmează:</w:t>
      </w:r>
    </w:p>
    <w:tbl>
      <w:tblPr>
        <w:tblW w:w="9645" w:type="dxa"/>
        <w:jc w:val="center"/>
        <w:tblLayout w:type="fixed"/>
        <w:tblCellMar>
          <w:left w:w="0" w:type="dxa"/>
          <w:right w:w="113" w:type="dxa"/>
        </w:tblCellMar>
        <w:tblLook w:val="01E0" w:firstRow="1" w:lastRow="1" w:firstColumn="1" w:lastColumn="1" w:noHBand="0" w:noVBand="0"/>
      </w:tblPr>
      <w:tblGrid>
        <w:gridCol w:w="1137"/>
        <w:gridCol w:w="6663"/>
        <w:gridCol w:w="1845"/>
      </w:tblGrid>
      <w:tr w:rsidR="00A074FC" w:rsidRPr="00857CDA" w:rsidTr="00256E1C">
        <w:trPr>
          <w:cantSplit/>
          <w:tblHeader/>
          <w:jc w:val="center"/>
        </w:trPr>
        <w:tc>
          <w:tcPr>
            <w:tcW w:w="1137"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E93B06" w:rsidRPr="00857CDA"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ro-RO"/>
              </w:rPr>
            </w:pPr>
            <w:r w:rsidRPr="00857CDA">
              <w:rPr>
                <w:b/>
                <w:lang w:val="ro-RO"/>
              </w:rPr>
              <w:t>LP906</w:t>
            </w:r>
          </w:p>
        </w:tc>
        <w:tc>
          <w:tcPr>
            <w:tcW w:w="6663"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E93B06" w:rsidRPr="00857CDA" w:rsidRDefault="006A1ED1" w:rsidP="00BF2AC1">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ro-RO"/>
              </w:rPr>
            </w:pPr>
            <w:r w:rsidRPr="00857CDA">
              <w:rPr>
                <w:b/>
                <w:iCs/>
                <w:lang w:val="ro-RO"/>
              </w:rPr>
              <w:t>INSTRUCȚIUNE DE AMBALARE</w:t>
            </w:r>
          </w:p>
        </w:tc>
        <w:tc>
          <w:tcPr>
            <w:tcW w:w="184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93B06" w:rsidRPr="00857CDA" w:rsidRDefault="00E93B06"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ro-RO"/>
              </w:rPr>
            </w:pPr>
            <w:r w:rsidRPr="00857CDA">
              <w:rPr>
                <w:b/>
                <w:iCs/>
                <w:lang w:val="ro-RO"/>
              </w:rPr>
              <w:t>LP906</w:t>
            </w:r>
          </w:p>
        </w:tc>
      </w:tr>
      <w:tr w:rsidR="00A074FC" w:rsidRPr="007D305F" w:rsidTr="00FC7059">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93B06" w:rsidRPr="00857CDA" w:rsidRDefault="008576AD" w:rsidP="0014077D">
            <w:pPr>
              <w:tabs>
                <w:tab w:val="left" w:pos="1418"/>
                <w:tab w:val="left" w:pos="1985"/>
                <w:tab w:val="left" w:pos="2552"/>
                <w:tab w:val="left" w:pos="3119"/>
                <w:tab w:val="left" w:pos="3686"/>
                <w:tab w:val="left" w:pos="4253"/>
                <w:tab w:val="left" w:pos="4820"/>
              </w:tabs>
              <w:suppressAutoHyphens w:val="0"/>
              <w:spacing w:before="60" w:after="60" w:line="240" w:lineRule="auto"/>
              <w:jc w:val="both"/>
              <w:rPr>
                <w:lang w:val="ro-RO"/>
              </w:rPr>
            </w:pPr>
            <w:r w:rsidRPr="00857CDA">
              <w:rPr>
                <w:iCs/>
                <w:lang w:val="ro-RO"/>
              </w:rPr>
              <w:t>Această instrucțiune se aplică bateriilor deteriorate sau defecte, de la Nr. ONU 3090, 3091, 3480 și 3481, care se pot dezasambla rapid, reacționa periculos, produce o flacără sau o eliberare periculoasă de căldură sau o emisie de gaz sau de vapori toxici, corozivi sau inflamabili, în condiții normale de transport</w:t>
            </w:r>
            <w:r w:rsidRPr="00857CDA">
              <w:rPr>
                <w:lang w:val="ro-RO"/>
              </w:rPr>
              <w:t>.</w:t>
            </w:r>
          </w:p>
        </w:tc>
      </w:tr>
      <w:tr w:rsidR="00A074FC" w:rsidRPr="00857CDA" w:rsidTr="00FC7059">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E93B06" w:rsidRPr="00857CDA" w:rsidRDefault="00FE691B" w:rsidP="0092015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t>Următoarele ambalaje mari sunt autorizate, dacă sunt îndeplinite dispoziţiile generale de la 4.1.1 şi 4.1.3</w:t>
            </w:r>
            <w:r w:rsidRPr="00857CDA">
              <w:rPr>
                <w:lang w:val="ro-RO"/>
              </w:rPr>
              <w:t>:</w:t>
            </w:r>
          </w:p>
        </w:tc>
      </w:tr>
      <w:tr w:rsidR="00A074FC" w:rsidRPr="007D305F"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E93B06" w:rsidRPr="00857CDA" w:rsidRDefault="00991390" w:rsidP="00857CDA">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lang w:val="ro-RO"/>
              </w:rPr>
              <w:t>Pentru</w:t>
            </w:r>
            <w:r w:rsidR="00F9527F" w:rsidRPr="00857CDA">
              <w:rPr>
                <w:lang w:val="ro-RO"/>
              </w:rPr>
              <w:t xml:space="preserve"> </w:t>
            </w:r>
            <w:r w:rsidR="00FE691B" w:rsidRPr="00857CDA">
              <w:rPr>
                <w:lang w:val="ro-RO"/>
              </w:rPr>
              <w:t>o</w:t>
            </w:r>
            <w:r w:rsidR="00F9527F" w:rsidRPr="00857CDA">
              <w:rPr>
                <w:lang w:val="ro-RO"/>
              </w:rPr>
              <w:t xml:space="preserve"> baterie</w:t>
            </w:r>
            <w:r w:rsidR="00FE691B" w:rsidRPr="00857CDA">
              <w:rPr>
                <w:lang w:val="ro-RO"/>
              </w:rPr>
              <w:t xml:space="preserve"> singură</w:t>
            </w:r>
            <w:r w:rsidR="004C27AD" w:rsidRPr="00857CDA">
              <w:rPr>
                <w:lang w:val="ro-RO"/>
              </w:rPr>
              <w:t xml:space="preserve"> și </w:t>
            </w:r>
            <w:r w:rsidRPr="00857CDA">
              <w:rPr>
                <w:lang w:val="ro-RO"/>
              </w:rPr>
              <w:t>pentru</w:t>
            </w:r>
            <w:r w:rsidR="00F9527F" w:rsidRPr="00857CDA">
              <w:rPr>
                <w:lang w:val="ro-RO"/>
              </w:rPr>
              <w:t xml:space="preserve"> un </w:t>
            </w:r>
            <w:r w:rsidR="00FE691B" w:rsidRPr="00857CDA">
              <w:rPr>
                <w:lang w:val="ro-RO"/>
              </w:rPr>
              <w:t>singur e</w:t>
            </w:r>
            <w:r w:rsidR="00857CDA">
              <w:rPr>
                <w:lang w:val="ro-RO"/>
              </w:rPr>
              <w:t>ch</w:t>
            </w:r>
            <w:r w:rsidR="00F9527F" w:rsidRPr="00857CDA">
              <w:rPr>
                <w:lang w:val="ro-RO"/>
              </w:rPr>
              <w:t>i</w:t>
            </w:r>
            <w:r w:rsidR="00FE691B" w:rsidRPr="00857CDA">
              <w:rPr>
                <w:lang w:val="ro-RO"/>
              </w:rPr>
              <w:t>pament care conține baterii</w:t>
            </w:r>
            <w:r w:rsidR="00F9527F" w:rsidRPr="00857CDA">
              <w:rPr>
                <w:lang w:val="ro-RO"/>
              </w:rPr>
              <w:t>:</w:t>
            </w:r>
          </w:p>
        </w:tc>
      </w:tr>
      <w:tr w:rsidR="00A074FC" w:rsidRPr="007D305F" w:rsidTr="00FC7059">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290141" w:rsidRPr="00857CDA" w:rsidRDefault="00FE691B" w:rsidP="00FE691B">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lang w:val="ro-RO"/>
              </w:rPr>
            </w:pPr>
            <w:r w:rsidRPr="00857CDA">
              <w:rPr>
                <w:iCs/>
                <w:lang w:val="ro-RO"/>
              </w:rPr>
              <w:t>Ambalajele mari rigide conforme nivelului de încercare al grupei de ambalare I, făcute din</w:t>
            </w:r>
            <w:r w:rsidRPr="00857CDA">
              <w:rPr>
                <w:lang w:val="ro-RO"/>
              </w:rPr>
              <w:t>:</w:t>
            </w:r>
          </w:p>
        </w:tc>
      </w:tr>
      <w:tr w:rsidR="00FE691B"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FE691B" w:rsidRPr="00857CDA" w:rsidRDefault="00FE691B" w:rsidP="004478B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Oțel (50A);</w:t>
            </w:r>
          </w:p>
        </w:tc>
      </w:tr>
      <w:tr w:rsidR="00FE691B"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FE691B" w:rsidRPr="00857CDA" w:rsidRDefault="00FE691B" w:rsidP="004478B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Aluminiu (50B);</w:t>
            </w:r>
          </w:p>
        </w:tc>
      </w:tr>
      <w:tr w:rsidR="00FE691B"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FE691B" w:rsidRPr="00857CDA" w:rsidRDefault="00FE691B" w:rsidP="004478B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lang w:val="ro-RO"/>
              </w:rPr>
              <w:t xml:space="preserve">Metal altul decât oţelul sau aluminiul </w:t>
            </w:r>
            <w:r w:rsidRPr="00857CDA">
              <w:rPr>
                <w:iCs/>
                <w:lang w:val="ro-RO"/>
              </w:rPr>
              <w:t>(50N);</w:t>
            </w:r>
          </w:p>
        </w:tc>
      </w:tr>
      <w:tr w:rsidR="00FE691B"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FE691B" w:rsidRPr="00857CDA" w:rsidRDefault="00FE691B" w:rsidP="004478B6">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ro-RO"/>
              </w:rPr>
            </w:pPr>
            <w:r w:rsidRPr="00857CDA">
              <w:rPr>
                <w:iCs/>
                <w:lang w:val="ro-RO"/>
              </w:rPr>
              <w:t>Plastic rigid (50H);</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FE691B" w:rsidP="006201FD">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ro-RO"/>
              </w:rPr>
            </w:pPr>
            <w:r w:rsidRPr="00857CDA">
              <w:rPr>
                <w:lang w:val="ro-RO"/>
              </w:rPr>
              <w:t>Placaj</w:t>
            </w:r>
            <w:r w:rsidR="00836A3C" w:rsidRPr="00857CDA">
              <w:rPr>
                <w:lang w:val="ro-RO"/>
              </w:rPr>
              <w:t xml:space="preserve"> (50D)</w:t>
            </w:r>
            <w:r w:rsidR="00D76631" w:rsidRPr="00857CDA">
              <w:rPr>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FE691B">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lang w:val="ro-RO"/>
              </w:rPr>
            </w:pPr>
            <w:r w:rsidRPr="00857CDA">
              <w:rPr>
                <w:lang w:val="ro-RO"/>
              </w:rPr>
              <w:t>Carton rigid (50G)</w:t>
            </w:r>
            <w:r w:rsidR="00836A3C" w:rsidRPr="00857CDA">
              <w:rPr>
                <w:lang w:val="ro-RO"/>
              </w:rPr>
              <w:t>.</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B95B90" w:rsidP="00FE691B">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1)</w:t>
            </w:r>
            <w:r w:rsidR="00E93B06" w:rsidRPr="00857CDA">
              <w:rPr>
                <w:lang w:val="ro-RO"/>
              </w:rPr>
              <w:tab/>
            </w:r>
            <w:r w:rsidR="00FE691B" w:rsidRPr="00857CDA">
              <w:rPr>
                <w:lang w:val="ro-RO"/>
              </w:rPr>
              <w:t>Ambalajele trebuie să îndeplinească următoarele prescripții suplimentare de performanță în cazurile în care pilele și bateriile sunt dezasamblate rapid, reacționează periculos, produc o flacără sau o eliberare periculoasă de căldură sau o emisie de gaze sau vapori toxici, corozivi sau inflamabili:</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a)</w:t>
            </w:r>
            <w:r w:rsidRPr="00857CDA">
              <w:rPr>
                <w:lang w:val="ro-RO"/>
              </w:rPr>
              <w:tab/>
            </w:r>
            <w:r w:rsidR="00FE691B" w:rsidRPr="00857CDA">
              <w:rPr>
                <w:lang w:val="ro-RO"/>
              </w:rPr>
              <w:t>Temperatura suprafeței exterioare a ambalajului complet nu trebuie să depășească 100 °C. Este acceptabil un vârf momentan de temperatură de până la 200 °C;</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b) </w:t>
            </w:r>
            <w:r w:rsidRPr="00857CDA">
              <w:rPr>
                <w:lang w:val="ro-RO"/>
              </w:rPr>
              <w:tab/>
            </w:r>
            <w:r w:rsidR="00FE691B" w:rsidRPr="00857CDA">
              <w:rPr>
                <w:lang w:val="ro-RO"/>
              </w:rPr>
              <w:t>În afara coletului nu trebuie să se producă nicio flacără periculoasă;</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6201F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c) </w:t>
            </w:r>
            <w:r w:rsidRPr="00857CDA">
              <w:rPr>
                <w:lang w:val="ro-RO"/>
              </w:rPr>
              <w:tab/>
            </w:r>
            <w:r w:rsidR="00FE691B" w:rsidRPr="00857CDA">
              <w:rPr>
                <w:lang w:val="ro-RO"/>
              </w:rPr>
              <w:t>În afara coletului nu trebuie să fie proiectate niciun fel de fragmente periculoase;</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9F1284">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d) </w:t>
            </w:r>
            <w:r w:rsidRPr="00857CDA">
              <w:rPr>
                <w:lang w:val="ro-RO"/>
              </w:rPr>
              <w:tab/>
            </w:r>
            <w:r w:rsidR="00FE691B" w:rsidRPr="00857CDA">
              <w:rPr>
                <w:lang w:val="ro-RO"/>
              </w:rPr>
              <w:t>Integritatea structurală a coletului trebuie să fie păstrată; și</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FE691B">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rPr>
                <w:lang w:val="ro-RO"/>
              </w:rPr>
            </w:pPr>
            <w:r w:rsidRPr="00857CDA">
              <w:rPr>
                <w:lang w:val="ro-RO"/>
              </w:rPr>
              <w:t xml:space="preserve">e) </w:t>
            </w:r>
            <w:r w:rsidRPr="00857CDA">
              <w:rPr>
                <w:lang w:val="ro-RO"/>
              </w:rPr>
              <w:tab/>
            </w:r>
            <w:r w:rsidR="00FE691B" w:rsidRPr="00857CDA">
              <w:rPr>
                <w:lang w:val="ro-RO"/>
              </w:rPr>
              <w:t>Ambalajele mari trebuie să aibă un sistem de gestionare a fluxurilor de gaz (de exemplu: un dispozitiv de filtrare, de ventilație, de izolare a gazelor, de etanșare etc.), după caz.</w:t>
            </w:r>
          </w:p>
        </w:tc>
      </w:tr>
      <w:tr w:rsidR="00A074FC" w:rsidRPr="00857CDA"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B95B90" w:rsidP="009E7F1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2)</w:t>
            </w:r>
            <w:r w:rsidR="00E93B06" w:rsidRPr="00857CDA">
              <w:rPr>
                <w:lang w:val="ro-RO"/>
              </w:rPr>
              <w:tab/>
            </w:r>
            <w:r w:rsidR="00FE691B" w:rsidRPr="00857CDA">
              <w:rPr>
                <w:lang w:val="ro-RO"/>
              </w:rPr>
              <w:t>Prescripțiile suplimentare de performanță se verifică prin încercări specificate de autoritatea competentă a oricărei părți contractante la ADR, care poate recunoaște, de asemenea, încercările specificate de autoritatea competentă a unei țări care nu este parte contractantă la ADR cu condiția ca aceste încercări să fie specificate în conformitate cu procedurile aplicabile în conformitate cu RID, ADR, ADN, Codul IMDG sau instrucțiunile tehnice OACI</w:t>
            </w:r>
            <w:r w:rsidR="00FE691B" w:rsidRPr="00857CDA">
              <w:rPr>
                <w:b/>
                <w:vertAlign w:val="superscript"/>
                <w:lang w:val="ro-RO"/>
              </w:rPr>
              <w:t xml:space="preserve"> a</w:t>
            </w:r>
            <w:r w:rsidR="00FE691B" w:rsidRPr="00857CDA">
              <w:rPr>
                <w:lang w:val="ro-RO"/>
              </w:rPr>
              <w:t>.</w:t>
            </w:r>
            <w:r w:rsidR="00E93B06" w:rsidRPr="00857CDA">
              <w:rPr>
                <w:lang w:val="ro-RO"/>
              </w:rPr>
              <w:t xml:space="preserve"> </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E93B06" w:rsidP="00076867">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ab/>
            </w:r>
            <w:r w:rsidR="00FE691B" w:rsidRPr="00857CDA">
              <w:rPr>
                <w:lang w:val="ro-RO"/>
              </w:rPr>
              <w:t>Un raport emis după verificare trebuie să fie disponibil la cerere. Cel puțin numele pilei sau al bateriei, numărul acesteia, masa, tipul, conținutul energetic, numărul de identificare a ambalajului și datele de încercare trebuie să fie enumerate în raport, funcție de metoda de verificare specificată de autoritatea competentă.</w:t>
            </w:r>
          </w:p>
        </w:tc>
      </w:tr>
      <w:tr w:rsidR="00A074FC" w:rsidRPr="007D305F" w:rsidTr="00FC7059">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E93B06" w:rsidRPr="00857CDA" w:rsidRDefault="00B95B90" w:rsidP="006201F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lang w:val="ro-RO"/>
              </w:rPr>
            </w:pPr>
            <w:r w:rsidRPr="00857CDA">
              <w:rPr>
                <w:lang w:val="ro-RO"/>
              </w:rPr>
              <w:t>3)</w:t>
            </w:r>
            <w:r w:rsidR="00E93B06" w:rsidRPr="00857CDA">
              <w:rPr>
                <w:lang w:val="ro-RO"/>
              </w:rPr>
              <w:tab/>
            </w:r>
            <w:r w:rsidR="00214D7D" w:rsidRPr="00857CDA">
              <w:rPr>
                <w:lang w:val="ro-RO"/>
              </w:rPr>
              <w:t>În cazurile în care sunt utilizate gheața carbonică sau azotul lichid ca agent frigorific, prescripțiile de la 5.5.3 sunt aplicabile. Ambalajele interioare și exterioare trebuie să-și mențină integritatea la temperatura agentului frigorific utilizat, precum și la temperaturile și presiunile care ar putea fi atinse în cazul pierderii agentului.</w:t>
            </w:r>
          </w:p>
        </w:tc>
      </w:tr>
      <w:tr w:rsidR="00A074FC" w:rsidRPr="00857CDA"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rsidR="00E93B06" w:rsidRPr="00857CDA" w:rsidRDefault="00214D7D"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ro-RO"/>
              </w:rPr>
            </w:pPr>
            <w:r w:rsidRPr="00857CDA">
              <w:rPr>
                <w:b/>
                <w:iCs/>
                <w:lang w:val="ro-RO"/>
              </w:rPr>
              <w:t>Dispoziție</w:t>
            </w:r>
            <w:r w:rsidR="006A1ED1" w:rsidRPr="00857CDA">
              <w:rPr>
                <w:b/>
                <w:iCs/>
                <w:lang w:val="ro-RO"/>
              </w:rPr>
              <w:t xml:space="preserve"> suplimentară</w:t>
            </w:r>
            <w:r w:rsidR="00E93B06" w:rsidRPr="00857CDA">
              <w:rPr>
                <w:b/>
                <w:iCs/>
                <w:lang w:val="ro-RO"/>
              </w:rPr>
              <w:t>:</w:t>
            </w:r>
          </w:p>
        </w:tc>
      </w:tr>
      <w:tr w:rsidR="00A074FC" w:rsidRPr="007D305F" w:rsidTr="00FC7059">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E93B06" w:rsidRPr="00857CDA" w:rsidRDefault="00214D7D" w:rsidP="006201FD">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ro-RO"/>
              </w:rPr>
            </w:pPr>
            <w:r w:rsidRPr="00857CDA">
              <w:rPr>
                <w:iCs/>
                <w:lang w:val="ro-RO"/>
              </w:rPr>
              <w:lastRenderedPageBreak/>
              <w:t>Bateriile trebuie să fie protejate contra scurt-circuitelor.</w:t>
            </w:r>
          </w:p>
        </w:tc>
      </w:tr>
      <w:tr w:rsidR="00A074FC" w:rsidRPr="007D305F" w:rsidTr="00FC7059">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E93B06" w:rsidRPr="00857CDA" w:rsidRDefault="00E93B06" w:rsidP="00753744">
            <w:pPr>
              <w:tabs>
                <w:tab w:val="left" w:pos="366"/>
                <w:tab w:val="left" w:pos="1985"/>
                <w:tab w:val="left" w:pos="2552"/>
                <w:tab w:val="left" w:pos="3119"/>
                <w:tab w:val="left" w:pos="3686"/>
                <w:tab w:val="left" w:pos="4253"/>
                <w:tab w:val="left" w:pos="4820"/>
              </w:tabs>
              <w:suppressAutoHyphens w:val="0"/>
              <w:spacing w:before="60" w:after="60" w:line="240" w:lineRule="auto"/>
              <w:jc w:val="both"/>
              <w:rPr>
                <w:lang w:val="ro-RO"/>
              </w:rPr>
            </w:pPr>
            <w:r w:rsidRPr="00857CDA">
              <w:rPr>
                <w:b/>
                <w:vertAlign w:val="superscript"/>
                <w:lang w:val="ro-RO"/>
              </w:rPr>
              <w:t>a</w:t>
            </w:r>
            <w:r w:rsidRPr="00857CDA">
              <w:rPr>
                <w:lang w:val="ro-RO"/>
              </w:rPr>
              <w:tab/>
            </w:r>
            <w:r w:rsidR="00214D7D" w:rsidRPr="00857CDA">
              <w:rPr>
                <w:i/>
                <w:lang w:val="ro-RO"/>
              </w:rPr>
              <w:t>Următoarele criterii, după caz, pot fi luate în considerare pentru a evalua performanța ambalajului mare:</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695AA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lang w:val="ro-RO"/>
              </w:rPr>
            </w:pPr>
            <w:r w:rsidRPr="00857CDA">
              <w:rPr>
                <w:i/>
                <w:lang w:val="ro-RO"/>
              </w:rPr>
              <w:tab/>
            </w:r>
            <w:r w:rsidR="00214D7D" w:rsidRPr="00857CDA">
              <w:rPr>
                <w:i/>
                <w:lang w:val="ro-RO"/>
              </w:rPr>
              <w:t xml:space="preserve">a) </w:t>
            </w:r>
            <w:r w:rsidR="00214D7D" w:rsidRPr="00857CDA">
              <w:rPr>
                <w:i/>
                <w:lang w:val="ro-RO"/>
              </w:rPr>
              <w:tab/>
              <w:t>Evaluarea trebuie efectuată ca parte a unui sistem de management al calității (cum ar fi programul descris la 2.2.9.1.7 (e)) pentru a se asigura trasabilitatea rezultatelor încercărilor, datelor de referință, precum și modelelor de caracterizare utilizate;</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214D7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b) </w:t>
            </w:r>
            <w:r w:rsidRPr="00857CDA">
              <w:rPr>
                <w:i/>
                <w:lang w:val="ro-RO"/>
              </w:rPr>
              <w:tab/>
            </w:r>
            <w:r w:rsidR="00214D7D" w:rsidRPr="00857CDA">
              <w:rPr>
                <w:i/>
                <w:lang w:val="ro-RO"/>
              </w:rPr>
              <w:t>Pericolele preconizate în cazul unei supraîncălziri pentru tipul de baterie transportat, în condițiile de transport prevăzute (de exemplu, utilizarea unui ambalaj interior, nivelul de încărcare, utilizarea unui material de umplutură necombustibil, neconducător de electricitate și suficient de absorbant etc.), trebuie să fie clar definite și cuantificate; În acest scop poate fi utilizată o lista cu posibile pericole pentru bateriile cu litiu (care se pot dezasambla rapid, reacționa periculos, produce o flacără sau o eliberare periculoasă de căldură sau o emisie de gaz sau de vapori toxici, corozivi sau inflamabili). Cuantificarea acestor pericole trebuie să se bazeze pe literatura științifică disponibilă;</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C81FB2">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c) </w:t>
            </w:r>
            <w:r w:rsidRPr="00857CDA">
              <w:rPr>
                <w:i/>
                <w:lang w:val="ro-RO"/>
              </w:rPr>
              <w:tab/>
            </w:r>
            <w:r w:rsidR="00214D7D" w:rsidRPr="00857CDA">
              <w:rPr>
                <w:i/>
                <w:lang w:val="ro-RO"/>
              </w:rPr>
              <w:t>Efectele de atenuare a acestor pericole specifice pentru ambalaje trebuie să fie determinate și caracterizate, în funcție de tipul de protecție oferit de ambalaj și de proprietățile materialelor din care este realizat. Această evaluare trebuie însoțită de o listă a caracteristicilor tehnice și a graficelor (densitate [kg·m</w:t>
            </w:r>
            <w:r w:rsidR="00214D7D" w:rsidRPr="00857CDA">
              <w:rPr>
                <w:i/>
                <w:vertAlign w:val="superscript"/>
                <w:lang w:val="ro-RO"/>
              </w:rPr>
              <w:t>-</w:t>
            </w:r>
            <w:r w:rsidR="00214D7D" w:rsidRPr="00857CDA">
              <w:rPr>
                <w:i/>
                <w:lang w:val="ro-RO"/>
              </w:rPr>
              <w:t>³], capacitate calorică [J·kg</w:t>
            </w:r>
            <w:r w:rsidR="00214D7D" w:rsidRPr="00857CDA">
              <w:rPr>
                <w:i/>
                <w:vertAlign w:val="superscript"/>
                <w:lang w:val="ro-RO"/>
              </w:rPr>
              <w:t>-1</w:t>
            </w:r>
            <w:r w:rsidR="00214D7D" w:rsidRPr="00857CDA">
              <w:rPr>
                <w:i/>
                <w:lang w:val="ro-RO"/>
              </w:rPr>
              <w:t>· K</w:t>
            </w:r>
            <w:r w:rsidR="00214D7D" w:rsidRPr="00857CDA">
              <w:rPr>
                <w:i/>
                <w:vertAlign w:val="superscript"/>
                <w:lang w:val="ro-RO"/>
              </w:rPr>
              <w:t>-1</w:t>
            </w:r>
            <w:r w:rsidR="00214D7D" w:rsidRPr="00857CDA">
              <w:rPr>
                <w:i/>
                <w:lang w:val="ro-RO"/>
              </w:rPr>
              <w:t>], căldură specifică [kJ·kg</w:t>
            </w:r>
            <w:r w:rsidR="00214D7D" w:rsidRPr="00857CDA">
              <w:rPr>
                <w:i/>
                <w:vertAlign w:val="superscript"/>
                <w:lang w:val="ro-RO"/>
              </w:rPr>
              <w:t>-1</w:t>
            </w:r>
            <w:r w:rsidR="00214D7D" w:rsidRPr="00857CDA">
              <w:rPr>
                <w:i/>
                <w:lang w:val="ro-RO"/>
              </w:rPr>
              <w:t>] conductivitate termică [W·m</w:t>
            </w:r>
            <w:r w:rsidR="00214D7D" w:rsidRPr="00857CDA">
              <w:rPr>
                <w:i/>
                <w:vertAlign w:val="superscript"/>
                <w:lang w:val="ro-RO"/>
              </w:rPr>
              <w:t>-1</w:t>
            </w:r>
            <w:r w:rsidR="00214D7D" w:rsidRPr="00857CDA">
              <w:rPr>
                <w:i/>
                <w:lang w:val="ro-RO"/>
              </w:rPr>
              <w:t>·K</w:t>
            </w:r>
            <w:r w:rsidR="00214D7D" w:rsidRPr="00857CDA">
              <w:rPr>
                <w:i/>
                <w:vertAlign w:val="superscript"/>
                <w:lang w:val="ro-RO"/>
              </w:rPr>
              <w:t>-1</w:t>
            </w:r>
            <w:r w:rsidR="00214D7D" w:rsidRPr="00857CDA">
              <w:rPr>
                <w:i/>
                <w:lang w:val="ro-RO"/>
              </w:rPr>
              <w:t>], temperatura de topire și temperatura de aprindere [K],coeficientul de transfer termic al ambalajului exterior [W·m</w:t>
            </w:r>
            <w:r w:rsidR="00214D7D" w:rsidRPr="00857CDA">
              <w:rPr>
                <w:i/>
                <w:vertAlign w:val="superscript"/>
                <w:lang w:val="ro-RO"/>
              </w:rPr>
              <w:t>-2</w:t>
            </w:r>
            <w:r w:rsidR="00214D7D" w:rsidRPr="00857CDA">
              <w:rPr>
                <w:i/>
                <w:lang w:val="ro-RO"/>
              </w:rPr>
              <w:t>·K</w:t>
            </w:r>
            <w:r w:rsidR="00214D7D" w:rsidRPr="00857CDA">
              <w:rPr>
                <w:i/>
                <w:vertAlign w:val="superscript"/>
                <w:lang w:val="ro-RO"/>
              </w:rPr>
              <w:t>-1</w:t>
            </w:r>
            <w:r w:rsidR="00214D7D" w:rsidRPr="00857CDA">
              <w:rPr>
                <w:i/>
                <w:lang w:val="ro-RO"/>
              </w:rPr>
              <w:t>], ...);</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214D7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d) </w:t>
            </w:r>
            <w:r w:rsidRPr="00857CDA">
              <w:rPr>
                <w:i/>
                <w:lang w:val="ro-RO"/>
              </w:rPr>
              <w:tab/>
            </w:r>
            <w:r w:rsidR="00214D7D" w:rsidRPr="00857CDA">
              <w:rPr>
                <w:i/>
                <w:lang w:val="ro-RO"/>
              </w:rPr>
              <w:t>Încercarea și orice calcule justificative trebuie să evalueze rezultatul supraîncălzirii bateriei din interiorul ambalajului mare, în condiții normale de transport;</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214D7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e) </w:t>
            </w:r>
            <w:r w:rsidRPr="00857CDA">
              <w:rPr>
                <w:i/>
                <w:lang w:val="ro-RO"/>
              </w:rPr>
              <w:tab/>
            </w:r>
            <w:r w:rsidR="00214D7D" w:rsidRPr="00857CDA">
              <w:rPr>
                <w:i/>
                <w:lang w:val="ro-RO"/>
              </w:rPr>
              <w:t>În cazurile în care nivelul de încărcare al bateriei nu este cunoscut, evaluarea trebuie făcută la cel mai înalt nivel de încărcare posibil, corespunzător condițiilor de utilizare a bateriei;</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214D7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f) </w:t>
            </w:r>
            <w:r w:rsidRPr="00857CDA">
              <w:rPr>
                <w:i/>
                <w:lang w:val="ro-RO"/>
              </w:rPr>
              <w:tab/>
            </w:r>
            <w:r w:rsidR="00214D7D" w:rsidRPr="00857CDA">
              <w:rPr>
                <w:i/>
                <w:lang w:val="ro-RO"/>
              </w:rPr>
              <w:t>Trebuie descrise condițiile mediului înconjurător în care poate fi utilizat și transportat ambalajul mare (inclusiv posibilele consecințe ale emisiilor de gaze sau de vapori asupra mediului cum ar fi prin ventilație sau alte metode) în raport cu gestionarea fluxurilor de gaz din ambalajul mare;</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214D7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r w:rsidRPr="00857CDA">
              <w:rPr>
                <w:i/>
                <w:lang w:val="ro-RO"/>
              </w:rPr>
              <w:tab/>
              <w:t xml:space="preserve">g) </w:t>
            </w:r>
            <w:r w:rsidRPr="00857CDA">
              <w:rPr>
                <w:i/>
                <w:lang w:val="ro-RO"/>
              </w:rPr>
              <w:tab/>
            </w:r>
            <w:r w:rsidR="00214D7D" w:rsidRPr="00857CDA">
              <w:rPr>
                <w:i/>
                <w:lang w:val="ro-RO"/>
              </w:rPr>
              <w:t>Încercările sau modelul de calcul trebuie să se bazeze pe cel mai pesimist caz în ceea ce privește inițierea supraîncălzirii și propagarea acesteia în interiorul bateriei, presupunând că se produc: cel mai grav eșec posibil, în condițiile normale de transport, precum și cel mai ridicat nivel al căldurii și emisiilor de foc, cu scopul evaluării posibilităților de propagare a reacției;</w:t>
            </w:r>
          </w:p>
        </w:tc>
      </w:tr>
      <w:tr w:rsidR="00A074FC" w:rsidRPr="007D305F" w:rsidTr="00FC7059">
        <w:trPr>
          <w:cantSplit/>
          <w:jc w:val="center"/>
        </w:trPr>
        <w:tc>
          <w:tcPr>
            <w:tcW w:w="9645" w:type="dxa"/>
            <w:gridSpan w:val="3"/>
            <w:tcBorders>
              <w:left w:val="single" w:sz="4" w:space="0" w:color="auto"/>
              <w:right w:val="single" w:sz="4" w:space="0" w:color="auto"/>
            </w:tcBorders>
            <w:tcMar>
              <w:top w:w="0" w:type="dxa"/>
              <w:left w:w="57" w:type="dxa"/>
              <w:bottom w:w="0" w:type="dxa"/>
              <w:right w:w="57" w:type="dxa"/>
            </w:tcMar>
          </w:tcPr>
          <w:p w:rsidR="00E93B06" w:rsidRPr="00857CDA" w:rsidRDefault="00E93B06" w:rsidP="006201FD">
            <w:pPr>
              <w:tabs>
                <w:tab w:val="left" w:pos="791"/>
              </w:tabs>
              <w:suppressAutoHyphens w:val="0"/>
              <w:spacing w:before="60" w:after="60" w:line="240" w:lineRule="auto"/>
              <w:ind w:left="366" w:hanging="426"/>
              <w:jc w:val="both"/>
              <w:rPr>
                <w:i/>
                <w:lang w:val="ro-RO"/>
              </w:rPr>
            </w:pPr>
            <w:r w:rsidRPr="00857CDA">
              <w:rPr>
                <w:i/>
                <w:lang w:val="ro-RO"/>
              </w:rPr>
              <w:tab/>
              <w:t xml:space="preserve">h) </w:t>
            </w:r>
            <w:r w:rsidRPr="00857CDA">
              <w:rPr>
                <w:i/>
                <w:lang w:val="ro-RO"/>
              </w:rPr>
              <w:tab/>
            </w:r>
            <w:r w:rsidR="00214D7D" w:rsidRPr="00857CDA">
              <w:rPr>
                <w:i/>
                <w:lang w:val="ro-RO"/>
              </w:rPr>
              <w:t>Aceste scenarii trebuie evaluate pe o perioadă suficient de lungă pentru a permite apariția tuturor consecințelor posibile (de exemplu: 24 de ore).</w:t>
            </w:r>
          </w:p>
        </w:tc>
      </w:tr>
      <w:tr w:rsidR="00A074FC" w:rsidRPr="007D305F" w:rsidTr="00FC7059">
        <w:trPr>
          <w:cantSplit/>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rsidR="00E93B06" w:rsidRPr="00857CDA" w:rsidRDefault="00E93B06" w:rsidP="006201F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lang w:val="ro-RO"/>
              </w:rPr>
            </w:pPr>
          </w:p>
        </w:tc>
      </w:tr>
    </w:tbl>
    <w:p w:rsidR="00196C06" w:rsidRPr="00857CDA" w:rsidRDefault="00196C06" w:rsidP="004215B9">
      <w:pPr>
        <w:spacing w:before="120" w:after="120" w:line="240" w:lineRule="auto"/>
        <w:ind w:left="1134" w:right="1134"/>
        <w:jc w:val="both"/>
        <w:rPr>
          <w:lang w:val="ro-RO"/>
        </w:rPr>
      </w:pPr>
      <w:r w:rsidRPr="00857CDA">
        <w:rPr>
          <w:lang w:val="ro-RO"/>
        </w:rPr>
        <w:t xml:space="preserve">4.1.5.12 </w:t>
      </w:r>
      <w:r w:rsidRPr="00857CDA">
        <w:rPr>
          <w:lang w:val="ro-RO"/>
        </w:rPr>
        <w:tab/>
      </w:r>
      <w:r w:rsidR="00902C44" w:rsidRPr="00857CDA">
        <w:rPr>
          <w:lang w:val="ro-RO"/>
        </w:rPr>
        <w:t>Se modifică</w:t>
      </w:r>
      <w:r w:rsidRPr="00857CDA">
        <w:rPr>
          <w:lang w:val="ro-RO"/>
        </w:rPr>
        <w:t xml:space="preserve"> </w:t>
      </w:r>
      <w:r w:rsidR="00920FAB" w:rsidRPr="00857CDA">
        <w:rPr>
          <w:lang w:val="ro-RO"/>
        </w:rPr>
        <w:t>„</w:t>
      </w:r>
      <w:r w:rsidR="004E71C9" w:rsidRPr="00857CDA">
        <w:rPr>
          <w:lang w:val="ro-RO"/>
        </w:rPr>
        <w:t>clasa</w:t>
      </w:r>
      <w:r w:rsidRPr="00857CDA">
        <w:rPr>
          <w:lang w:val="ro-RO"/>
        </w:rPr>
        <w:t xml:space="preserve"> de </w:t>
      </w:r>
      <w:r w:rsidR="002B679C" w:rsidRPr="00857CDA">
        <w:rPr>
          <w:lang w:val="ro-RO"/>
        </w:rPr>
        <w:t>risc</w:t>
      </w:r>
      <w:r w:rsidR="00660131" w:rsidRPr="00857CDA">
        <w:rPr>
          <w:lang w:val="ro-RO"/>
        </w:rPr>
        <w:t>”</w:t>
      </w:r>
      <w:r w:rsidR="00902C44" w:rsidRPr="00857CDA">
        <w:rPr>
          <w:lang w:val="ro-RO"/>
        </w:rPr>
        <w:t xml:space="preserve"> cu </w:t>
      </w:r>
      <w:r w:rsidR="00920FAB" w:rsidRPr="00857CDA">
        <w:rPr>
          <w:lang w:val="ro-RO"/>
        </w:rPr>
        <w:t>„</w:t>
      </w:r>
      <w:r w:rsidRPr="00857CDA">
        <w:rPr>
          <w:lang w:val="ro-RO"/>
        </w:rPr>
        <w:t>divi</w:t>
      </w:r>
      <w:r w:rsidR="004E71C9" w:rsidRPr="00857CDA">
        <w:rPr>
          <w:lang w:val="ro-RO"/>
        </w:rPr>
        <w:t>ziunea</w:t>
      </w:r>
      <w:r w:rsidRPr="00857CDA">
        <w:rPr>
          <w:lang w:val="ro-RO"/>
        </w:rPr>
        <w:t xml:space="preserve"> de </w:t>
      </w:r>
      <w:r w:rsidR="002B679C" w:rsidRPr="00857CDA">
        <w:rPr>
          <w:lang w:val="ro-RO"/>
        </w:rPr>
        <w:t>pericol</w:t>
      </w:r>
      <w:r w:rsidR="00660131" w:rsidRPr="00857CDA">
        <w:rPr>
          <w:lang w:val="ro-RO"/>
        </w:rPr>
        <w:t>”</w:t>
      </w:r>
      <w:r w:rsidRPr="00857CDA">
        <w:rPr>
          <w:lang w:val="ro-RO"/>
        </w:rPr>
        <w:t>.</w:t>
      </w:r>
    </w:p>
    <w:p w:rsidR="00920159" w:rsidRPr="00857CDA" w:rsidRDefault="00920159" w:rsidP="00920159">
      <w:pPr>
        <w:pStyle w:val="SingleTxtG"/>
        <w:tabs>
          <w:tab w:val="left" w:pos="2268"/>
        </w:tabs>
        <w:rPr>
          <w:lang w:val="ro-RO" w:eastAsia="en-GB"/>
        </w:rPr>
      </w:pPr>
      <w:r w:rsidRPr="00857CDA">
        <w:rPr>
          <w:lang w:val="ro-RO" w:eastAsia="en-GB"/>
        </w:rPr>
        <w:t>4.1.6.4</w:t>
      </w:r>
      <w:r w:rsidRPr="00857CDA">
        <w:rPr>
          <w:lang w:val="ro-RO" w:eastAsia="en-GB"/>
        </w:rPr>
        <w:tab/>
      </w:r>
      <w:r w:rsidR="00902C44" w:rsidRPr="00857CDA">
        <w:rPr>
          <w:lang w:val="ro-RO" w:eastAsia="en-GB"/>
        </w:rPr>
        <w:t xml:space="preserve">În </w:t>
      </w:r>
      <w:r w:rsidR="00970E20" w:rsidRPr="00857CDA">
        <w:rPr>
          <w:lang w:val="ro-RO" w:eastAsia="en-GB"/>
        </w:rPr>
        <w:t>ultima frază</w:t>
      </w:r>
      <w:r w:rsidRPr="00857CDA">
        <w:rPr>
          <w:lang w:val="ro-RO" w:eastAsia="en-GB"/>
        </w:rPr>
        <w:t xml:space="preserve">, </w:t>
      </w:r>
      <w:r w:rsidR="006D763B" w:rsidRPr="00857CDA">
        <w:rPr>
          <w:lang w:val="ro-RO" w:eastAsia="en-GB"/>
        </w:rPr>
        <w:t>s</w:t>
      </w:r>
      <w:r w:rsidR="00902C44" w:rsidRPr="00857CDA">
        <w:rPr>
          <w:lang w:val="ro-RO" w:eastAsia="en-GB"/>
        </w:rPr>
        <w:t>e modifică</w:t>
      </w:r>
      <w:r w:rsidRPr="00857CDA">
        <w:rPr>
          <w:lang w:val="ro-RO" w:eastAsia="en-GB"/>
        </w:rPr>
        <w:t xml:space="preserve"> </w:t>
      </w:r>
      <w:r w:rsidR="00920FAB" w:rsidRPr="00857CDA">
        <w:rPr>
          <w:lang w:val="ro-RO"/>
        </w:rPr>
        <w:t>„</w:t>
      </w:r>
      <w:r w:rsidR="002B679C" w:rsidRPr="00857CDA">
        <w:rPr>
          <w:lang w:val="ro-RO" w:eastAsia="en-GB"/>
        </w:rPr>
        <w:t>risc</w:t>
      </w:r>
      <w:r w:rsidR="006D763B" w:rsidRPr="00857CDA">
        <w:rPr>
          <w:lang w:val="ro-RO" w:eastAsia="en-GB"/>
        </w:rPr>
        <w:t xml:space="preserve"> secundar</w:t>
      </w:r>
      <w:r w:rsidR="00660131" w:rsidRPr="00857CDA">
        <w:rPr>
          <w:lang w:val="ro-RO"/>
        </w:rPr>
        <w:t>”</w:t>
      </w:r>
      <w:r w:rsidR="00902C44" w:rsidRPr="00857CDA">
        <w:rPr>
          <w:lang w:val="ro-RO" w:eastAsia="en-GB"/>
        </w:rPr>
        <w:t xml:space="preserve"> cu </w:t>
      </w:r>
      <w:r w:rsidR="00920FAB" w:rsidRPr="00857CDA">
        <w:rPr>
          <w:lang w:val="ro-RO"/>
        </w:rPr>
        <w:t>„</w:t>
      </w:r>
      <w:r w:rsidR="002B679C" w:rsidRPr="00857CDA">
        <w:rPr>
          <w:lang w:val="ro-RO" w:eastAsia="en-GB"/>
        </w:rPr>
        <w:t>pericol</w:t>
      </w:r>
      <w:r w:rsidR="006D763B" w:rsidRPr="00857CDA">
        <w:rPr>
          <w:lang w:val="ro-RO" w:eastAsia="en-GB"/>
        </w:rPr>
        <w:t xml:space="preserve"> secundar</w:t>
      </w:r>
      <w:r w:rsidR="00660131" w:rsidRPr="00857CDA">
        <w:rPr>
          <w:lang w:val="ro-RO"/>
        </w:rPr>
        <w:t>”</w:t>
      </w:r>
      <w:r w:rsidRPr="00857CDA">
        <w:rPr>
          <w:lang w:val="ro-RO" w:eastAsia="en-GB"/>
        </w:rPr>
        <w:t>.</w:t>
      </w:r>
    </w:p>
    <w:p w:rsidR="001660E2" w:rsidRPr="00857CDA" w:rsidRDefault="001660E2" w:rsidP="001660E2">
      <w:pPr>
        <w:pStyle w:val="SingleTxtG"/>
        <w:rPr>
          <w:lang w:val="ro-RO"/>
        </w:rPr>
      </w:pPr>
      <w:r w:rsidRPr="00857CDA">
        <w:rPr>
          <w:lang w:val="ro-RO"/>
        </w:rPr>
        <w:t>4.1.6.15</w:t>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6D763B" w:rsidRPr="00857CDA">
        <w:rPr>
          <w:lang w:val="ro-RO"/>
        </w:rPr>
        <w:t>î</w:t>
      </w:r>
      <w:r w:rsidR="00902C44" w:rsidRPr="00857CDA">
        <w:rPr>
          <w:lang w:val="ro-RO"/>
        </w:rPr>
        <w:t xml:space="preserve">n </w:t>
      </w:r>
      <w:r w:rsidR="006D763B" w:rsidRPr="00857CDA">
        <w:rPr>
          <w:lang w:val="ro-RO"/>
        </w:rPr>
        <w:t xml:space="preserve">cea de a </w:t>
      </w:r>
      <w:r w:rsidRPr="00857CDA">
        <w:rPr>
          <w:lang w:val="ro-RO"/>
        </w:rPr>
        <w:t>d</w:t>
      </w:r>
      <w:r w:rsidR="006D763B" w:rsidRPr="00857CDA">
        <w:rPr>
          <w:lang w:val="ro-RO"/>
        </w:rPr>
        <w:t>oua</w:t>
      </w:r>
      <w:r w:rsidRPr="00857CDA">
        <w:rPr>
          <w:lang w:val="ro-RO"/>
        </w:rPr>
        <w:t xml:space="preserve"> </w:t>
      </w:r>
      <w:r w:rsidR="00121893" w:rsidRPr="00857CDA">
        <w:rPr>
          <w:lang w:val="ro-RO"/>
        </w:rPr>
        <w:t>coloan</w:t>
      </w:r>
      <w:r w:rsidR="006D763B" w:rsidRPr="00857CDA">
        <w:rPr>
          <w:lang w:val="ro-RO"/>
        </w:rPr>
        <w:t>ă</w:t>
      </w:r>
      <w:r w:rsidRPr="00857CDA">
        <w:rPr>
          <w:lang w:val="ro-RO"/>
        </w:rPr>
        <w:t xml:space="preserve">, </w:t>
      </w:r>
      <w:r w:rsidR="006D763B" w:rsidRPr="00857CDA">
        <w:rPr>
          <w:lang w:val="ro-RO"/>
        </w:rPr>
        <w:t>s</w:t>
      </w:r>
      <w:r w:rsidR="00902C44" w:rsidRPr="00857CDA">
        <w:rPr>
          <w:lang w:val="ro-RO"/>
        </w:rPr>
        <w:t>e modifică</w:t>
      </w:r>
      <w:r w:rsidRPr="00857CDA">
        <w:rPr>
          <w:lang w:val="ro-RO"/>
        </w:rPr>
        <w:t xml:space="preserve"> </w:t>
      </w:r>
      <w:r w:rsidR="00920FAB" w:rsidRPr="00857CDA">
        <w:rPr>
          <w:lang w:val="ro-RO"/>
        </w:rPr>
        <w:t>„</w:t>
      </w:r>
      <w:r w:rsidRPr="00857CDA">
        <w:rPr>
          <w:lang w:val="ro-RO"/>
        </w:rPr>
        <w:t>ISO </w:t>
      </w:r>
      <w:r w:rsidRPr="00857CDA">
        <w:rPr>
          <w:rFonts w:cs="Arial"/>
          <w:szCs w:val="22"/>
          <w:lang w:val="ro-RO"/>
        </w:rPr>
        <w:t>11114-1:2012</w:t>
      </w:r>
      <w:r w:rsidR="00660131" w:rsidRPr="00857CDA">
        <w:rPr>
          <w:rFonts w:cs="Arial"/>
          <w:szCs w:val="22"/>
          <w:lang w:val="ro-RO"/>
        </w:rPr>
        <w:t>”</w:t>
      </w:r>
      <w:r w:rsidR="00902C44" w:rsidRPr="00857CDA">
        <w:rPr>
          <w:rFonts w:cs="Arial"/>
          <w:szCs w:val="22"/>
          <w:lang w:val="ro-RO"/>
        </w:rPr>
        <w:t xml:space="preserve"> cu </w:t>
      </w:r>
      <w:r w:rsidR="00920FAB" w:rsidRPr="00857CDA">
        <w:rPr>
          <w:lang w:val="ro-RO"/>
        </w:rPr>
        <w:t>„</w:t>
      </w:r>
      <w:r w:rsidRPr="00857CDA">
        <w:rPr>
          <w:lang w:val="ro-RO"/>
        </w:rPr>
        <w:t>EN ISO </w:t>
      </w:r>
      <w:r w:rsidRPr="00857CDA">
        <w:rPr>
          <w:rFonts w:cs="Arial"/>
          <w:szCs w:val="22"/>
          <w:lang w:val="ro-RO"/>
        </w:rPr>
        <w:t>11114-1:2012 + A1:2017</w:t>
      </w:r>
      <w:r w:rsidR="00660131" w:rsidRPr="00857CDA">
        <w:rPr>
          <w:rFonts w:cs="Arial"/>
          <w:szCs w:val="22"/>
          <w:lang w:val="ro-RO"/>
        </w:rPr>
        <w:t>”</w:t>
      </w:r>
      <w:r w:rsidRPr="00857CDA">
        <w:rPr>
          <w:rFonts w:cs="Arial"/>
          <w:szCs w:val="22"/>
          <w:lang w:val="ro-RO"/>
        </w:rPr>
        <w:t>.</w:t>
      </w:r>
    </w:p>
    <w:p w:rsidR="001660E2" w:rsidRPr="00857CDA" w:rsidRDefault="001660E2" w:rsidP="001660E2">
      <w:pPr>
        <w:pStyle w:val="SingleTxtG"/>
        <w:rPr>
          <w:rFonts w:cs="Arial"/>
          <w:szCs w:val="22"/>
          <w:lang w:val="ro-RO"/>
        </w:rPr>
      </w:pPr>
      <w:r w:rsidRPr="00857CDA">
        <w:rPr>
          <w:lang w:val="ro-RO"/>
        </w:rPr>
        <w:t>4.1.6.15</w:t>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6D763B" w:rsidRPr="00857CDA">
        <w:rPr>
          <w:lang w:val="ro-RO"/>
        </w:rPr>
        <w:t>î</w:t>
      </w:r>
      <w:r w:rsidR="00902C44" w:rsidRPr="00857CDA">
        <w:rPr>
          <w:lang w:val="ro-RO"/>
        </w:rPr>
        <w:t xml:space="preserve">n </w:t>
      </w:r>
      <w:r w:rsidR="006D763B" w:rsidRPr="00857CDA">
        <w:rPr>
          <w:lang w:val="ro-RO"/>
        </w:rPr>
        <w:t>cea de a doua coloană</w:t>
      </w:r>
      <w:r w:rsidRPr="00857CDA">
        <w:rPr>
          <w:lang w:val="ro-RO"/>
        </w:rPr>
        <w:t xml:space="preserve">, </w:t>
      </w:r>
      <w:r w:rsidR="006D763B" w:rsidRPr="00857CDA">
        <w:rPr>
          <w:lang w:val="ro-RO"/>
        </w:rPr>
        <w:t>s</w:t>
      </w:r>
      <w:r w:rsidR="00902C44" w:rsidRPr="00857CDA">
        <w:rPr>
          <w:lang w:val="ro-RO"/>
        </w:rPr>
        <w:t>e modifică</w:t>
      </w:r>
      <w:r w:rsidRPr="00857CDA">
        <w:rPr>
          <w:lang w:val="ro-RO"/>
        </w:rPr>
        <w:t xml:space="preserve"> </w:t>
      </w:r>
      <w:r w:rsidR="00920FAB" w:rsidRPr="00857CDA">
        <w:rPr>
          <w:lang w:val="ro-RO"/>
        </w:rPr>
        <w:t>„</w:t>
      </w:r>
      <w:r w:rsidRPr="00857CDA">
        <w:rPr>
          <w:rFonts w:cs="Arial"/>
          <w:szCs w:val="22"/>
          <w:lang w:val="ro-RO"/>
        </w:rPr>
        <w:t>Anex</w:t>
      </w:r>
      <w:r w:rsidR="006D763B" w:rsidRPr="00857CDA">
        <w:rPr>
          <w:rFonts w:cs="Arial"/>
          <w:szCs w:val="22"/>
          <w:lang w:val="ro-RO"/>
        </w:rPr>
        <w:t>a A din</w:t>
      </w:r>
      <w:r w:rsidRPr="00857CDA">
        <w:rPr>
          <w:rFonts w:cs="Arial"/>
          <w:szCs w:val="22"/>
          <w:lang w:val="ro-RO"/>
        </w:rPr>
        <w:t xml:space="preserve"> ISO 10297:2006 </w:t>
      </w:r>
      <w:r w:rsidR="006D763B" w:rsidRPr="00857CDA">
        <w:rPr>
          <w:rFonts w:cs="Arial"/>
          <w:szCs w:val="22"/>
          <w:lang w:val="ro-RO"/>
        </w:rPr>
        <w:t>sa</w:t>
      </w:r>
      <w:r w:rsidRPr="00857CDA">
        <w:rPr>
          <w:snapToGrid w:val="0"/>
          <w:szCs w:val="24"/>
          <w:lang w:val="ro-RO"/>
        </w:rPr>
        <w:t>u anex</w:t>
      </w:r>
      <w:r w:rsidR="006D763B" w:rsidRPr="00857CDA">
        <w:rPr>
          <w:snapToGrid w:val="0"/>
          <w:szCs w:val="24"/>
          <w:lang w:val="ro-RO"/>
        </w:rPr>
        <w:t>a</w:t>
      </w:r>
      <w:r w:rsidRPr="00857CDA">
        <w:rPr>
          <w:snapToGrid w:val="0"/>
          <w:szCs w:val="24"/>
          <w:lang w:val="ro-RO"/>
        </w:rPr>
        <w:t xml:space="preserve"> A </w:t>
      </w:r>
      <w:r w:rsidR="006D763B" w:rsidRPr="00857CDA">
        <w:rPr>
          <w:snapToGrid w:val="0"/>
          <w:szCs w:val="24"/>
          <w:lang w:val="ro-RO"/>
        </w:rPr>
        <w:t>a</w:t>
      </w:r>
      <w:r w:rsidRPr="00857CDA">
        <w:rPr>
          <w:snapToGrid w:val="0"/>
          <w:szCs w:val="24"/>
          <w:lang w:val="ro-RO"/>
        </w:rPr>
        <w:t xml:space="preserve"> ISO 10297:2014</w:t>
      </w:r>
      <w:r w:rsidR="00660131" w:rsidRPr="00857CDA">
        <w:rPr>
          <w:snapToGrid w:val="0"/>
          <w:szCs w:val="24"/>
          <w:lang w:val="ro-RO"/>
        </w:rPr>
        <w:t>”</w:t>
      </w:r>
      <w:r w:rsidR="00902C44" w:rsidRPr="00857CDA">
        <w:rPr>
          <w:rFonts w:cs="Arial"/>
          <w:szCs w:val="22"/>
          <w:lang w:val="ro-RO"/>
        </w:rPr>
        <w:t xml:space="preserve"> cu </w:t>
      </w:r>
      <w:r w:rsidR="00920FAB" w:rsidRPr="00857CDA">
        <w:rPr>
          <w:lang w:val="ro-RO"/>
        </w:rPr>
        <w:t>„</w:t>
      </w:r>
      <w:r w:rsidR="006D763B" w:rsidRPr="00857CDA">
        <w:rPr>
          <w:rFonts w:cs="Arial"/>
          <w:szCs w:val="22"/>
          <w:lang w:val="ro-RO"/>
        </w:rPr>
        <w:t>Ane</w:t>
      </w:r>
      <w:r w:rsidRPr="00857CDA">
        <w:rPr>
          <w:rFonts w:cs="Arial"/>
          <w:szCs w:val="22"/>
          <w:lang w:val="ro-RO"/>
        </w:rPr>
        <w:t>x</w:t>
      </w:r>
      <w:r w:rsidR="006D763B" w:rsidRPr="00857CDA">
        <w:rPr>
          <w:rFonts w:cs="Arial"/>
          <w:szCs w:val="22"/>
          <w:lang w:val="ro-RO"/>
        </w:rPr>
        <w:t>a</w:t>
      </w:r>
      <w:r w:rsidRPr="00857CDA">
        <w:rPr>
          <w:rFonts w:cs="Arial"/>
          <w:szCs w:val="22"/>
          <w:lang w:val="ro-RO"/>
        </w:rPr>
        <w:t xml:space="preserve"> A d</w:t>
      </w:r>
      <w:r w:rsidR="006D763B" w:rsidRPr="00857CDA">
        <w:rPr>
          <w:rFonts w:cs="Arial"/>
          <w:szCs w:val="22"/>
          <w:lang w:val="ro-RO"/>
        </w:rPr>
        <w:t>in</w:t>
      </w:r>
      <w:r w:rsidRPr="00857CDA">
        <w:rPr>
          <w:rFonts w:cs="Arial"/>
          <w:szCs w:val="22"/>
          <w:lang w:val="ro-RO"/>
        </w:rPr>
        <w:t xml:space="preserve"> EN ISO 10297:2006 </w:t>
      </w:r>
      <w:r w:rsidR="006D763B" w:rsidRPr="00857CDA">
        <w:rPr>
          <w:snapToGrid w:val="0"/>
          <w:szCs w:val="24"/>
          <w:lang w:val="ro-RO"/>
        </w:rPr>
        <w:t>sa</w:t>
      </w:r>
      <w:r w:rsidRPr="00857CDA">
        <w:rPr>
          <w:snapToGrid w:val="0"/>
          <w:szCs w:val="24"/>
          <w:lang w:val="ro-RO"/>
        </w:rPr>
        <w:t>u anex</w:t>
      </w:r>
      <w:r w:rsidR="006D763B" w:rsidRPr="00857CDA">
        <w:rPr>
          <w:snapToGrid w:val="0"/>
          <w:szCs w:val="24"/>
          <w:lang w:val="ro-RO"/>
        </w:rPr>
        <w:t>a A din</w:t>
      </w:r>
      <w:r w:rsidRPr="00857CDA">
        <w:rPr>
          <w:snapToGrid w:val="0"/>
          <w:szCs w:val="24"/>
          <w:lang w:val="ro-RO"/>
        </w:rPr>
        <w:t xml:space="preserve"> EN ISO 10297:2014 </w:t>
      </w:r>
      <w:r w:rsidR="006D763B" w:rsidRPr="00857CDA">
        <w:rPr>
          <w:snapToGrid w:val="0"/>
          <w:szCs w:val="24"/>
          <w:lang w:val="ro-RO"/>
        </w:rPr>
        <w:t>sau</w:t>
      </w:r>
      <w:r w:rsidRPr="00857CDA">
        <w:rPr>
          <w:snapToGrid w:val="0"/>
          <w:szCs w:val="24"/>
          <w:lang w:val="ro-RO"/>
        </w:rPr>
        <w:t xml:space="preserve"> anex</w:t>
      </w:r>
      <w:r w:rsidR="006D763B" w:rsidRPr="00857CDA">
        <w:rPr>
          <w:snapToGrid w:val="0"/>
          <w:szCs w:val="24"/>
          <w:lang w:val="ro-RO"/>
        </w:rPr>
        <w:t>a</w:t>
      </w:r>
      <w:r w:rsidRPr="00857CDA">
        <w:rPr>
          <w:snapToGrid w:val="0"/>
          <w:szCs w:val="24"/>
          <w:lang w:val="ro-RO"/>
        </w:rPr>
        <w:t xml:space="preserve"> A d</w:t>
      </w:r>
      <w:r w:rsidR="006D763B" w:rsidRPr="00857CDA">
        <w:rPr>
          <w:snapToGrid w:val="0"/>
          <w:szCs w:val="24"/>
          <w:lang w:val="ro-RO"/>
        </w:rPr>
        <w:t>in</w:t>
      </w:r>
      <w:r w:rsidRPr="00857CDA">
        <w:rPr>
          <w:snapToGrid w:val="0"/>
          <w:szCs w:val="24"/>
          <w:lang w:val="ro-RO"/>
        </w:rPr>
        <w:t xml:space="preserve"> EN ISO 10297:2014+A1:2017</w:t>
      </w:r>
      <w:r w:rsidR="00660131" w:rsidRPr="00857CDA">
        <w:rPr>
          <w:snapToGrid w:val="0"/>
          <w:szCs w:val="24"/>
          <w:lang w:val="ro-RO"/>
        </w:rPr>
        <w:t>”</w:t>
      </w:r>
      <w:r w:rsidRPr="00857CDA">
        <w:rPr>
          <w:rFonts w:cs="Arial"/>
          <w:szCs w:val="22"/>
          <w:lang w:val="ro-RO"/>
        </w:rPr>
        <w:t>.</w:t>
      </w:r>
    </w:p>
    <w:p w:rsidR="00CF3F0B" w:rsidRPr="00857CDA" w:rsidRDefault="00CF3F0B" w:rsidP="00CF3F0B">
      <w:pPr>
        <w:pStyle w:val="SingleTxtG"/>
        <w:rPr>
          <w:iCs/>
          <w:lang w:val="ro-RO"/>
        </w:rPr>
      </w:pPr>
      <w:r w:rsidRPr="00857CDA">
        <w:rPr>
          <w:iCs/>
          <w:lang w:val="ro-RO"/>
        </w:rPr>
        <w:t>4.1.6.15</w:t>
      </w:r>
      <w:r w:rsidRPr="00857CDA">
        <w:rPr>
          <w:iCs/>
          <w:lang w:val="ro-RO"/>
        </w:rPr>
        <w:tab/>
      </w:r>
      <w:r w:rsidR="00902C44" w:rsidRPr="00857CDA">
        <w:rPr>
          <w:iCs/>
          <w:lang w:val="ro-RO"/>
        </w:rPr>
        <w:t xml:space="preserve">În </w:t>
      </w:r>
      <w:r w:rsidR="00463BBB" w:rsidRPr="00857CDA">
        <w:rPr>
          <w:iCs/>
          <w:lang w:val="ro-RO"/>
        </w:rPr>
        <w:t>tabel</w:t>
      </w:r>
      <w:r w:rsidRPr="00857CDA">
        <w:rPr>
          <w:iCs/>
          <w:lang w:val="ro-RO"/>
        </w:rPr>
        <w:t xml:space="preserve">, </w:t>
      </w:r>
      <w:r w:rsidR="00991390" w:rsidRPr="00857CDA">
        <w:rPr>
          <w:iCs/>
          <w:lang w:val="ro-RO"/>
        </w:rPr>
        <w:t>pentru</w:t>
      </w:r>
      <w:r w:rsidRPr="00857CDA">
        <w:rPr>
          <w:iCs/>
          <w:lang w:val="ro-RO"/>
        </w:rPr>
        <w:t xml:space="preserve"> </w:t>
      </w:r>
      <w:r w:rsidR="00920FAB" w:rsidRPr="00857CDA">
        <w:rPr>
          <w:lang w:val="ro-RO"/>
        </w:rPr>
        <w:t>„</w:t>
      </w:r>
      <w:r w:rsidRPr="00857CDA">
        <w:rPr>
          <w:iCs/>
          <w:lang w:val="ro-RO"/>
        </w:rPr>
        <w:t xml:space="preserve">4.1.6.8 </w:t>
      </w:r>
      <w:r w:rsidR="006D763B" w:rsidRPr="00857CDA">
        <w:rPr>
          <w:iCs/>
          <w:lang w:val="ro-RO"/>
        </w:rPr>
        <w:t>Robinete prevăzute cu o protecție integrată</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6D763B" w:rsidRPr="00857CDA">
        <w:rPr>
          <w:iCs/>
          <w:lang w:val="ro-RO"/>
        </w:rPr>
        <w:t>un nou rând, după cum urmează</w:t>
      </w:r>
      <w:r w:rsidR="00091658" w:rsidRPr="00857CDA">
        <w:rPr>
          <w:iCs/>
          <w:lang w:val="ro-RO"/>
        </w:rPr>
        <w:t>:</w:t>
      </w:r>
    </w:p>
    <w:tbl>
      <w:tblPr>
        <w:tblW w:w="7371" w:type="dxa"/>
        <w:tblInd w:w="119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2126"/>
        <w:gridCol w:w="3827"/>
      </w:tblGrid>
      <w:tr w:rsidR="00CF3F0B" w:rsidRPr="007D305F" w:rsidTr="00725BE1">
        <w:trPr>
          <w:trHeight w:val="227"/>
        </w:trPr>
        <w:tc>
          <w:tcPr>
            <w:tcW w:w="1418" w:type="dxa"/>
            <w:shd w:val="clear" w:color="auto" w:fill="auto"/>
            <w:vAlign w:val="center"/>
          </w:tcPr>
          <w:p w:rsidR="00CF3F0B" w:rsidRPr="00857CDA" w:rsidRDefault="00CF3F0B" w:rsidP="00725BE1">
            <w:pPr>
              <w:keepNext/>
              <w:ind w:hanging="22"/>
              <w:rPr>
                <w:lang w:val="ro-RO"/>
              </w:rPr>
            </w:pPr>
          </w:p>
        </w:tc>
        <w:tc>
          <w:tcPr>
            <w:tcW w:w="2126" w:type="dxa"/>
            <w:shd w:val="clear" w:color="auto" w:fill="auto"/>
            <w:vAlign w:val="center"/>
          </w:tcPr>
          <w:p w:rsidR="00CF3F0B" w:rsidRPr="00857CDA" w:rsidRDefault="00CF3F0B" w:rsidP="000B1500">
            <w:pPr>
              <w:keepNext/>
              <w:ind w:hanging="22"/>
              <w:rPr>
                <w:lang w:val="ro-RO"/>
              </w:rPr>
            </w:pPr>
            <w:r w:rsidRPr="00857CDA">
              <w:rPr>
                <w:lang w:val="ro-RO"/>
              </w:rPr>
              <w:t>EN ISO 17879:2017</w:t>
            </w:r>
          </w:p>
        </w:tc>
        <w:tc>
          <w:tcPr>
            <w:tcW w:w="3827" w:type="dxa"/>
            <w:shd w:val="clear" w:color="auto" w:fill="auto"/>
            <w:vAlign w:val="center"/>
          </w:tcPr>
          <w:p w:rsidR="00CF3F0B" w:rsidRPr="00857CDA" w:rsidRDefault="009A6E82" w:rsidP="000B1500">
            <w:pPr>
              <w:spacing w:line="240" w:lineRule="auto"/>
              <w:rPr>
                <w:lang w:val="ro-RO"/>
              </w:rPr>
            </w:pPr>
            <w:hyperlink r:id="rId31" w:history="1">
              <w:r w:rsidR="001B3528" w:rsidRPr="00857CDA">
                <w:rPr>
                  <w:rStyle w:val="Hyperlink"/>
                  <w:lang w:val="ro-RO"/>
                </w:rPr>
                <w:t>Butelii pentru gaz - Supape cu auto-închidere pentru butelii - Specificaţii şi încercări de tip</w:t>
              </w:r>
            </w:hyperlink>
          </w:p>
        </w:tc>
      </w:tr>
    </w:tbl>
    <w:p w:rsidR="00196C06" w:rsidRPr="00857CDA" w:rsidRDefault="00196C06" w:rsidP="00286CE7">
      <w:pPr>
        <w:pStyle w:val="SingleTxtG"/>
        <w:spacing w:before="120"/>
        <w:rPr>
          <w:iCs/>
          <w:lang w:val="ro-RO"/>
        </w:rPr>
      </w:pPr>
      <w:r w:rsidRPr="00857CDA">
        <w:rPr>
          <w:iCs/>
          <w:lang w:val="ro-RO"/>
        </w:rPr>
        <w:t>4.1.9.1.5</w:t>
      </w:r>
      <w:r w:rsidRPr="00857CDA">
        <w:rPr>
          <w:iCs/>
          <w:lang w:val="ro-RO"/>
        </w:rPr>
        <w:tab/>
      </w:r>
      <w:r w:rsidR="00902C44" w:rsidRPr="00857CDA">
        <w:rPr>
          <w:lang w:val="ro-RO" w:eastAsia="en-GB"/>
        </w:rPr>
        <w:t>Se modifică</w:t>
      </w:r>
      <w:r w:rsidRPr="00857CDA">
        <w:rPr>
          <w:lang w:val="ro-RO" w:eastAsia="en-GB"/>
        </w:rPr>
        <w:t xml:space="preserve"> </w:t>
      </w:r>
      <w:r w:rsidR="00920FAB" w:rsidRPr="00857CDA">
        <w:rPr>
          <w:lang w:val="ro-RO"/>
        </w:rPr>
        <w:t>„</w:t>
      </w:r>
      <w:r w:rsidR="002B679C" w:rsidRPr="00857CDA">
        <w:rPr>
          <w:lang w:val="ro-RO" w:eastAsia="en-GB"/>
        </w:rPr>
        <w:t>risc</w:t>
      </w:r>
      <w:r w:rsidR="00660131" w:rsidRPr="00857CDA">
        <w:rPr>
          <w:lang w:val="ro-RO"/>
        </w:rPr>
        <w:t>”</w:t>
      </w:r>
      <w:r w:rsidR="00902C44" w:rsidRPr="00857CDA">
        <w:rPr>
          <w:lang w:val="ro-RO" w:eastAsia="en-GB"/>
        </w:rPr>
        <w:t xml:space="preserve"> cu </w:t>
      </w:r>
      <w:r w:rsidR="00920FAB" w:rsidRPr="00857CDA">
        <w:rPr>
          <w:lang w:val="ro-RO"/>
        </w:rPr>
        <w:t>„</w:t>
      </w:r>
      <w:r w:rsidR="002B679C" w:rsidRPr="00857CDA">
        <w:rPr>
          <w:lang w:val="ro-RO" w:eastAsia="en-GB"/>
        </w:rPr>
        <w:t>pericol</w:t>
      </w:r>
      <w:r w:rsidR="00660131" w:rsidRPr="00857CDA">
        <w:rPr>
          <w:lang w:val="ro-RO"/>
        </w:rPr>
        <w:t>”</w:t>
      </w:r>
      <w:r w:rsidRPr="00857CDA">
        <w:rPr>
          <w:lang w:val="ro-RO" w:eastAsia="en-GB"/>
        </w:rPr>
        <w:t xml:space="preserve"> (de</w:t>
      </w:r>
      <w:r w:rsidR="00920FAB" w:rsidRPr="00857CDA">
        <w:rPr>
          <w:lang w:val="ro-RO" w:eastAsia="en-GB"/>
        </w:rPr>
        <w:t xml:space="preserve"> două ori</w:t>
      </w:r>
      <w:r w:rsidRPr="00857CDA">
        <w:rPr>
          <w:lang w:val="ro-RO" w:eastAsia="en-GB"/>
        </w:rPr>
        <w:t>).</w:t>
      </w:r>
    </w:p>
    <w:p w:rsidR="001660E2" w:rsidRPr="00857CDA" w:rsidRDefault="001660E2" w:rsidP="001660E2">
      <w:pPr>
        <w:pStyle w:val="SingleTxtG"/>
        <w:rPr>
          <w:lang w:val="ro-RO"/>
        </w:rPr>
      </w:pPr>
      <w:r w:rsidRPr="00857CDA">
        <w:rPr>
          <w:bCs/>
          <w:lang w:val="ro-RO"/>
        </w:rPr>
        <w:lastRenderedPageBreak/>
        <w:t xml:space="preserve">4.1.10.4, </w:t>
      </w:r>
      <w:r w:rsidRPr="00E5210D">
        <w:rPr>
          <w:b/>
          <w:bCs/>
          <w:lang w:val="ro-RO"/>
        </w:rPr>
        <w:t>MP24</w:t>
      </w:r>
      <w:r w:rsidRPr="00857CDA">
        <w:rPr>
          <w:bCs/>
          <w:lang w:val="ro-RO"/>
        </w:rPr>
        <w:tab/>
      </w:r>
      <w:r w:rsidR="00902C44" w:rsidRPr="00857CDA">
        <w:rPr>
          <w:lang w:val="ro-RO"/>
        </w:rPr>
        <w:t xml:space="preserve">În </w:t>
      </w:r>
      <w:r w:rsidR="00463BBB" w:rsidRPr="00857CDA">
        <w:rPr>
          <w:lang w:val="ro-RO"/>
        </w:rPr>
        <w:t>tabel</w:t>
      </w:r>
      <w:r w:rsidRPr="00857CDA">
        <w:rPr>
          <w:lang w:val="ro-RO"/>
        </w:rPr>
        <w:t xml:space="preserve">, </w:t>
      </w:r>
      <w:r w:rsidR="00902C44" w:rsidRPr="00857CDA">
        <w:rPr>
          <w:lang w:val="ro-RO"/>
        </w:rPr>
        <w:t>se adaugă</w:t>
      </w:r>
      <w:r w:rsidRPr="00857CDA">
        <w:rPr>
          <w:lang w:val="ro-RO"/>
        </w:rPr>
        <w:t xml:space="preserve"> </w:t>
      </w:r>
      <w:r w:rsidR="001B3528" w:rsidRPr="00857CDA">
        <w:rPr>
          <w:lang w:val="ro-RO"/>
        </w:rPr>
        <w:t>o nouă</w:t>
      </w:r>
      <w:r w:rsidRPr="00857CDA">
        <w:rPr>
          <w:lang w:val="ro-RO"/>
        </w:rPr>
        <w:t xml:space="preserve"> </w:t>
      </w:r>
      <w:r w:rsidR="00121893" w:rsidRPr="00857CDA">
        <w:rPr>
          <w:lang w:val="ro-RO"/>
        </w:rPr>
        <w:t>coloan</w:t>
      </w:r>
      <w:r w:rsidR="001B3528" w:rsidRPr="00857CDA">
        <w:rPr>
          <w:lang w:val="ro-RO"/>
        </w:rPr>
        <w:t>ă</w:t>
      </w:r>
      <w:r w:rsidR="004C27AD" w:rsidRPr="00857CDA">
        <w:rPr>
          <w:lang w:val="ro-RO"/>
        </w:rPr>
        <w:t xml:space="preserve"> și </w:t>
      </w:r>
      <w:r w:rsidR="001B3528" w:rsidRPr="00857CDA">
        <w:rPr>
          <w:lang w:val="ro-RO"/>
        </w:rPr>
        <w:t>un nou rând</w:t>
      </w:r>
      <w:r w:rsidRPr="00857CDA">
        <w:rPr>
          <w:lang w:val="ro-RO"/>
        </w:rPr>
        <w:t xml:space="preserve"> </w:t>
      </w:r>
      <w:r w:rsidR="00991390" w:rsidRPr="00857CDA">
        <w:rPr>
          <w:lang w:val="ro-RO"/>
        </w:rPr>
        <w:t>pentru</w:t>
      </w:r>
      <w:r w:rsidRPr="00857CDA">
        <w:rPr>
          <w:lang w:val="ro-RO"/>
        </w:rPr>
        <w:t xml:space="preserve"> </w:t>
      </w:r>
      <w:r w:rsidR="00121893" w:rsidRPr="00857CDA">
        <w:rPr>
          <w:lang w:val="ro-RO"/>
        </w:rPr>
        <w:t>Nr.</w:t>
      </w:r>
      <w:r w:rsidR="002B679C" w:rsidRPr="00857CDA">
        <w:rPr>
          <w:lang w:val="ro-RO"/>
        </w:rPr>
        <w:t xml:space="preserve"> ONU</w:t>
      </w:r>
      <w:r w:rsidRPr="00857CDA">
        <w:rPr>
          <w:lang w:val="ro-RO"/>
        </w:rPr>
        <w:t xml:space="preserve"> 0509. </w:t>
      </w:r>
      <w:r w:rsidR="00902C44" w:rsidRPr="00857CDA">
        <w:rPr>
          <w:lang w:val="ro-RO"/>
        </w:rPr>
        <w:t xml:space="preserve">În </w:t>
      </w:r>
      <w:r w:rsidR="00121893" w:rsidRPr="00857CDA">
        <w:rPr>
          <w:lang w:val="ro-RO"/>
        </w:rPr>
        <w:t>coloana</w:t>
      </w:r>
      <w:r w:rsidRPr="00857CDA">
        <w:rPr>
          <w:lang w:val="ro-RO"/>
        </w:rPr>
        <w:t>/</w:t>
      </w:r>
      <w:r w:rsidR="001B3528" w:rsidRPr="00857CDA">
        <w:rPr>
          <w:lang w:val="ro-RO"/>
        </w:rPr>
        <w:t>rândul</w:t>
      </w:r>
      <w:r w:rsidRPr="00857CDA">
        <w:rPr>
          <w:lang w:val="ro-RO"/>
        </w:rPr>
        <w:t xml:space="preserve"> </w:t>
      </w:r>
      <w:r w:rsidR="00991390" w:rsidRPr="00857CDA">
        <w:rPr>
          <w:lang w:val="ro-RO"/>
        </w:rPr>
        <w:t>pentru</w:t>
      </w:r>
      <w:r w:rsidRPr="00857CDA">
        <w:rPr>
          <w:lang w:val="ro-RO"/>
        </w:rPr>
        <w:t xml:space="preserve"> </w:t>
      </w:r>
      <w:r w:rsidR="00121893" w:rsidRPr="00857CDA">
        <w:rPr>
          <w:lang w:val="ro-RO"/>
        </w:rPr>
        <w:t>Nr.</w:t>
      </w:r>
      <w:r w:rsidR="002B679C" w:rsidRPr="00857CDA">
        <w:rPr>
          <w:lang w:val="ro-RO"/>
        </w:rPr>
        <w:t xml:space="preserve"> ONU</w:t>
      </w:r>
      <w:r w:rsidRPr="00857CDA">
        <w:rPr>
          <w:lang w:val="ro-RO"/>
        </w:rPr>
        <w:t xml:space="preserve"> 0509, </w:t>
      </w:r>
      <w:r w:rsidR="000022EF" w:rsidRPr="00857CDA">
        <w:rPr>
          <w:lang w:val="ro-RO"/>
        </w:rPr>
        <w:t>se introduce</w:t>
      </w:r>
      <w:r w:rsidRPr="00857CDA">
        <w:rPr>
          <w:lang w:val="ro-RO"/>
        </w:rPr>
        <w:t xml:space="preserve"> </w:t>
      </w:r>
      <w:r w:rsidR="00857CDA" w:rsidRPr="00857CDA">
        <w:rPr>
          <w:lang w:val="ro-RO"/>
        </w:rPr>
        <w:t>litera</w:t>
      </w:r>
      <w:r w:rsidRPr="00857CDA">
        <w:rPr>
          <w:lang w:val="ro-RO"/>
        </w:rPr>
        <w:t xml:space="preserve"> </w:t>
      </w:r>
      <w:r w:rsidR="00920FAB" w:rsidRPr="00857CDA">
        <w:rPr>
          <w:lang w:val="ro-RO"/>
        </w:rPr>
        <w:t>„</w:t>
      </w:r>
      <w:r w:rsidRPr="00857CDA">
        <w:rPr>
          <w:lang w:val="ro-RO"/>
        </w:rPr>
        <w:t>B</w:t>
      </w:r>
      <w:r w:rsidR="00660131" w:rsidRPr="00857CDA">
        <w:rPr>
          <w:lang w:val="ro-RO"/>
        </w:rPr>
        <w:t>”</w:t>
      </w:r>
      <w:r w:rsidRPr="00857CDA">
        <w:rPr>
          <w:lang w:val="ro-RO"/>
        </w:rPr>
        <w:t xml:space="preserve"> </w:t>
      </w:r>
      <w:r w:rsidR="001B3528" w:rsidRPr="00857CDA">
        <w:rPr>
          <w:lang w:val="ro-RO"/>
        </w:rPr>
        <w:t xml:space="preserve">în dreptul </w:t>
      </w:r>
      <w:r w:rsidR="002B679C" w:rsidRPr="00857CDA">
        <w:rPr>
          <w:lang w:val="ro-RO"/>
        </w:rPr>
        <w:t>Nr. ONU</w:t>
      </w:r>
      <w:r w:rsidRPr="00857CDA">
        <w:rPr>
          <w:lang w:val="ro-RO"/>
        </w:rPr>
        <w:t xml:space="preserve"> 0027, 0028, 0044, 0160</w:t>
      </w:r>
      <w:r w:rsidR="004C27AD" w:rsidRPr="00857CDA">
        <w:rPr>
          <w:lang w:val="ro-RO"/>
        </w:rPr>
        <w:t xml:space="preserve"> și </w:t>
      </w:r>
      <w:r w:rsidRPr="00857CDA">
        <w:rPr>
          <w:lang w:val="ro-RO"/>
        </w:rPr>
        <w:t>0161.</w:t>
      </w:r>
    </w:p>
    <w:p w:rsidR="00196C06" w:rsidRPr="00857CDA" w:rsidRDefault="00031D11" w:rsidP="00196C06">
      <w:pPr>
        <w:pStyle w:val="H1G"/>
        <w:rPr>
          <w:lang w:val="ro-RO"/>
        </w:rPr>
      </w:pPr>
      <w:r w:rsidRPr="00857CDA">
        <w:rPr>
          <w:lang w:val="ro-RO"/>
        </w:rPr>
        <w:tab/>
      </w:r>
      <w:r w:rsidRPr="00857CDA">
        <w:rPr>
          <w:lang w:val="ro-RO"/>
        </w:rPr>
        <w:tab/>
      </w:r>
      <w:r w:rsidR="00902C44" w:rsidRPr="00857CDA">
        <w:rPr>
          <w:lang w:val="ro-RO"/>
        </w:rPr>
        <w:t>Capitolul</w:t>
      </w:r>
      <w:r w:rsidR="00196C06" w:rsidRPr="00857CDA">
        <w:rPr>
          <w:lang w:val="ro-RO"/>
        </w:rPr>
        <w:t xml:space="preserve"> 4.2</w:t>
      </w:r>
    </w:p>
    <w:p w:rsidR="00196C06" w:rsidRPr="00857CDA" w:rsidRDefault="00196C06" w:rsidP="00196C06">
      <w:pPr>
        <w:spacing w:before="120" w:after="120" w:line="240" w:lineRule="auto"/>
        <w:ind w:left="1134" w:right="1134"/>
        <w:jc w:val="both"/>
        <w:rPr>
          <w:iCs/>
          <w:lang w:val="ro-RO"/>
        </w:rPr>
      </w:pPr>
      <w:r w:rsidRPr="00857CDA">
        <w:rPr>
          <w:iCs/>
          <w:lang w:val="ro-RO"/>
        </w:rPr>
        <w:t>4.2.1.19.1</w:t>
      </w:r>
      <w:r w:rsidRPr="00857CDA">
        <w:rPr>
          <w:iCs/>
          <w:lang w:val="ro-RO"/>
        </w:rPr>
        <w:tab/>
      </w:r>
      <w:r w:rsidR="00902C44" w:rsidRPr="00857CDA">
        <w:rPr>
          <w:lang w:val="ro-RO" w:eastAsia="en-GB"/>
        </w:rPr>
        <w:t>Se modifică</w:t>
      </w:r>
      <w:r w:rsidRPr="00857CDA">
        <w:rPr>
          <w:lang w:val="ro-RO" w:eastAsia="en-GB"/>
        </w:rPr>
        <w:t xml:space="preserve"> </w:t>
      </w:r>
      <w:r w:rsidR="00920FAB" w:rsidRPr="00857CDA">
        <w:rPr>
          <w:lang w:val="ro-RO"/>
        </w:rPr>
        <w:t>„</w:t>
      </w:r>
      <w:r w:rsidR="002B679C" w:rsidRPr="00857CDA">
        <w:rPr>
          <w:lang w:val="ro-RO" w:eastAsia="en-GB"/>
        </w:rPr>
        <w:t>riscuri</w:t>
      </w:r>
      <w:r w:rsidR="00660131" w:rsidRPr="00857CDA">
        <w:rPr>
          <w:lang w:val="ro-RO"/>
        </w:rPr>
        <w:t>”</w:t>
      </w:r>
      <w:r w:rsidR="00902C44" w:rsidRPr="00857CDA">
        <w:rPr>
          <w:lang w:val="ro-RO" w:eastAsia="en-GB"/>
        </w:rPr>
        <w:t xml:space="preserve"> cu </w:t>
      </w:r>
      <w:r w:rsidR="00920FAB" w:rsidRPr="00857CDA">
        <w:rPr>
          <w:lang w:val="ro-RO"/>
        </w:rPr>
        <w:t>„</w:t>
      </w:r>
      <w:r w:rsidR="002B679C" w:rsidRPr="00857CDA">
        <w:rPr>
          <w:lang w:val="ro-RO" w:eastAsia="en-GB"/>
        </w:rPr>
        <w:t>pericole</w:t>
      </w:r>
      <w:r w:rsidR="00660131" w:rsidRPr="00857CDA">
        <w:rPr>
          <w:lang w:val="ro-RO"/>
        </w:rPr>
        <w:t>”</w:t>
      </w:r>
      <w:r w:rsidRPr="00857CDA">
        <w:rPr>
          <w:lang w:val="ro-RO" w:eastAsia="en-GB"/>
        </w:rPr>
        <w:t>.</w:t>
      </w:r>
    </w:p>
    <w:p w:rsidR="00F9527F" w:rsidRPr="00857CDA" w:rsidRDefault="00F9527F" w:rsidP="004478B6">
      <w:pPr>
        <w:spacing w:before="120" w:after="120" w:line="240" w:lineRule="auto"/>
        <w:ind w:left="1134" w:right="1134"/>
        <w:jc w:val="both"/>
        <w:rPr>
          <w:lang w:val="ro-RO"/>
        </w:rPr>
      </w:pPr>
      <w:r w:rsidRPr="00857CDA">
        <w:rPr>
          <w:lang w:val="ro-RO"/>
        </w:rPr>
        <w:t xml:space="preserve">4.2.5.2.6, </w:t>
      </w:r>
      <w:r w:rsidR="00857CDA" w:rsidRPr="00857CDA">
        <w:rPr>
          <w:iCs/>
          <w:lang w:val="ro-RO"/>
        </w:rPr>
        <w:t>instrucțiunea</w:t>
      </w:r>
      <w:r w:rsidRPr="00857CDA">
        <w:rPr>
          <w:iCs/>
          <w:lang w:val="ro-RO"/>
        </w:rPr>
        <w:t xml:space="preserve"> de transport </w:t>
      </w:r>
      <w:r w:rsidR="00107357" w:rsidRPr="00857CDA">
        <w:rPr>
          <w:iCs/>
          <w:lang w:val="ro-RO"/>
        </w:rPr>
        <w:t>î</w:t>
      </w:r>
      <w:r w:rsidRPr="00857CDA">
        <w:rPr>
          <w:iCs/>
          <w:lang w:val="ro-RO"/>
        </w:rPr>
        <w:t>n ci</w:t>
      </w:r>
      <w:r w:rsidR="00107357" w:rsidRPr="00857CDA">
        <w:rPr>
          <w:iCs/>
          <w:lang w:val="ro-RO"/>
        </w:rPr>
        <w:t>s</w:t>
      </w:r>
      <w:r w:rsidRPr="00857CDA">
        <w:rPr>
          <w:iCs/>
          <w:lang w:val="ro-RO"/>
        </w:rPr>
        <w:t xml:space="preserve">terne mobile </w:t>
      </w:r>
      <w:r w:rsidRPr="00857CDA">
        <w:rPr>
          <w:lang w:val="ro-RO"/>
        </w:rPr>
        <w:t>T23</w:t>
      </w:r>
      <w:r w:rsidRPr="00857CDA">
        <w:rPr>
          <w:lang w:val="ro-RO"/>
        </w:rPr>
        <w:tab/>
      </w:r>
      <w:r w:rsidR="00902C44" w:rsidRPr="00857CDA">
        <w:rPr>
          <w:lang w:val="ro-RO"/>
        </w:rPr>
        <w:t xml:space="preserve">În </w:t>
      </w:r>
      <w:r w:rsidR="00D85951" w:rsidRPr="00857CDA">
        <w:rPr>
          <w:lang w:val="ro-RO"/>
        </w:rPr>
        <w:t>prim</w:t>
      </w:r>
      <w:r w:rsidR="00107357" w:rsidRPr="00857CDA">
        <w:rPr>
          <w:lang w:val="ro-RO"/>
        </w:rPr>
        <w:t>ul rând de</w:t>
      </w:r>
      <w:r w:rsidRPr="00857CDA">
        <w:rPr>
          <w:lang w:val="ro-RO"/>
        </w:rPr>
        <w:t xml:space="preserve"> su</w:t>
      </w:r>
      <w:r w:rsidR="00107357" w:rsidRPr="00857CDA">
        <w:rPr>
          <w:lang w:val="ro-RO"/>
        </w:rPr>
        <w:t>b</w:t>
      </w:r>
      <w:r w:rsidRPr="00857CDA">
        <w:rPr>
          <w:lang w:val="ro-RO"/>
        </w:rPr>
        <w:t xml:space="preserve"> tit</w:t>
      </w:r>
      <w:r w:rsidR="00107357" w:rsidRPr="00857CDA">
        <w:rPr>
          <w:lang w:val="ro-RO"/>
        </w:rPr>
        <w:t>lu</w:t>
      </w:r>
      <w:r w:rsidRPr="00857CDA">
        <w:rPr>
          <w:lang w:val="ro-RO"/>
        </w:rPr>
        <w:t xml:space="preserve">, </w:t>
      </w:r>
      <w:r w:rsidR="00902C44" w:rsidRPr="00857CDA">
        <w:rPr>
          <w:lang w:val="ro-RO"/>
        </w:rPr>
        <w:t>se adaugă</w:t>
      </w:r>
      <w:r w:rsidRPr="00857CDA">
        <w:rPr>
          <w:lang w:val="ro-RO"/>
        </w:rPr>
        <w:t xml:space="preserve"> </w:t>
      </w:r>
      <w:r w:rsidR="00107357" w:rsidRPr="00857CDA">
        <w:rPr>
          <w:lang w:val="ro-RO"/>
        </w:rPr>
        <w:t>o nouă frază, la sfârșit, după cum urmează</w:t>
      </w:r>
      <w:r w:rsidR="00091658" w:rsidRPr="00857CDA">
        <w:rPr>
          <w:lang w:val="ro-RO"/>
        </w:rPr>
        <w:t>:</w:t>
      </w:r>
      <w:r w:rsidRPr="00857CDA">
        <w:rPr>
          <w:lang w:val="ro-RO"/>
        </w:rPr>
        <w:t xml:space="preserve"> </w:t>
      </w:r>
      <w:r w:rsidR="00920FAB" w:rsidRPr="00857CDA">
        <w:rPr>
          <w:lang w:val="ro-RO"/>
        </w:rPr>
        <w:t>„</w:t>
      </w:r>
      <w:r w:rsidR="004478B6" w:rsidRPr="00857CDA">
        <w:rPr>
          <w:lang w:val="ro-RO"/>
        </w:rPr>
        <w:t>Preparatele enumerate în continuare pot fi transportate, de asemenea, ambalate în conformitate cu metoda de ambalare OP8 din instrucțiunea de ambalare P520 din 4.1.4.1, cu aceleași temperaturi de reglare și critice, după caz</w:t>
      </w:r>
      <w:r w:rsidRPr="00857CDA">
        <w:rPr>
          <w:lang w:val="ro-RO"/>
        </w:rPr>
        <w:t>.</w:t>
      </w:r>
      <w:r w:rsidR="00660131" w:rsidRPr="00857CDA">
        <w:rPr>
          <w:lang w:val="ro-RO"/>
        </w:rPr>
        <w:t>”</w:t>
      </w:r>
      <w:r w:rsidRPr="00857CDA">
        <w:rPr>
          <w:lang w:val="ro-RO"/>
        </w:rPr>
        <w:t>.</w:t>
      </w:r>
    </w:p>
    <w:p w:rsidR="00196C06" w:rsidRPr="00857CDA" w:rsidRDefault="00196C06" w:rsidP="00196C06">
      <w:pPr>
        <w:spacing w:before="120" w:after="120" w:line="240" w:lineRule="auto"/>
        <w:ind w:left="1134" w:right="1134"/>
        <w:jc w:val="both"/>
        <w:rPr>
          <w:iCs/>
          <w:lang w:val="ro-RO"/>
        </w:rPr>
      </w:pPr>
      <w:r w:rsidRPr="00857CDA">
        <w:rPr>
          <w:iCs/>
          <w:lang w:val="ro-RO"/>
        </w:rPr>
        <w:t>4.2.5.2.6, instruc</w:t>
      </w:r>
      <w:r w:rsidR="004478B6" w:rsidRPr="00857CDA">
        <w:rPr>
          <w:iCs/>
          <w:lang w:val="ro-RO"/>
        </w:rPr>
        <w:t>țiunea</w:t>
      </w:r>
      <w:r w:rsidRPr="00857CDA">
        <w:rPr>
          <w:iCs/>
          <w:lang w:val="ro-RO"/>
        </w:rPr>
        <w:t xml:space="preserve"> de transport </w:t>
      </w:r>
      <w:r w:rsidR="004478B6" w:rsidRPr="00857CDA">
        <w:rPr>
          <w:iCs/>
          <w:lang w:val="ro-RO"/>
        </w:rPr>
        <w:t>î</w:t>
      </w:r>
      <w:r w:rsidRPr="00857CDA">
        <w:rPr>
          <w:iCs/>
          <w:lang w:val="ro-RO"/>
        </w:rPr>
        <w:t>n ci</w:t>
      </w:r>
      <w:r w:rsidR="004478B6" w:rsidRPr="00857CDA">
        <w:rPr>
          <w:iCs/>
          <w:lang w:val="ro-RO"/>
        </w:rPr>
        <w:t>s</w:t>
      </w:r>
      <w:r w:rsidRPr="00857CDA">
        <w:rPr>
          <w:iCs/>
          <w:lang w:val="ro-RO"/>
        </w:rPr>
        <w:t>terne mobile T23</w:t>
      </w:r>
      <w:r w:rsidRPr="00857CDA">
        <w:rPr>
          <w:iCs/>
          <w:lang w:val="ro-RO"/>
        </w:rPr>
        <w:tab/>
      </w:r>
      <w:r w:rsidR="00902C44" w:rsidRPr="00857CDA">
        <w:rPr>
          <w:iCs/>
          <w:lang w:val="ro-RO"/>
        </w:rPr>
        <w:t xml:space="preserve">În </w:t>
      </w:r>
      <w:r w:rsidRPr="00857CDA">
        <w:rPr>
          <w:iCs/>
          <w:lang w:val="ro-RO"/>
        </w:rPr>
        <w:t>not</w:t>
      </w:r>
      <w:r w:rsidR="004478B6" w:rsidRPr="00857CDA">
        <w:rPr>
          <w:iCs/>
          <w:lang w:val="ro-RO"/>
        </w:rPr>
        <w:t>a</w:t>
      </w:r>
      <w:r w:rsidRPr="00857CDA">
        <w:rPr>
          <w:iCs/>
          <w:lang w:val="ro-RO"/>
        </w:rPr>
        <w:t xml:space="preserve"> de </w:t>
      </w:r>
      <w:r w:rsidR="004478B6" w:rsidRPr="00857CDA">
        <w:rPr>
          <w:iCs/>
          <w:lang w:val="ro-RO"/>
        </w:rPr>
        <w:t>subsol</w:t>
      </w:r>
      <w:r w:rsidRPr="00857CDA">
        <w:rPr>
          <w:iCs/>
          <w:lang w:val="ro-RO"/>
        </w:rPr>
        <w:t xml:space="preserve"> d, </w:t>
      </w:r>
      <w:r w:rsidR="004478B6" w:rsidRPr="00857CDA">
        <w:rPr>
          <w:iCs/>
          <w:lang w:val="ro-RO"/>
        </w:rPr>
        <w:t>l</w:t>
      </w:r>
      <w:r w:rsidRPr="00857CDA">
        <w:rPr>
          <w:iCs/>
          <w:lang w:val="ro-RO"/>
        </w:rPr>
        <w:t xml:space="preserve">a </w:t>
      </w:r>
      <w:r w:rsidR="004478B6" w:rsidRPr="00857CDA">
        <w:rPr>
          <w:iCs/>
          <w:lang w:val="ro-RO"/>
        </w:rPr>
        <w:t>s</w:t>
      </w:r>
      <w:r w:rsidRPr="00857CDA">
        <w:rPr>
          <w:iCs/>
          <w:lang w:val="ro-RO"/>
        </w:rPr>
        <w:t>f</w:t>
      </w:r>
      <w:r w:rsidR="004478B6" w:rsidRPr="00857CDA">
        <w:rPr>
          <w:iCs/>
          <w:lang w:val="ro-RO"/>
        </w:rPr>
        <w:t>ârșit</w:t>
      </w:r>
      <w:r w:rsidRPr="00857CDA">
        <w:rPr>
          <w:iCs/>
          <w:lang w:val="ro-RO"/>
        </w:rPr>
        <w:t xml:space="preserve">, </w:t>
      </w:r>
      <w:r w:rsidR="004478B6" w:rsidRPr="00857CDA">
        <w:rPr>
          <w:iCs/>
          <w:lang w:val="ro-RO"/>
        </w:rPr>
        <w:t>s</w:t>
      </w:r>
      <w:r w:rsidR="00902C44" w:rsidRPr="00857CDA">
        <w:rPr>
          <w:iCs/>
          <w:lang w:val="ro-RO"/>
        </w:rPr>
        <w:t>e modifică</w:t>
      </w:r>
      <w:r w:rsidRPr="00857CDA">
        <w:rPr>
          <w:iCs/>
          <w:lang w:val="ro-RO"/>
        </w:rPr>
        <w:t xml:space="preserve"> </w:t>
      </w:r>
      <w:r w:rsidR="00920FAB" w:rsidRPr="00857CDA">
        <w:rPr>
          <w:lang w:val="ro-RO"/>
        </w:rPr>
        <w:t>„</w:t>
      </w:r>
      <w:r w:rsidR="002B679C" w:rsidRPr="00857CDA">
        <w:rPr>
          <w:iCs/>
          <w:lang w:val="ro-RO"/>
        </w:rPr>
        <w:t>risc</w:t>
      </w:r>
      <w:r w:rsidR="00660131" w:rsidRPr="00857CDA">
        <w:rPr>
          <w:lang w:val="ro-RO"/>
        </w:rPr>
        <w:t>”</w:t>
      </w:r>
      <w:r w:rsidR="00902C44" w:rsidRPr="00857CDA">
        <w:rPr>
          <w:iCs/>
          <w:lang w:val="ro-RO"/>
        </w:rPr>
        <w:t xml:space="preserve"> cu </w:t>
      </w:r>
      <w:r w:rsidR="00920FAB" w:rsidRPr="00857CDA">
        <w:rPr>
          <w:lang w:val="ro-RO"/>
        </w:rPr>
        <w:t>„</w:t>
      </w:r>
      <w:r w:rsidR="002B679C" w:rsidRPr="00857CDA">
        <w:rPr>
          <w:iCs/>
          <w:lang w:val="ro-RO"/>
        </w:rPr>
        <w:t>pericol</w:t>
      </w:r>
      <w:r w:rsidR="00660131" w:rsidRPr="00857CDA">
        <w:rPr>
          <w:lang w:val="ro-RO"/>
        </w:rPr>
        <w:t>”</w:t>
      </w:r>
      <w:r w:rsidRPr="00857CDA">
        <w:rPr>
          <w:iCs/>
          <w:lang w:val="ro-RO"/>
        </w:rPr>
        <w:t>.</w:t>
      </w:r>
    </w:p>
    <w:p w:rsidR="008851A3" w:rsidRPr="00857CDA" w:rsidRDefault="008851A3" w:rsidP="00474154">
      <w:pPr>
        <w:pStyle w:val="SingleTxtG"/>
        <w:rPr>
          <w:lang w:val="ro-RO"/>
        </w:rPr>
      </w:pPr>
      <w:r w:rsidRPr="00857CDA">
        <w:rPr>
          <w:lang w:val="ro-RO"/>
        </w:rPr>
        <w:t xml:space="preserve">4.2.5.3, </w:t>
      </w:r>
      <w:r w:rsidR="0043120D" w:rsidRPr="00857CDA">
        <w:rPr>
          <w:lang w:val="ro-RO"/>
        </w:rPr>
        <w:t>Dispoziția specială</w:t>
      </w:r>
      <w:r w:rsidR="001A6331" w:rsidRPr="00857CDA">
        <w:rPr>
          <w:lang w:val="ro-RO"/>
        </w:rPr>
        <w:t xml:space="preserve"> </w:t>
      </w:r>
      <w:r w:rsidRPr="00857CDA">
        <w:rPr>
          <w:lang w:val="ro-RO"/>
        </w:rPr>
        <w:t>TP10</w:t>
      </w:r>
      <w:r w:rsidRPr="00857CDA">
        <w:rPr>
          <w:lang w:val="ro-RO"/>
        </w:rPr>
        <w:tab/>
      </w:r>
      <w:r w:rsidR="00902C44" w:rsidRPr="00857CDA">
        <w:rPr>
          <w:lang w:val="ro-RO"/>
        </w:rPr>
        <w:t>Se adaugă</w:t>
      </w:r>
      <w:r w:rsidRPr="00857CDA">
        <w:rPr>
          <w:lang w:val="ro-RO"/>
        </w:rPr>
        <w:t xml:space="preserve"> </w:t>
      </w:r>
      <w:r w:rsidR="00474154" w:rsidRPr="00857CDA">
        <w:rPr>
          <w:lang w:val="ro-RO"/>
        </w:rPr>
        <w:t>o nouă frază, la sfârșit, după cum urmează</w:t>
      </w:r>
      <w:r w:rsidR="00091658" w:rsidRPr="00857CDA">
        <w:rPr>
          <w:lang w:val="ro-RO"/>
        </w:rPr>
        <w:t>:</w:t>
      </w:r>
      <w:r w:rsidRPr="00857CDA">
        <w:rPr>
          <w:lang w:val="ro-RO"/>
        </w:rPr>
        <w:t xml:space="preserve"> </w:t>
      </w:r>
      <w:r w:rsidR="00920FAB" w:rsidRPr="00857CDA">
        <w:rPr>
          <w:lang w:val="ro-RO"/>
        </w:rPr>
        <w:t>„</w:t>
      </w:r>
      <w:r w:rsidR="00474154" w:rsidRPr="00857CDA">
        <w:rPr>
          <w:lang w:val="ro-RO"/>
        </w:rPr>
        <w:t>O cisternă mobilă poate fi prezentată la transport, după data de expirare a ultimei inspecții a acoperirii, într-o perioadă care nu depășește trei luni după această dată, după golire, dar înainte de curățare, care urmează să fie supusă următoarei încercări sau inspecții înainte de a fi umplută din nou</w:t>
      </w:r>
      <w:r w:rsidRPr="00857CDA">
        <w:rPr>
          <w:lang w:val="ro-RO"/>
        </w:rPr>
        <w:t>.</w:t>
      </w:r>
      <w:r w:rsidR="00660131" w:rsidRPr="00857CDA">
        <w:rPr>
          <w:lang w:val="ro-RO"/>
        </w:rPr>
        <w:t>”</w:t>
      </w:r>
      <w:r w:rsidRPr="00857CDA">
        <w:rPr>
          <w:lang w:val="ro-RO"/>
        </w:rPr>
        <w:t>.</w:t>
      </w:r>
    </w:p>
    <w:p w:rsidR="00CC6319" w:rsidRPr="00857CDA" w:rsidRDefault="00CC6319" w:rsidP="00CC6319">
      <w:pPr>
        <w:pStyle w:val="SingleTxtG"/>
        <w:rPr>
          <w:i/>
          <w:lang w:val="ro-RO"/>
        </w:rPr>
      </w:pPr>
      <w:r w:rsidRPr="00857CDA">
        <w:rPr>
          <w:lang w:val="ro-RO"/>
        </w:rPr>
        <w:t xml:space="preserve">4.2.5.3, </w:t>
      </w:r>
      <w:r w:rsidR="006A1ED1" w:rsidRPr="00857CDA">
        <w:rPr>
          <w:lang w:val="ro-RO"/>
        </w:rPr>
        <w:t>dispoziții</w:t>
      </w:r>
      <w:r w:rsidR="00474154" w:rsidRPr="00857CDA">
        <w:rPr>
          <w:lang w:val="ro-RO"/>
        </w:rPr>
        <w:t>le</w:t>
      </w:r>
      <w:r w:rsidR="006A1ED1" w:rsidRPr="00857CDA">
        <w:rPr>
          <w:lang w:val="ro-RO"/>
        </w:rPr>
        <w:t xml:space="preserve"> speciale</w:t>
      </w:r>
      <w:r w:rsidRPr="00857CDA">
        <w:rPr>
          <w:lang w:val="ro-RO"/>
        </w:rPr>
        <w:t xml:space="preserve"> TP38</w:t>
      </w:r>
      <w:r w:rsidR="004C27AD" w:rsidRPr="00857CDA">
        <w:rPr>
          <w:lang w:val="ro-RO"/>
        </w:rPr>
        <w:t xml:space="preserve"> și </w:t>
      </w:r>
      <w:r w:rsidRPr="00857CDA">
        <w:rPr>
          <w:lang w:val="ro-RO"/>
        </w:rPr>
        <w:t xml:space="preserve">TP39 </w:t>
      </w:r>
      <w:r w:rsidRPr="00857CDA">
        <w:rPr>
          <w:lang w:val="ro-RO"/>
        </w:rPr>
        <w:tab/>
      </w:r>
      <w:r w:rsidR="00474154" w:rsidRPr="00857CDA">
        <w:rPr>
          <w:lang w:val="ro-RO"/>
        </w:rPr>
        <w:t>s</w:t>
      </w:r>
      <w:r w:rsidR="00902C44" w:rsidRPr="00857CDA">
        <w:rPr>
          <w:lang w:val="ro-RO"/>
        </w:rPr>
        <w:t>e șterg</w:t>
      </w:r>
      <w:r w:rsidR="004C27AD" w:rsidRPr="00857CDA">
        <w:rPr>
          <w:lang w:val="ro-RO"/>
        </w:rPr>
        <w:t xml:space="preserve"> </w:t>
      </w:r>
      <w:r w:rsidR="00474154" w:rsidRPr="00857CDA">
        <w:rPr>
          <w:lang w:val="ro-RO"/>
        </w:rPr>
        <w:t xml:space="preserve">textele </w:t>
      </w:r>
      <w:r w:rsidR="004C27AD" w:rsidRPr="00857CDA">
        <w:rPr>
          <w:lang w:val="ro-RO"/>
        </w:rPr>
        <w:t xml:space="preserve">și </w:t>
      </w:r>
      <w:r w:rsidR="00902C44" w:rsidRPr="00857CDA">
        <w:rPr>
          <w:lang w:val="ro-RO"/>
        </w:rPr>
        <w:t>se adaugă</w:t>
      </w:r>
      <w:r w:rsidRPr="00857CDA">
        <w:rPr>
          <w:lang w:val="ro-RO"/>
        </w:rPr>
        <w:t xml:space="preserve"> </w:t>
      </w:r>
      <w:r w:rsidR="001425F2" w:rsidRPr="001425F2">
        <w:rPr>
          <w:i/>
          <w:szCs w:val="24"/>
          <w:lang w:val="ro-RO" w:eastAsia="ro-RO"/>
        </w:rPr>
        <w:t>(Șters)</w:t>
      </w:r>
      <w:r w:rsidRPr="001425F2">
        <w:rPr>
          <w:sz w:val="18"/>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4.3</w:t>
      </w:r>
    </w:p>
    <w:p w:rsidR="002F5575" w:rsidRPr="00857CDA" w:rsidRDefault="002F5575" w:rsidP="002F5575">
      <w:pPr>
        <w:pStyle w:val="SingleTxtG"/>
        <w:rPr>
          <w:lang w:val="ro-RO"/>
        </w:rPr>
      </w:pPr>
      <w:r w:rsidRPr="00857CDA">
        <w:rPr>
          <w:lang w:val="ro-RO"/>
        </w:rPr>
        <w:t>4.3.3.5</w:t>
      </w:r>
      <w:r w:rsidRPr="00857CDA">
        <w:rPr>
          <w:lang w:val="ro-RO"/>
        </w:rPr>
        <w:tab/>
      </w:r>
      <w:r w:rsidRPr="00857CDA">
        <w:rPr>
          <w:lang w:val="ro-RO"/>
        </w:rPr>
        <w:tab/>
      </w:r>
      <w:r w:rsidR="00474154" w:rsidRPr="00857CDA">
        <w:rPr>
          <w:lang w:val="ro-RO"/>
        </w:rPr>
        <w:t>Se r</w:t>
      </w:r>
      <w:r w:rsidRPr="00857CDA">
        <w:rPr>
          <w:lang w:val="ro-RO"/>
        </w:rPr>
        <w:t>enum</w:t>
      </w:r>
      <w:r w:rsidR="00474154" w:rsidRPr="00857CDA">
        <w:rPr>
          <w:lang w:val="ro-RO"/>
        </w:rPr>
        <w:t>e</w:t>
      </w:r>
      <w:r w:rsidRPr="00857CDA">
        <w:rPr>
          <w:lang w:val="ro-RO"/>
        </w:rPr>
        <w:t>rote</w:t>
      </w:r>
      <w:r w:rsidR="00474154" w:rsidRPr="00857CDA">
        <w:rPr>
          <w:lang w:val="ro-RO"/>
        </w:rPr>
        <w:t>ază</w:t>
      </w:r>
      <w:r w:rsidRPr="00857CDA">
        <w:rPr>
          <w:lang w:val="ro-RO"/>
        </w:rPr>
        <w:t xml:space="preserve"> </w:t>
      </w:r>
      <w:r w:rsidR="00474154" w:rsidRPr="00857CDA">
        <w:rPr>
          <w:lang w:val="ro-RO"/>
        </w:rPr>
        <w:t>cel de al doilea paragraf</w:t>
      </w:r>
      <w:r w:rsidRPr="00857CDA">
        <w:rPr>
          <w:lang w:val="ro-RO"/>
        </w:rPr>
        <w:t xml:space="preserve">, </w:t>
      </w:r>
      <w:r w:rsidR="00474154" w:rsidRPr="00857CDA">
        <w:rPr>
          <w:lang w:val="ro-RO"/>
        </w:rPr>
        <w:t>care începe cu</w:t>
      </w:r>
      <w:r w:rsidR="00902C44" w:rsidRPr="00857CDA">
        <w:rPr>
          <w:lang w:val="ro-RO"/>
        </w:rPr>
        <w:t xml:space="preserve"> </w:t>
      </w:r>
      <w:r w:rsidR="00920FAB" w:rsidRPr="00857CDA">
        <w:rPr>
          <w:lang w:val="ro-RO"/>
        </w:rPr>
        <w:t>„</w:t>
      </w:r>
      <w:r w:rsidR="0060590E" w:rsidRPr="00857CDA">
        <w:rPr>
          <w:lang w:val="ro-RO"/>
        </w:rPr>
        <w:t>Containerele-cisternă nu trebuie să fie prezentate la transport:</w:t>
      </w:r>
      <w:r w:rsidR="00660131" w:rsidRPr="00857CDA">
        <w:rPr>
          <w:lang w:val="ro-RO"/>
        </w:rPr>
        <w:t>”</w:t>
      </w:r>
      <w:r w:rsidRPr="00857CDA">
        <w:rPr>
          <w:lang w:val="ro-RO"/>
        </w:rPr>
        <w:t xml:space="preserve"> </w:t>
      </w:r>
      <w:r w:rsidR="0060590E" w:rsidRPr="00857CDA">
        <w:rPr>
          <w:lang w:val="ro-RO"/>
        </w:rPr>
        <w:t>ca fiind paragraful</w:t>
      </w:r>
      <w:r w:rsidRPr="00857CDA">
        <w:rPr>
          <w:lang w:val="ro-RO"/>
        </w:rPr>
        <w:t xml:space="preserve"> 4.3.3.6. </w:t>
      </w:r>
    </w:p>
    <w:p w:rsidR="001C441B" w:rsidRPr="00857CDA" w:rsidRDefault="001C441B" w:rsidP="0060590E">
      <w:pPr>
        <w:pStyle w:val="SingleTxtG"/>
        <w:rPr>
          <w:lang w:val="ro-RO"/>
        </w:rPr>
      </w:pPr>
      <w:r w:rsidRPr="00857CDA">
        <w:rPr>
          <w:lang w:val="ro-RO"/>
        </w:rPr>
        <w:t>4.3.4.1.3</w:t>
      </w:r>
      <w:r w:rsidRPr="00857CDA">
        <w:rPr>
          <w:lang w:val="ro-RO"/>
        </w:rPr>
        <w:tab/>
      </w:r>
      <w:r w:rsidR="00902C44" w:rsidRPr="00857CDA">
        <w:rPr>
          <w:lang w:val="ro-RO"/>
        </w:rPr>
        <w:t>Se adaugă</w:t>
      </w:r>
      <w:r w:rsidR="0046022F" w:rsidRPr="00857CDA">
        <w:rPr>
          <w:lang w:val="ro-RO"/>
        </w:rPr>
        <w:t xml:space="preserve"> </w:t>
      </w:r>
      <w:r w:rsidR="0060590E" w:rsidRPr="00857CDA">
        <w:rPr>
          <w:lang w:val="ro-RO"/>
        </w:rPr>
        <w:t>o nouă frază, la sfârșitul primului paragraf, după cum urmează</w:t>
      </w:r>
      <w:r w:rsidR="00091658" w:rsidRPr="00857CDA">
        <w:rPr>
          <w:lang w:val="ro-RO"/>
        </w:rPr>
        <w:t>:</w:t>
      </w:r>
      <w:r w:rsidR="003E6A9A" w:rsidRPr="00857CDA">
        <w:rPr>
          <w:lang w:val="ro-RO"/>
        </w:rPr>
        <w:t xml:space="preserve"> </w:t>
      </w:r>
      <w:r w:rsidR="00920FAB" w:rsidRPr="00857CDA">
        <w:rPr>
          <w:lang w:val="ro-RO"/>
        </w:rPr>
        <w:t>„</w:t>
      </w:r>
      <w:r w:rsidR="0060590E" w:rsidRPr="00857CDA">
        <w:rPr>
          <w:lang w:val="ro-RO"/>
        </w:rPr>
        <w:t xml:space="preserve">Prescripțiile pentru aceste cisterne sunt date de următoarele coduri de cisternă, completate cu dispozițiile speciale relevante </w:t>
      </w:r>
      <w:r w:rsidR="00857CDA" w:rsidRPr="00857CDA">
        <w:rPr>
          <w:lang w:val="ro-RO"/>
        </w:rPr>
        <w:t>indicate</w:t>
      </w:r>
      <w:r w:rsidR="0060590E" w:rsidRPr="00857CDA">
        <w:rPr>
          <w:lang w:val="ro-RO"/>
        </w:rPr>
        <w:t xml:space="preserve"> în coloana (13) a tabelului A din capitolul 3.2</w:t>
      </w:r>
      <w:r w:rsidRPr="00857CDA">
        <w:rPr>
          <w:lang w:val="ro-RO"/>
        </w:rPr>
        <w:t>.</w:t>
      </w:r>
      <w:r w:rsidR="00660131" w:rsidRPr="00857CDA">
        <w:rPr>
          <w:lang w:val="ro-RO"/>
        </w:rPr>
        <w:t>”</w:t>
      </w:r>
      <w:r w:rsidRPr="00857CDA">
        <w:rPr>
          <w:lang w:val="ro-RO"/>
        </w:rPr>
        <w:t>.</w:t>
      </w:r>
    </w:p>
    <w:p w:rsidR="001C441B" w:rsidRPr="00857CDA" w:rsidRDefault="00902C44" w:rsidP="001C441B">
      <w:pPr>
        <w:pStyle w:val="SingleTxtG"/>
        <w:rPr>
          <w:lang w:val="ro-RO"/>
        </w:rPr>
      </w:pPr>
      <w:r w:rsidRPr="00857CDA">
        <w:rPr>
          <w:lang w:val="ro-RO"/>
        </w:rPr>
        <w:t>Se modifică</w:t>
      </w:r>
      <w:r w:rsidR="001C441B" w:rsidRPr="00857CDA">
        <w:rPr>
          <w:lang w:val="ro-RO"/>
        </w:rPr>
        <w:t xml:space="preserve"> alin</w:t>
      </w:r>
      <w:r w:rsidR="00857CDA">
        <w:rPr>
          <w:lang w:val="ro-RO"/>
        </w:rPr>
        <w:t>e</w:t>
      </w:r>
      <w:r w:rsidR="001C441B" w:rsidRPr="00857CDA">
        <w:rPr>
          <w:lang w:val="ro-RO"/>
        </w:rPr>
        <w:t>a</w:t>
      </w:r>
      <w:r w:rsidR="00857CDA">
        <w:rPr>
          <w:lang w:val="ro-RO"/>
        </w:rPr>
        <w:t>tele</w:t>
      </w:r>
      <w:r w:rsidR="001C441B" w:rsidRPr="00857CDA">
        <w:rPr>
          <w:lang w:val="ro-RO"/>
        </w:rPr>
        <w:t xml:space="preserve"> a) </w:t>
      </w:r>
      <w:r w:rsidR="00857CDA">
        <w:rPr>
          <w:lang w:val="ro-RO"/>
        </w:rPr>
        <w:t>la</w:t>
      </w:r>
      <w:r w:rsidR="001C441B" w:rsidRPr="00857CDA">
        <w:rPr>
          <w:lang w:val="ro-RO"/>
        </w:rPr>
        <w:t xml:space="preserve"> i)</w:t>
      </w:r>
      <w:r w:rsidRPr="00857CDA">
        <w:rPr>
          <w:lang w:val="ro-RO"/>
        </w:rPr>
        <w:t xml:space="preserve"> cu </w:t>
      </w:r>
      <w:r w:rsidR="00463BBB" w:rsidRPr="00857CDA">
        <w:rPr>
          <w:lang w:val="ro-RO"/>
        </w:rPr>
        <w:t>tabelul</w:t>
      </w:r>
      <w:r w:rsidR="001C441B" w:rsidRPr="00857CDA">
        <w:rPr>
          <w:lang w:val="ro-RO"/>
        </w:rPr>
        <w:t xml:space="preserve"> </w:t>
      </w:r>
      <w:r w:rsidR="00857CDA">
        <w:rPr>
          <w:lang w:val="ro-RO"/>
        </w:rPr>
        <w:t>următor</w:t>
      </w:r>
      <w:r w:rsidR="001C441B" w:rsidRPr="00857CDA">
        <w:rPr>
          <w:lang w:val="ro-RO"/>
        </w:rPr>
        <w: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6"/>
        <w:gridCol w:w="5943"/>
        <w:gridCol w:w="1617"/>
      </w:tblGrid>
      <w:tr w:rsidR="001C441B" w:rsidRPr="00857CDA" w:rsidTr="007A2A1D">
        <w:trPr>
          <w:cantSplit/>
          <w:trHeight w:val="20"/>
          <w:tblHeader/>
          <w:jc w:val="center"/>
        </w:trPr>
        <w:tc>
          <w:tcPr>
            <w:tcW w:w="741" w:type="dxa"/>
            <w:tcBorders>
              <w:bottom w:val="single" w:sz="4" w:space="0" w:color="auto"/>
            </w:tcBorders>
          </w:tcPr>
          <w:p w:rsidR="001C441B" w:rsidRPr="00857CDA" w:rsidRDefault="002B679C" w:rsidP="003E6A9A">
            <w:pPr>
              <w:keepNext/>
              <w:keepLines/>
              <w:spacing w:line="240" w:lineRule="auto"/>
              <w:jc w:val="center"/>
              <w:rPr>
                <w:b/>
                <w:sz w:val="18"/>
                <w:szCs w:val="18"/>
                <w:lang w:val="ro-RO"/>
              </w:rPr>
            </w:pPr>
            <w:r w:rsidRPr="00857CDA">
              <w:rPr>
                <w:b/>
                <w:sz w:val="18"/>
                <w:szCs w:val="18"/>
                <w:lang w:val="ro-RO"/>
              </w:rPr>
              <w:t>Clasa</w:t>
            </w:r>
          </w:p>
        </w:tc>
        <w:tc>
          <w:tcPr>
            <w:tcW w:w="976" w:type="dxa"/>
            <w:tcBorders>
              <w:bottom w:val="single" w:sz="4" w:space="0" w:color="auto"/>
            </w:tcBorders>
          </w:tcPr>
          <w:p w:rsidR="001C441B" w:rsidRPr="00857CDA" w:rsidRDefault="00091658" w:rsidP="003E6A9A">
            <w:pPr>
              <w:keepNext/>
              <w:keepLines/>
              <w:spacing w:line="240" w:lineRule="auto"/>
              <w:jc w:val="center"/>
              <w:rPr>
                <w:b/>
                <w:sz w:val="18"/>
                <w:szCs w:val="18"/>
                <w:lang w:val="ro-RO"/>
              </w:rPr>
            </w:pPr>
            <w:r w:rsidRPr="00857CDA">
              <w:rPr>
                <w:b/>
                <w:sz w:val="18"/>
                <w:szCs w:val="18"/>
                <w:lang w:val="ro-RO"/>
              </w:rPr>
              <w:t>Nr.</w:t>
            </w:r>
            <w:r w:rsidR="001C441B" w:rsidRPr="00857CDA">
              <w:rPr>
                <w:b/>
                <w:sz w:val="18"/>
                <w:szCs w:val="18"/>
                <w:lang w:val="ro-RO"/>
              </w:rPr>
              <w:t xml:space="preserve"> ONU</w:t>
            </w:r>
          </w:p>
        </w:tc>
        <w:tc>
          <w:tcPr>
            <w:tcW w:w="5943" w:type="dxa"/>
            <w:tcBorders>
              <w:bottom w:val="single" w:sz="4" w:space="0" w:color="auto"/>
            </w:tcBorders>
          </w:tcPr>
          <w:p w:rsidR="001C441B" w:rsidRPr="00857CDA" w:rsidRDefault="00FC5BFB" w:rsidP="00FC5BFB">
            <w:pPr>
              <w:keepNext/>
              <w:keepLines/>
              <w:spacing w:line="240" w:lineRule="auto"/>
              <w:jc w:val="center"/>
              <w:rPr>
                <w:b/>
                <w:sz w:val="18"/>
                <w:szCs w:val="18"/>
                <w:lang w:val="ro-RO"/>
              </w:rPr>
            </w:pPr>
            <w:r w:rsidRPr="00857CDA">
              <w:rPr>
                <w:b/>
                <w:sz w:val="18"/>
                <w:szCs w:val="18"/>
                <w:lang w:val="ro-RO"/>
              </w:rPr>
              <w:t>Denumire</w:t>
            </w:r>
            <w:r w:rsidR="004C27AD" w:rsidRPr="00857CDA">
              <w:rPr>
                <w:b/>
                <w:sz w:val="18"/>
                <w:szCs w:val="18"/>
                <w:lang w:val="ro-RO"/>
              </w:rPr>
              <w:t xml:space="preserve"> și </w:t>
            </w:r>
            <w:r w:rsidR="001C441B" w:rsidRPr="00857CDA">
              <w:rPr>
                <w:b/>
                <w:sz w:val="18"/>
                <w:szCs w:val="18"/>
                <w:lang w:val="ro-RO"/>
              </w:rPr>
              <w:t>descri</w:t>
            </w:r>
            <w:r w:rsidRPr="00857CDA">
              <w:rPr>
                <w:b/>
                <w:sz w:val="18"/>
                <w:szCs w:val="18"/>
                <w:lang w:val="ro-RO"/>
              </w:rPr>
              <w:t>ere</w:t>
            </w:r>
          </w:p>
        </w:tc>
        <w:tc>
          <w:tcPr>
            <w:tcW w:w="1617" w:type="dxa"/>
            <w:tcBorders>
              <w:bottom w:val="single" w:sz="4" w:space="0" w:color="auto"/>
            </w:tcBorders>
          </w:tcPr>
          <w:p w:rsidR="001C441B" w:rsidRPr="00857CDA" w:rsidRDefault="001C441B" w:rsidP="00FC5BFB">
            <w:pPr>
              <w:keepNext/>
              <w:keepLines/>
              <w:spacing w:line="240" w:lineRule="auto"/>
              <w:jc w:val="center"/>
              <w:rPr>
                <w:b/>
                <w:sz w:val="18"/>
                <w:szCs w:val="18"/>
                <w:lang w:val="ro-RO"/>
              </w:rPr>
            </w:pPr>
            <w:r w:rsidRPr="00857CDA">
              <w:rPr>
                <w:b/>
                <w:sz w:val="18"/>
                <w:szCs w:val="18"/>
                <w:lang w:val="ro-RO"/>
              </w:rPr>
              <w:t>Cod-ci</w:t>
            </w:r>
            <w:r w:rsidR="00FC5BFB" w:rsidRPr="00857CDA">
              <w:rPr>
                <w:b/>
                <w:sz w:val="18"/>
                <w:szCs w:val="18"/>
                <w:lang w:val="ro-RO"/>
              </w:rPr>
              <w:t>sternă</w:t>
            </w:r>
          </w:p>
        </w:tc>
      </w:tr>
      <w:tr w:rsidR="001C441B" w:rsidRPr="00857CDA" w:rsidTr="007A2A1D">
        <w:trPr>
          <w:cantSplit/>
          <w:trHeight w:val="20"/>
          <w:jc w:val="center"/>
        </w:trPr>
        <w:tc>
          <w:tcPr>
            <w:tcW w:w="741" w:type="dxa"/>
            <w:tcBorders>
              <w:top w:val="nil"/>
            </w:tcBorders>
          </w:tcPr>
          <w:p w:rsidR="001C441B" w:rsidRPr="00857CDA" w:rsidRDefault="001C441B" w:rsidP="003E6A9A">
            <w:pPr>
              <w:keepNext/>
              <w:keepLines/>
              <w:spacing w:line="240" w:lineRule="auto"/>
              <w:jc w:val="center"/>
              <w:rPr>
                <w:sz w:val="18"/>
                <w:szCs w:val="18"/>
                <w:lang w:val="ro-RO"/>
              </w:rPr>
            </w:pPr>
            <w:r w:rsidRPr="00857CDA">
              <w:rPr>
                <w:sz w:val="18"/>
                <w:szCs w:val="18"/>
                <w:lang w:val="ro-RO"/>
              </w:rPr>
              <w:t>1</w:t>
            </w:r>
          </w:p>
        </w:tc>
        <w:tc>
          <w:tcPr>
            <w:tcW w:w="976" w:type="dxa"/>
            <w:tcBorders>
              <w:top w:val="nil"/>
            </w:tcBorders>
          </w:tcPr>
          <w:p w:rsidR="001C441B" w:rsidRPr="00857CDA" w:rsidRDefault="001C441B" w:rsidP="003E6A9A">
            <w:pPr>
              <w:keepNext/>
              <w:keepLines/>
              <w:spacing w:line="240" w:lineRule="auto"/>
              <w:jc w:val="center"/>
              <w:rPr>
                <w:sz w:val="18"/>
                <w:szCs w:val="18"/>
                <w:lang w:val="ro-RO"/>
              </w:rPr>
            </w:pPr>
            <w:r w:rsidRPr="00857CDA">
              <w:rPr>
                <w:sz w:val="18"/>
                <w:szCs w:val="18"/>
                <w:lang w:val="ro-RO"/>
              </w:rPr>
              <w:t>0331</w:t>
            </w:r>
          </w:p>
        </w:tc>
        <w:tc>
          <w:tcPr>
            <w:tcW w:w="5943" w:type="dxa"/>
            <w:tcBorders>
              <w:top w:val="nil"/>
            </w:tcBorders>
          </w:tcPr>
          <w:p w:rsidR="001C441B" w:rsidRPr="00857CDA" w:rsidRDefault="00FC5BFB" w:rsidP="003E6A9A">
            <w:pPr>
              <w:keepNext/>
              <w:keepLines/>
              <w:spacing w:line="240" w:lineRule="auto"/>
              <w:rPr>
                <w:sz w:val="18"/>
                <w:szCs w:val="18"/>
                <w:lang w:val="ro-RO"/>
              </w:rPr>
            </w:pPr>
            <w:r w:rsidRPr="00857CDA">
              <w:rPr>
                <w:sz w:val="18"/>
                <w:szCs w:val="18"/>
                <w:lang w:val="ro-RO"/>
              </w:rPr>
              <w:t>Exploziv de mină tip B</w:t>
            </w:r>
          </w:p>
        </w:tc>
        <w:tc>
          <w:tcPr>
            <w:tcW w:w="1617" w:type="dxa"/>
            <w:tcBorders>
              <w:top w:val="nil"/>
            </w:tcBorders>
            <w:vAlign w:val="center"/>
          </w:tcPr>
          <w:p w:rsidR="001C441B" w:rsidRPr="00857CDA" w:rsidRDefault="001C441B" w:rsidP="0060590E">
            <w:pPr>
              <w:keepNext/>
              <w:keepLines/>
              <w:spacing w:line="240" w:lineRule="auto"/>
              <w:jc w:val="center"/>
              <w:rPr>
                <w:sz w:val="18"/>
                <w:szCs w:val="18"/>
                <w:lang w:val="ro-RO"/>
              </w:rPr>
            </w:pPr>
            <w:r w:rsidRPr="00857CDA">
              <w:rPr>
                <w:sz w:val="18"/>
                <w:szCs w:val="18"/>
                <w:lang w:val="ro-RO"/>
              </w:rPr>
              <w:t>S2</w:t>
            </w:r>
            <w:r w:rsidR="0060590E" w:rsidRPr="00857CDA">
              <w:rPr>
                <w:sz w:val="18"/>
                <w:szCs w:val="18"/>
                <w:lang w:val="ro-RO"/>
              </w:rPr>
              <w:t>.</w:t>
            </w:r>
            <w:r w:rsidRPr="00857CDA">
              <w:rPr>
                <w:sz w:val="18"/>
                <w:szCs w:val="18"/>
                <w:lang w:val="ro-RO"/>
              </w:rPr>
              <w:t>65AN</w:t>
            </w:r>
          </w:p>
        </w:tc>
      </w:tr>
      <w:tr w:rsidR="001C441B" w:rsidRPr="00857CDA" w:rsidTr="007A2A1D">
        <w:trPr>
          <w:cantSplit/>
          <w:trHeight w:val="20"/>
          <w:jc w:val="center"/>
        </w:trPr>
        <w:tc>
          <w:tcPr>
            <w:tcW w:w="741" w:type="dxa"/>
            <w:vMerge w:val="restart"/>
          </w:tcPr>
          <w:p w:rsidR="001C441B" w:rsidRPr="00857CDA" w:rsidRDefault="001C441B" w:rsidP="003E6A9A">
            <w:pPr>
              <w:keepNext/>
              <w:keepLines/>
              <w:spacing w:line="240" w:lineRule="auto"/>
              <w:jc w:val="center"/>
              <w:rPr>
                <w:sz w:val="18"/>
                <w:szCs w:val="18"/>
                <w:lang w:val="ro-RO"/>
              </w:rPr>
            </w:pPr>
            <w:r w:rsidRPr="00857CDA">
              <w:rPr>
                <w:sz w:val="18"/>
                <w:szCs w:val="18"/>
                <w:lang w:val="ro-RO"/>
              </w:rPr>
              <w:t>4.1</w:t>
            </w:r>
          </w:p>
          <w:p w:rsidR="001C441B" w:rsidRPr="00857CDA" w:rsidRDefault="001C441B" w:rsidP="003E6A9A">
            <w:pPr>
              <w:keepNext/>
              <w:keepLines/>
              <w:jc w:val="center"/>
              <w:rPr>
                <w:sz w:val="18"/>
                <w:szCs w:val="18"/>
                <w:lang w:val="ro-RO"/>
              </w:rPr>
            </w:pPr>
          </w:p>
        </w:tc>
        <w:tc>
          <w:tcPr>
            <w:tcW w:w="976" w:type="dxa"/>
            <w:tcBorders>
              <w:bottom w:val="single" w:sz="4" w:space="0" w:color="auto"/>
            </w:tcBorders>
          </w:tcPr>
          <w:p w:rsidR="001C441B" w:rsidRPr="00857CDA" w:rsidRDefault="001C441B" w:rsidP="003E6A9A">
            <w:pPr>
              <w:keepNext/>
              <w:keepLines/>
              <w:spacing w:line="240" w:lineRule="auto"/>
              <w:jc w:val="center"/>
              <w:rPr>
                <w:sz w:val="18"/>
                <w:szCs w:val="18"/>
                <w:lang w:val="ro-RO"/>
              </w:rPr>
            </w:pPr>
            <w:r w:rsidRPr="00857CDA">
              <w:rPr>
                <w:sz w:val="18"/>
                <w:szCs w:val="18"/>
                <w:lang w:val="ro-RO"/>
              </w:rPr>
              <w:t>2448</w:t>
            </w:r>
          </w:p>
        </w:tc>
        <w:tc>
          <w:tcPr>
            <w:tcW w:w="5943" w:type="dxa"/>
            <w:tcBorders>
              <w:bottom w:val="single" w:sz="4" w:space="0" w:color="auto"/>
            </w:tcBorders>
          </w:tcPr>
          <w:p w:rsidR="001C441B" w:rsidRPr="00857CDA" w:rsidRDefault="00FC5BFB" w:rsidP="003E6A9A">
            <w:pPr>
              <w:keepNext/>
              <w:keepLines/>
              <w:spacing w:line="240" w:lineRule="auto"/>
              <w:rPr>
                <w:sz w:val="18"/>
                <w:szCs w:val="18"/>
                <w:lang w:val="ro-RO"/>
              </w:rPr>
            </w:pPr>
            <w:r w:rsidRPr="00857CDA">
              <w:rPr>
                <w:sz w:val="18"/>
                <w:szCs w:val="18"/>
                <w:lang w:val="ro-RO"/>
              </w:rPr>
              <w:t>Sulf topit</w:t>
            </w:r>
          </w:p>
        </w:tc>
        <w:tc>
          <w:tcPr>
            <w:tcW w:w="1617" w:type="dxa"/>
            <w:vAlign w:val="center"/>
          </w:tcPr>
          <w:p w:rsidR="001C441B" w:rsidRPr="00857CDA" w:rsidRDefault="001C441B" w:rsidP="003E6A9A">
            <w:pPr>
              <w:keepNext/>
              <w:keepLines/>
              <w:spacing w:line="240" w:lineRule="auto"/>
              <w:jc w:val="center"/>
              <w:rPr>
                <w:sz w:val="18"/>
                <w:szCs w:val="18"/>
                <w:lang w:val="ro-RO"/>
              </w:rPr>
            </w:pPr>
            <w:r w:rsidRPr="00857CDA">
              <w:rPr>
                <w:sz w:val="18"/>
                <w:szCs w:val="18"/>
                <w:lang w:val="ro-RO"/>
              </w:rPr>
              <w:t>LGBV</w:t>
            </w:r>
          </w:p>
        </w:tc>
      </w:tr>
      <w:tr w:rsidR="001C441B" w:rsidRPr="00857CDA" w:rsidTr="007A2A1D">
        <w:trPr>
          <w:cantSplit/>
          <w:trHeight w:val="20"/>
          <w:jc w:val="center"/>
        </w:trPr>
        <w:tc>
          <w:tcPr>
            <w:tcW w:w="741" w:type="dxa"/>
            <w:vMerge/>
          </w:tcPr>
          <w:p w:rsidR="001C441B" w:rsidRPr="00857CDA" w:rsidRDefault="001C441B" w:rsidP="003E6A9A">
            <w:pPr>
              <w:keepNext/>
              <w:keepLines/>
              <w:spacing w:line="240" w:lineRule="auto"/>
              <w:jc w:val="center"/>
              <w:rPr>
                <w:sz w:val="18"/>
                <w:szCs w:val="18"/>
                <w:lang w:val="ro-RO"/>
              </w:rPr>
            </w:pPr>
          </w:p>
        </w:tc>
        <w:tc>
          <w:tcPr>
            <w:tcW w:w="976" w:type="dxa"/>
            <w:tcBorders>
              <w:bottom w:val="single" w:sz="4" w:space="0" w:color="auto"/>
            </w:tcBorders>
          </w:tcPr>
          <w:p w:rsidR="001C441B" w:rsidRPr="00857CDA" w:rsidRDefault="001C441B" w:rsidP="003E6A9A">
            <w:pPr>
              <w:keepNext/>
              <w:keepLines/>
              <w:spacing w:line="240" w:lineRule="auto"/>
              <w:jc w:val="center"/>
              <w:rPr>
                <w:sz w:val="18"/>
                <w:szCs w:val="18"/>
                <w:lang w:val="ro-RO"/>
              </w:rPr>
            </w:pPr>
            <w:r w:rsidRPr="00857CDA">
              <w:rPr>
                <w:sz w:val="18"/>
                <w:szCs w:val="18"/>
                <w:lang w:val="ro-RO"/>
              </w:rPr>
              <w:t>3531</w:t>
            </w:r>
          </w:p>
        </w:tc>
        <w:tc>
          <w:tcPr>
            <w:tcW w:w="5943" w:type="dxa"/>
            <w:tcBorders>
              <w:bottom w:val="single" w:sz="4" w:space="0" w:color="auto"/>
            </w:tcBorders>
          </w:tcPr>
          <w:p w:rsidR="001C441B" w:rsidRPr="00857CDA" w:rsidRDefault="00FC5BFB" w:rsidP="003E6A9A">
            <w:pPr>
              <w:keepNext/>
              <w:keepLines/>
              <w:spacing w:line="240" w:lineRule="auto"/>
              <w:rPr>
                <w:sz w:val="18"/>
                <w:szCs w:val="18"/>
                <w:lang w:val="ro-RO"/>
              </w:rPr>
            </w:pPr>
            <w:r w:rsidRPr="00857CDA">
              <w:rPr>
                <w:sz w:val="18"/>
                <w:szCs w:val="18"/>
                <w:lang w:val="ro-RO"/>
              </w:rPr>
              <w:t>Substanță solidă care polimerizează, stabilizată, n.s.a.</w:t>
            </w:r>
          </w:p>
        </w:tc>
        <w:tc>
          <w:tcPr>
            <w:tcW w:w="1617" w:type="dxa"/>
            <w:vMerge w:val="restart"/>
            <w:vAlign w:val="center"/>
          </w:tcPr>
          <w:p w:rsidR="001C441B" w:rsidRPr="00857CDA" w:rsidRDefault="001C441B" w:rsidP="003E6A9A">
            <w:pPr>
              <w:keepNext/>
              <w:keepLines/>
              <w:spacing w:line="240" w:lineRule="auto"/>
              <w:jc w:val="center"/>
              <w:rPr>
                <w:sz w:val="18"/>
                <w:szCs w:val="18"/>
                <w:lang w:val="ro-RO"/>
              </w:rPr>
            </w:pPr>
            <w:r w:rsidRPr="00857CDA">
              <w:rPr>
                <w:sz w:val="18"/>
                <w:szCs w:val="18"/>
                <w:lang w:val="ro-RO"/>
              </w:rPr>
              <w:t>SGAN</w:t>
            </w:r>
          </w:p>
        </w:tc>
      </w:tr>
      <w:tr w:rsidR="001C441B" w:rsidRPr="007D305F" w:rsidTr="007A2A1D">
        <w:trPr>
          <w:cantSplit/>
          <w:trHeight w:val="20"/>
          <w:jc w:val="center"/>
        </w:trPr>
        <w:tc>
          <w:tcPr>
            <w:tcW w:w="741" w:type="dxa"/>
            <w:vMerge/>
          </w:tcPr>
          <w:p w:rsidR="001C441B" w:rsidRPr="00857CDA" w:rsidRDefault="001C441B" w:rsidP="003E6A9A">
            <w:pPr>
              <w:keepNext/>
              <w:keepLines/>
              <w:spacing w:line="240" w:lineRule="auto"/>
              <w:jc w:val="center"/>
              <w:rPr>
                <w:sz w:val="18"/>
                <w:szCs w:val="18"/>
                <w:lang w:val="ro-RO"/>
              </w:rPr>
            </w:pPr>
          </w:p>
        </w:tc>
        <w:tc>
          <w:tcPr>
            <w:tcW w:w="976" w:type="dxa"/>
            <w:tcBorders>
              <w:top w:val="nil"/>
            </w:tcBorders>
          </w:tcPr>
          <w:p w:rsidR="001C441B" w:rsidRPr="00857CDA" w:rsidRDefault="001C441B" w:rsidP="003E6A9A">
            <w:pPr>
              <w:keepNext/>
              <w:keepLines/>
              <w:spacing w:line="240" w:lineRule="auto"/>
              <w:jc w:val="center"/>
              <w:rPr>
                <w:sz w:val="18"/>
                <w:szCs w:val="18"/>
                <w:lang w:val="ro-RO"/>
              </w:rPr>
            </w:pPr>
            <w:r w:rsidRPr="00857CDA">
              <w:rPr>
                <w:sz w:val="18"/>
                <w:szCs w:val="18"/>
                <w:lang w:val="ro-RO"/>
              </w:rPr>
              <w:t>3533</w:t>
            </w:r>
          </w:p>
        </w:tc>
        <w:tc>
          <w:tcPr>
            <w:tcW w:w="5943" w:type="dxa"/>
            <w:tcBorders>
              <w:top w:val="nil"/>
            </w:tcBorders>
          </w:tcPr>
          <w:p w:rsidR="001C441B" w:rsidRPr="00857CDA" w:rsidRDefault="00FC5BFB" w:rsidP="003E6A9A">
            <w:pPr>
              <w:keepNext/>
              <w:keepLines/>
              <w:spacing w:line="240" w:lineRule="auto"/>
              <w:rPr>
                <w:sz w:val="18"/>
                <w:szCs w:val="18"/>
                <w:lang w:val="ro-RO"/>
              </w:rPr>
            </w:pPr>
            <w:r w:rsidRPr="00857CDA">
              <w:rPr>
                <w:sz w:val="18"/>
                <w:szCs w:val="18"/>
                <w:lang w:val="ro-RO"/>
              </w:rPr>
              <w:t>Substanță solidă care polimerizează, cu reglarea temperaturii, n.s.a</w:t>
            </w:r>
            <w:r w:rsidR="001C441B" w:rsidRPr="00857CDA">
              <w:rPr>
                <w:sz w:val="18"/>
                <w:szCs w:val="18"/>
                <w:lang w:val="ro-RO"/>
              </w:rPr>
              <w:t>.</w:t>
            </w:r>
          </w:p>
        </w:tc>
        <w:tc>
          <w:tcPr>
            <w:tcW w:w="1617" w:type="dxa"/>
            <w:vMerge/>
            <w:vAlign w:val="center"/>
          </w:tcPr>
          <w:p w:rsidR="001C441B" w:rsidRPr="00857CDA" w:rsidRDefault="001C441B" w:rsidP="003E6A9A">
            <w:pPr>
              <w:keepNext/>
              <w:keepLines/>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3E6A9A">
            <w:pPr>
              <w:keepNext/>
              <w:keepLines/>
              <w:spacing w:line="240" w:lineRule="auto"/>
              <w:jc w:val="center"/>
              <w:rPr>
                <w:sz w:val="18"/>
                <w:szCs w:val="18"/>
                <w:lang w:val="ro-RO"/>
              </w:rPr>
            </w:pPr>
          </w:p>
        </w:tc>
        <w:tc>
          <w:tcPr>
            <w:tcW w:w="976" w:type="dxa"/>
            <w:tcBorders>
              <w:bottom w:val="single" w:sz="4" w:space="0" w:color="auto"/>
            </w:tcBorders>
          </w:tcPr>
          <w:p w:rsidR="001C441B" w:rsidRPr="00857CDA" w:rsidRDefault="001C441B" w:rsidP="003E6A9A">
            <w:pPr>
              <w:keepNext/>
              <w:keepLines/>
              <w:spacing w:line="240" w:lineRule="auto"/>
              <w:jc w:val="center"/>
              <w:rPr>
                <w:sz w:val="18"/>
                <w:szCs w:val="18"/>
                <w:lang w:val="ro-RO"/>
              </w:rPr>
            </w:pPr>
            <w:r w:rsidRPr="00857CDA">
              <w:rPr>
                <w:sz w:val="18"/>
                <w:szCs w:val="18"/>
                <w:lang w:val="ro-RO"/>
              </w:rPr>
              <w:t>3532</w:t>
            </w:r>
          </w:p>
        </w:tc>
        <w:tc>
          <w:tcPr>
            <w:tcW w:w="5943" w:type="dxa"/>
            <w:tcBorders>
              <w:bottom w:val="single" w:sz="4" w:space="0" w:color="auto"/>
            </w:tcBorders>
          </w:tcPr>
          <w:p w:rsidR="001C441B" w:rsidRPr="00857CDA" w:rsidRDefault="00FC5BFB" w:rsidP="003E6A9A">
            <w:pPr>
              <w:keepNext/>
              <w:keepLines/>
              <w:spacing w:line="240" w:lineRule="auto"/>
              <w:rPr>
                <w:sz w:val="18"/>
                <w:szCs w:val="18"/>
                <w:lang w:val="ro-RO"/>
              </w:rPr>
            </w:pPr>
            <w:r w:rsidRPr="00857CDA">
              <w:rPr>
                <w:sz w:val="18"/>
                <w:szCs w:val="18"/>
                <w:lang w:val="ro-RO"/>
              </w:rPr>
              <w:t>Substanță lichidă care polimerizează, stabilizată, n.s.a.</w:t>
            </w:r>
          </w:p>
        </w:tc>
        <w:tc>
          <w:tcPr>
            <w:tcW w:w="1617" w:type="dxa"/>
            <w:vMerge w:val="restart"/>
            <w:vAlign w:val="center"/>
          </w:tcPr>
          <w:p w:rsidR="001C441B" w:rsidRPr="00857CDA" w:rsidRDefault="001C441B" w:rsidP="003E6A9A">
            <w:pPr>
              <w:keepNext/>
              <w:keepLines/>
              <w:spacing w:line="240" w:lineRule="auto"/>
              <w:jc w:val="center"/>
              <w:rPr>
                <w:sz w:val="18"/>
                <w:szCs w:val="18"/>
                <w:lang w:val="ro-RO"/>
              </w:rPr>
            </w:pPr>
            <w:r w:rsidRPr="00857CDA">
              <w:rPr>
                <w:sz w:val="18"/>
                <w:szCs w:val="18"/>
                <w:lang w:val="ro-RO"/>
              </w:rPr>
              <w:t>L4BN</w:t>
            </w:r>
          </w:p>
        </w:tc>
      </w:tr>
      <w:tr w:rsidR="001C441B" w:rsidRPr="007D305F" w:rsidTr="007A2A1D">
        <w:trPr>
          <w:cantSplit/>
          <w:trHeight w:val="20"/>
          <w:jc w:val="center"/>
        </w:trPr>
        <w:tc>
          <w:tcPr>
            <w:tcW w:w="741" w:type="dxa"/>
            <w:vMerge/>
          </w:tcPr>
          <w:p w:rsidR="001C441B" w:rsidRPr="00857CDA" w:rsidRDefault="001C441B" w:rsidP="003E6A9A">
            <w:pPr>
              <w:keepNext/>
              <w:keepLines/>
              <w:spacing w:line="240" w:lineRule="auto"/>
              <w:jc w:val="center"/>
              <w:rPr>
                <w:sz w:val="18"/>
                <w:szCs w:val="18"/>
                <w:lang w:val="ro-RO"/>
              </w:rPr>
            </w:pPr>
          </w:p>
        </w:tc>
        <w:tc>
          <w:tcPr>
            <w:tcW w:w="976" w:type="dxa"/>
            <w:tcBorders>
              <w:top w:val="nil"/>
            </w:tcBorders>
          </w:tcPr>
          <w:p w:rsidR="001C441B" w:rsidRPr="00857CDA" w:rsidRDefault="001C441B" w:rsidP="003E6A9A">
            <w:pPr>
              <w:keepNext/>
              <w:keepLines/>
              <w:spacing w:line="240" w:lineRule="auto"/>
              <w:jc w:val="center"/>
              <w:rPr>
                <w:sz w:val="18"/>
                <w:szCs w:val="18"/>
                <w:lang w:val="ro-RO"/>
              </w:rPr>
            </w:pPr>
            <w:r w:rsidRPr="00857CDA">
              <w:rPr>
                <w:sz w:val="18"/>
                <w:szCs w:val="18"/>
                <w:lang w:val="ro-RO"/>
              </w:rPr>
              <w:t>3534</w:t>
            </w:r>
          </w:p>
        </w:tc>
        <w:tc>
          <w:tcPr>
            <w:tcW w:w="5943" w:type="dxa"/>
            <w:tcBorders>
              <w:top w:val="nil"/>
            </w:tcBorders>
          </w:tcPr>
          <w:p w:rsidR="001C441B" w:rsidRPr="00857CDA" w:rsidRDefault="00FC5BFB" w:rsidP="003E6A9A">
            <w:pPr>
              <w:keepNext/>
              <w:keepLines/>
              <w:spacing w:line="240" w:lineRule="auto"/>
              <w:rPr>
                <w:sz w:val="18"/>
                <w:szCs w:val="18"/>
                <w:lang w:val="ro-RO"/>
              </w:rPr>
            </w:pPr>
            <w:r w:rsidRPr="00857CDA">
              <w:rPr>
                <w:sz w:val="18"/>
                <w:szCs w:val="18"/>
                <w:lang w:val="ro-RO"/>
              </w:rPr>
              <w:t>Substanță lichidă care polimerizează, cu reglarea temperaturii, n.s.a.</w:t>
            </w:r>
          </w:p>
        </w:tc>
        <w:tc>
          <w:tcPr>
            <w:tcW w:w="1617" w:type="dxa"/>
            <w:vMerge/>
            <w:vAlign w:val="center"/>
          </w:tcPr>
          <w:p w:rsidR="001C441B" w:rsidRPr="00857CDA" w:rsidRDefault="001C441B" w:rsidP="003E6A9A">
            <w:pPr>
              <w:keepNext/>
              <w:keepLines/>
              <w:spacing w:line="240" w:lineRule="auto"/>
              <w:jc w:val="center"/>
              <w:rPr>
                <w:sz w:val="18"/>
                <w:szCs w:val="18"/>
                <w:lang w:val="ro-RO"/>
              </w:rPr>
            </w:pPr>
          </w:p>
        </w:tc>
      </w:tr>
      <w:tr w:rsidR="001C441B" w:rsidRPr="00857CDA" w:rsidTr="007A2A1D">
        <w:trPr>
          <w:cantSplit/>
          <w:trHeight w:val="20"/>
          <w:jc w:val="center"/>
        </w:trPr>
        <w:tc>
          <w:tcPr>
            <w:tcW w:w="741" w:type="dxa"/>
            <w:vMerge w:val="restart"/>
          </w:tcPr>
          <w:p w:rsidR="001C441B" w:rsidRPr="00857CDA" w:rsidRDefault="001C441B" w:rsidP="007A2A1D">
            <w:pPr>
              <w:spacing w:line="240" w:lineRule="auto"/>
              <w:jc w:val="center"/>
              <w:rPr>
                <w:sz w:val="18"/>
                <w:szCs w:val="18"/>
                <w:lang w:val="ro-RO"/>
              </w:rPr>
            </w:pPr>
            <w:r w:rsidRPr="00857CDA">
              <w:rPr>
                <w:sz w:val="18"/>
                <w:szCs w:val="18"/>
                <w:lang w:val="ro-RO"/>
              </w:rPr>
              <w:t>4.2</w:t>
            </w: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1381</w:t>
            </w:r>
          </w:p>
        </w:tc>
        <w:tc>
          <w:tcPr>
            <w:tcW w:w="5943" w:type="dxa"/>
          </w:tcPr>
          <w:p w:rsidR="001C441B" w:rsidRPr="00857CDA" w:rsidRDefault="00FC5BFB" w:rsidP="00FC5BFB">
            <w:pPr>
              <w:spacing w:line="240" w:lineRule="auto"/>
              <w:rPr>
                <w:sz w:val="18"/>
                <w:szCs w:val="18"/>
                <w:lang w:val="ro-RO"/>
              </w:rPr>
            </w:pPr>
            <w:r w:rsidRPr="00857CDA">
              <w:rPr>
                <w:sz w:val="18"/>
                <w:szCs w:val="18"/>
                <w:lang w:val="ro-RO"/>
              </w:rPr>
              <w:t>Fosfor alb sau galben, uscat sau acoperit cu apă sau în soluție</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L10DH</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2447</w:t>
            </w:r>
          </w:p>
        </w:tc>
        <w:tc>
          <w:tcPr>
            <w:tcW w:w="5943" w:type="dxa"/>
          </w:tcPr>
          <w:p w:rsidR="001C441B" w:rsidRPr="00857CDA" w:rsidRDefault="00FC5BFB" w:rsidP="007A2A1D">
            <w:pPr>
              <w:spacing w:line="240" w:lineRule="auto"/>
              <w:rPr>
                <w:sz w:val="18"/>
                <w:szCs w:val="18"/>
                <w:lang w:val="ro-RO"/>
              </w:rPr>
            </w:pPr>
            <w:r w:rsidRPr="00857CDA">
              <w:rPr>
                <w:sz w:val="18"/>
                <w:szCs w:val="18"/>
                <w:lang w:val="ro-RO"/>
              </w:rPr>
              <w:t>Fosfor alb topit</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val="restart"/>
          </w:tcPr>
          <w:p w:rsidR="001C441B" w:rsidRPr="00857CDA" w:rsidRDefault="001C441B" w:rsidP="007A2A1D">
            <w:pPr>
              <w:spacing w:line="240" w:lineRule="auto"/>
              <w:jc w:val="center"/>
              <w:rPr>
                <w:sz w:val="18"/>
                <w:szCs w:val="18"/>
                <w:lang w:val="ro-RO"/>
              </w:rPr>
            </w:pPr>
            <w:r w:rsidRPr="00857CDA">
              <w:rPr>
                <w:sz w:val="18"/>
                <w:szCs w:val="18"/>
                <w:lang w:val="ro-RO"/>
              </w:rPr>
              <w:t>4.3</w:t>
            </w: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1389</w:t>
            </w:r>
          </w:p>
        </w:tc>
        <w:tc>
          <w:tcPr>
            <w:tcW w:w="5943" w:type="dxa"/>
          </w:tcPr>
          <w:p w:rsidR="001C441B" w:rsidRPr="00857CDA" w:rsidRDefault="00FC5BFB" w:rsidP="007A2A1D">
            <w:pPr>
              <w:spacing w:line="240" w:lineRule="auto"/>
              <w:rPr>
                <w:sz w:val="18"/>
                <w:szCs w:val="18"/>
                <w:lang w:val="ro-RO"/>
              </w:rPr>
            </w:pPr>
            <w:r w:rsidRPr="00857CDA">
              <w:rPr>
                <w:sz w:val="18"/>
                <w:szCs w:val="18"/>
                <w:lang w:val="ro-RO"/>
              </w:rPr>
              <w:t>Amalgam de metale alcaline, lichid</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L10BN</w:t>
            </w:r>
          </w:p>
        </w:tc>
      </w:tr>
      <w:tr w:rsidR="001C441B" w:rsidRPr="007D305F"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1391</w:t>
            </w:r>
          </w:p>
        </w:tc>
        <w:tc>
          <w:tcPr>
            <w:tcW w:w="5943" w:type="dxa"/>
          </w:tcPr>
          <w:p w:rsidR="001C441B" w:rsidRPr="00857CDA" w:rsidRDefault="00FC5BFB" w:rsidP="007A2A1D">
            <w:pPr>
              <w:spacing w:line="240" w:lineRule="auto"/>
              <w:rPr>
                <w:sz w:val="18"/>
                <w:szCs w:val="18"/>
                <w:lang w:val="ro-RO"/>
              </w:rPr>
            </w:pPr>
            <w:r w:rsidRPr="00857CDA">
              <w:rPr>
                <w:sz w:val="18"/>
                <w:szCs w:val="18"/>
                <w:lang w:val="ro-RO"/>
              </w:rPr>
              <w:t>Dispersie de metale alcaline sau dispersie de metale alcalino-pământoase</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7D305F"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1392</w:t>
            </w:r>
          </w:p>
        </w:tc>
        <w:tc>
          <w:tcPr>
            <w:tcW w:w="5943" w:type="dxa"/>
          </w:tcPr>
          <w:p w:rsidR="001C441B" w:rsidRPr="00857CDA" w:rsidRDefault="00FC5BFB" w:rsidP="007A2A1D">
            <w:pPr>
              <w:spacing w:line="240" w:lineRule="auto"/>
              <w:rPr>
                <w:sz w:val="18"/>
                <w:szCs w:val="18"/>
                <w:lang w:val="ro-RO"/>
              </w:rPr>
            </w:pPr>
            <w:r w:rsidRPr="00857CDA">
              <w:rPr>
                <w:sz w:val="18"/>
                <w:szCs w:val="18"/>
                <w:lang w:val="ro-RO"/>
              </w:rPr>
              <w:t>Amalgam de metale alcalino-pământoase, lichid</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1415</w:t>
            </w:r>
          </w:p>
        </w:tc>
        <w:tc>
          <w:tcPr>
            <w:tcW w:w="5943" w:type="dxa"/>
          </w:tcPr>
          <w:p w:rsidR="001C441B" w:rsidRPr="00857CDA" w:rsidRDefault="001C441B" w:rsidP="00FC5BFB">
            <w:pPr>
              <w:spacing w:line="240" w:lineRule="auto"/>
              <w:rPr>
                <w:sz w:val="18"/>
                <w:szCs w:val="18"/>
                <w:lang w:val="ro-RO"/>
              </w:rPr>
            </w:pPr>
            <w:r w:rsidRPr="00857CDA">
              <w:rPr>
                <w:sz w:val="18"/>
                <w:szCs w:val="18"/>
                <w:lang w:val="ro-RO"/>
              </w:rPr>
              <w:t>Litiu</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1420</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Aliaje metalice de potasiu, lichide</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7D305F"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1421</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Aliaj lichid de metale alcaline, n.s.a.</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1422</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Aliaje de potasiu și sodiu, lichide</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1428</w:t>
            </w:r>
          </w:p>
        </w:tc>
        <w:tc>
          <w:tcPr>
            <w:tcW w:w="5943" w:type="dxa"/>
          </w:tcPr>
          <w:p w:rsidR="001C441B" w:rsidRPr="00857CDA" w:rsidRDefault="001C441B" w:rsidP="00B47FA1">
            <w:pPr>
              <w:spacing w:line="240" w:lineRule="auto"/>
              <w:rPr>
                <w:sz w:val="18"/>
                <w:szCs w:val="18"/>
                <w:lang w:val="ro-RO"/>
              </w:rPr>
            </w:pPr>
            <w:r w:rsidRPr="00857CDA">
              <w:rPr>
                <w:sz w:val="18"/>
                <w:szCs w:val="18"/>
                <w:lang w:val="ro-RO"/>
              </w:rPr>
              <w:t>Sodiu</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2257</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Potas</w:t>
            </w:r>
            <w:r w:rsidR="001C441B" w:rsidRPr="00857CDA">
              <w:rPr>
                <w:sz w:val="18"/>
                <w:szCs w:val="18"/>
                <w:lang w:val="ro-RO"/>
              </w:rPr>
              <w:t>iu</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3401</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Amalgam de metale alcaline, solid</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7D305F"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3402</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Amalgam de metale alcalino-pământoase, solid</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3403</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Aliaje metalice de potasiu, solide</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3404</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Aliaje de potasiu și sodiu solide</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7D305F"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3482</w:t>
            </w:r>
          </w:p>
        </w:tc>
        <w:tc>
          <w:tcPr>
            <w:tcW w:w="5943" w:type="dxa"/>
          </w:tcPr>
          <w:p w:rsidR="001C441B" w:rsidRPr="00857CDA" w:rsidRDefault="00B47FA1" w:rsidP="00B47FA1">
            <w:pPr>
              <w:spacing w:line="240" w:lineRule="auto"/>
              <w:rPr>
                <w:sz w:val="18"/>
                <w:szCs w:val="18"/>
                <w:lang w:val="ro-RO"/>
              </w:rPr>
            </w:pPr>
            <w:r w:rsidRPr="00857CDA">
              <w:rPr>
                <w:sz w:val="18"/>
                <w:szCs w:val="18"/>
                <w:lang w:val="ro-RO"/>
              </w:rPr>
              <w:t>Dispersie de metale alcaline, inflamabile sau Dispersie de metale pământoase alcaline, inflamabile</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1407</w:t>
            </w:r>
          </w:p>
        </w:tc>
        <w:tc>
          <w:tcPr>
            <w:tcW w:w="5943" w:type="dxa"/>
          </w:tcPr>
          <w:p w:rsidR="001C441B" w:rsidRPr="00857CDA" w:rsidRDefault="001C441B" w:rsidP="00B47FA1">
            <w:pPr>
              <w:spacing w:line="240" w:lineRule="auto"/>
              <w:rPr>
                <w:sz w:val="18"/>
                <w:szCs w:val="18"/>
                <w:lang w:val="ro-RO"/>
              </w:rPr>
            </w:pPr>
            <w:r w:rsidRPr="00857CDA">
              <w:rPr>
                <w:sz w:val="18"/>
                <w:szCs w:val="18"/>
                <w:lang w:val="ro-RO"/>
              </w:rPr>
              <w:t>C</w:t>
            </w:r>
            <w:r w:rsidR="00B47FA1" w:rsidRPr="00857CDA">
              <w:rPr>
                <w:sz w:val="18"/>
                <w:szCs w:val="18"/>
                <w:lang w:val="ro-RO"/>
              </w:rPr>
              <w:t>e</w:t>
            </w:r>
            <w:r w:rsidRPr="00857CDA">
              <w:rPr>
                <w:sz w:val="18"/>
                <w:szCs w:val="18"/>
                <w:lang w:val="ro-RO"/>
              </w:rPr>
              <w:t>siu</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L10CH</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1423</w:t>
            </w:r>
          </w:p>
        </w:tc>
        <w:tc>
          <w:tcPr>
            <w:tcW w:w="5943" w:type="dxa"/>
          </w:tcPr>
          <w:p w:rsidR="001C441B" w:rsidRPr="00857CDA" w:rsidRDefault="001C441B" w:rsidP="00B47FA1">
            <w:pPr>
              <w:spacing w:line="240" w:lineRule="auto"/>
              <w:rPr>
                <w:sz w:val="18"/>
                <w:szCs w:val="18"/>
                <w:lang w:val="ro-RO"/>
              </w:rPr>
            </w:pPr>
            <w:r w:rsidRPr="00857CDA">
              <w:rPr>
                <w:sz w:val="18"/>
                <w:szCs w:val="18"/>
                <w:lang w:val="ro-RO"/>
              </w:rPr>
              <w:t>Rubidiu</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1402</w:t>
            </w:r>
          </w:p>
        </w:tc>
        <w:tc>
          <w:tcPr>
            <w:tcW w:w="5943" w:type="dxa"/>
          </w:tcPr>
          <w:p w:rsidR="001C441B" w:rsidRPr="00857CDA" w:rsidRDefault="001C441B" w:rsidP="00B47FA1">
            <w:pPr>
              <w:spacing w:line="240" w:lineRule="auto"/>
              <w:rPr>
                <w:sz w:val="18"/>
                <w:szCs w:val="18"/>
                <w:lang w:val="ro-RO"/>
              </w:rPr>
            </w:pPr>
            <w:r w:rsidRPr="00857CDA">
              <w:rPr>
                <w:sz w:val="18"/>
                <w:szCs w:val="18"/>
                <w:lang w:val="ro-RO"/>
              </w:rPr>
              <w:t>Carbur</w:t>
            </w:r>
            <w:r w:rsidR="00B47FA1" w:rsidRPr="00857CDA">
              <w:rPr>
                <w:sz w:val="18"/>
                <w:szCs w:val="18"/>
                <w:lang w:val="ro-RO"/>
              </w:rPr>
              <w:t>ă</w:t>
            </w:r>
            <w:r w:rsidRPr="00857CDA">
              <w:rPr>
                <w:sz w:val="18"/>
                <w:szCs w:val="18"/>
                <w:lang w:val="ro-RO"/>
              </w:rPr>
              <w:t xml:space="preserve"> de calciu, </w:t>
            </w:r>
            <w:r w:rsidR="00217674" w:rsidRPr="00857CDA">
              <w:rPr>
                <w:sz w:val="18"/>
                <w:szCs w:val="18"/>
                <w:lang w:val="ro-RO"/>
              </w:rPr>
              <w:t>grupa de ambalare</w:t>
            </w:r>
            <w:r w:rsidRPr="00857CDA">
              <w:rPr>
                <w:sz w:val="18"/>
                <w:szCs w:val="18"/>
                <w:lang w:val="ro-RO"/>
              </w:rPr>
              <w:t xml:space="preserve"> I</w:t>
            </w:r>
          </w:p>
        </w:tc>
        <w:tc>
          <w:tcPr>
            <w:tcW w:w="1617" w:type="dxa"/>
            <w:vAlign w:val="center"/>
          </w:tcPr>
          <w:p w:rsidR="001C441B" w:rsidRPr="00857CDA" w:rsidRDefault="001C441B" w:rsidP="00B47FA1">
            <w:pPr>
              <w:spacing w:line="240" w:lineRule="auto"/>
              <w:jc w:val="center"/>
              <w:rPr>
                <w:sz w:val="18"/>
                <w:szCs w:val="18"/>
                <w:lang w:val="ro-RO"/>
              </w:rPr>
            </w:pPr>
            <w:r w:rsidRPr="00857CDA">
              <w:rPr>
                <w:sz w:val="18"/>
                <w:szCs w:val="18"/>
                <w:lang w:val="ro-RO"/>
              </w:rPr>
              <w:t>S2</w:t>
            </w:r>
            <w:r w:rsidR="00B47FA1" w:rsidRPr="00857CDA">
              <w:rPr>
                <w:sz w:val="18"/>
                <w:szCs w:val="18"/>
                <w:lang w:val="ro-RO"/>
              </w:rPr>
              <w:t>.</w:t>
            </w:r>
            <w:r w:rsidRPr="00857CDA">
              <w:rPr>
                <w:sz w:val="18"/>
                <w:szCs w:val="18"/>
                <w:lang w:val="ro-RO"/>
              </w:rPr>
              <w:t>65AN</w:t>
            </w:r>
          </w:p>
        </w:tc>
      </w:tr>
      <w:tr w:rsidR="001C441B" w:rsidRPr="00857CDA" w:rsidTr="007A2A1D">
        <w:trPr>
          <w:cantSplit/>
          <w:trHeight w:val="20"/>
          <w:jc w:val="center"/>
        </w:trPr>
        <w:tc>
          <w:tcPr>
            <w:tcW w:w="741" w:type="dxa"/>
            <w:vMerge w:val="restart"/>
          </w:tcPr>
          <w:p w:rsidR="001C441B" w:rsidRPr="00857CDA" w:rsidRDefault="001C441B" w:rsidP="007A2A1D">
            <w:pPr>
              <w:spacing w:line="240" w:lineRule="auto"/>
              <w:jc w:val="center"/>
              <w:rPr>
                <w:sz w:val="18"/>
                <w:szCs w:val="18"/>
                <w:lang w:val="ro-RO"/>
              </w:rPr>
            </w:pPr>
            <w:r w:rsidRPr="00857CDA">
              <w:rPr>
                <w:sz w:val="18"/>
                <w:szCs w:val="18"/>
                <w:lang w:val="ro-RO"/>
              </w:rPr>
              <w:t>5.1</w:t>
            </w: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1873</w:t>
            </w:r>
          </w:p>
        </w:tc>
        <w:tc>
          <w:tcPr>
            <w:tcW w:w="5943" w:type="dxa"/>
          </w:tcPr>
          <w:p w:rsidR="001C441B" w:rsidRPr="00857CDA" w:rsidRDefault="00B47FA1" w:rsidP="00B47FA1">
            <w:pPr>
              <w:spacing w:line="240" w:lineRule="auto"/>
              <w:rPr>
                <w:sz w:val="18"/>
                <w:szCs w:val="18"/>
                <w:lang w:val="ro-RO"/>
              </w:rPr>
            </w:pPr>
            <w:r w:rsidRPr="00857CDA">
              <w:rPr>
                <w:sz w:val="18"/>
                <w:szCs w:val="18"/>
                <w:lang w:val="ro-RO"/>
              </w:rPr>
              <w:t>Acid percloric conţinând mai mult de 50% (masă), dar nu mai mult de 72% (masă) acid</w:t>
            </w:r>
          </w:p>
        </w:tc>
        <w:tc>
          <w:tcPr>
            <w:tcW w:w="1617" w:type="dxa"/>
            <w:vAlign w:val="center"/>
          </w:tcPr>
          <w:p w:rsidR="001C441B" w:rsidRPr="00857CDA" w:rsidRDefault="001C441B" w:rsidP="007A2A1D">
            <w:pPr>
              <w:spacing w:line="240" w:lineRule="auto"/>
              <w:jc w:val="center"/>
              <w:rPr>
                <w:sz w:val="18"/>
                <w:szCs w:val="18"/>
                <w:lang w:val="ro-RO"/>
              </w:rPr>
            </w:pPr>
            <w:r w:rsidRPr="00857CDA">
              <w:rPr>
                <w:sz w:val="18"/>
                <w:szCs w:val="18"/>
                <w:lang w:val="ro-RO"/>
              </w:rPr>
              <w:t>L4DN</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2015</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Peroxid de hidrogen în soluție apoasă stabilizată conţinând mai mult de 70% peroxid de hidrogen</w:t>
            </w:r>
          </w:p>
        </w:tc>
        <w:tc>
          <w:tcPr>
            <w:tcW w:w="1617" w:type="dxa"/>
            <w:vAlign w:val="center"/>
          </w:tcPr>
          <w:p w:rsidR="001C441B" w:rsidRPr="00857CDA" w:rsidRDefault="001C441B" w:rsidP="007A2A1D">
            <w:pPr>
              <w:spacing w:line="240" w:lineRule="auto"/>
              <w:jc w:val="center"/>
              <w:rPr>
                <w:sz w:val="18"/>
                <w:szCs w:val="18"/>
                <w:lang w:val="ro-RO"/>
              </w:rPr>
            </w:pPr>
            <w:r w:rsidRPr="00857CDA">
              <w:rPr>
                <w:sz w:val="18"/>
                <w:szCs w:val="18"/>
                <w:lang w:val="ro-RO"/>
              </w:rPr>
              <w:t>L4DV</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2014</w:t>
            </w:r>
          </w:p>
        </w:tc>
        <w:tc>
          <w:tcPr>
            <w:tcW w:w="5943" w:type="dxa"/>
          </w:tcPr>
          <w:p w:rsidR="00B47FA1" w:rsidRPr="00857CDA" w:rsidRDefault="00B47FA1" w:rsidP="00B47FA1">
            <w:pPr>
              <w:spacing w:line="240" w:lineRule="auto"/>
              <w:rPr>
                <w:sz w:val="18"/>
                <w:szCs w:val="18"/>
                <w:lang w:val="ro-RO"/>
              </w:rPr>
            </w:pPr>
            <w:r w:rsidRPr="00857CDA">
              <w:rPr>
                <w:sz w:val="18"/>
                <w:szCs w:val="18"/>
                <w:lang w:val="ro-RO"/>
              </w:rPr>
              <w:t>Peroxid de hidrogen în soluție apoasă conţinând cel puţin 20%, dar nu mai mult de 60% peroxid de hidrogen</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L4BV</w:t>
            </w:r>
          </w:p>
        </w:tc>
      </w:tr>
      <w:tr w:rsidR="001C441B" w:rsidRPr="007D305F"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2015</w:t>
            </w:r>
          </w:p>
        </w:tc>
        <w:tc>
          <w:tcPr>
            <w:tcW w:w="5943" w:type="dxa"/>
          </w:tcPr>
          <w:p w:rsidR="001C441B" w:rsidRPr="00857CDA" w:rsidRDefault="00B47FA1" w:rsidP="007A2A1D">
            <w:pPr>
              <w:spacing w:line="240" w:lineRule="auto"/>
              <w:rPr>
                <w:sz w:val="18"/>
                <w:szCs w:val="18"/>
                <w:lang w:val="ro-RO"/>
              </w:rPr>
            </w:pPr>
            <w:r w:rsidRPr="00857CDA">
              <w:rPr>
                <w:sz w:val="18"/>
                <w:szCs w:val="18"/>
                <w:lang w:val="ro-RO"/>
              </w:rPr>
              <w:t>Peroxid de hidrogen în soluție apoasă stabilizată conţinând mai mult de 60%, dar nu mai mult de 70% peroxid de hidrogen</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2426</w:t>
            </w:r>
          </w:p>
        </w:tc>
        <w:tc>
          <w:tcPr>
            <w:tcW w:w="5943" w:type="dxa"/>
          </w:tcPr>
          <w:p w:rsidR="001C441B" w:rsidRPr="00857CDA" w:rsidRDefault="00F75B10" w:rsidP="007A2A1D">
            <w:pPr>
              <w:spacing w:line="240" w:lineRule="auto"/>
              <w:rPr>
                <w:sz w:val="18"/>
                <w:szCs w:val="18"/>
                <w:lang w:val="ro-RO"/>
              </w:rPr>
            </w:pPr>
            <w:r w:rsidRPr="00857CDA">
              <w:rPr>
                <w:sz w:val="18"/>
                <w:szCs w:val="18"/>
                <w:lang w:val="ro-RO"/>
              </w:rPr>
              <w:t>Nitrat de amoniu lichid</w:t>
            </w:r>
            <w:r w:rsidR="00B47FA1" w:rsidRPr="00857CDA">
              <w:rPr>
                <w:sz w:val="18"/>
                <w:szCs w:val="18"/>
                <w:lang w:val="ro-RO"/>
              </w:rPr>
              <w:t xml:space="preserve">, soluţie caldă concentrată cu mai mult de 80%, dar nu mai mult de 93% </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7D305F"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3149</w:t>
            </w:r>
          </w:p>
        </w:tc>
        <w:tc>
          <w:tcPr>
            <w:tcW w:w="5943" w:type="dxa"/>
          </w:tcPr>
          <w:p w:rsidR="001C441B" w:rsidRPr="00857CDA" w:rsidRDefault="00F75B10" w:rsidP="00F75B10">
            <w:pPr>
              <w:spacing w:line="240" w:lineRule="auto"/>
              <w:rPr>
                <w:sz w:val="18"/>
                <w:szCs w:val="18"/>
                <w:lang w:val="ro-RO"/>
              </w:rPr>
            </w:pPr>
            <w:r w:rsidRPr="00857CDA">
              <w:rPr>
                <w:sz w:val="18"/>
                <w:szCs w:val="18"/>
                <w:lang w:val="ro-RO"/>
              </w:rPr>
              <w:t>PEROXID DE HIDROGEN ȘI ACID PEROXIACETIC ÎN AMESTEC, STABILIZAT</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3375</w:t>
            </w:r>
          </w:p>
        </w:tc>
        <w:tc>
          <w:tcPr>
            <w:tcW w:w="5943" w:type="dxa"/>
          </w:tcPr>
          <w:p w:rsidR="001C441B" w:rsidRPr="00857CDA" w:rsidRDefault="00F75B10" w:rsidP="00F75B10">
            <w:pPr>
              <w:spacing w:line="240" w:lineRule="auto"/>
              <w:rPr>
                <w:sz w:val="18"/>
                <w:szCs w:val="18"/>
                <w:lang w:val="ro-RO"/>
              </w:rPr>
            </w:pPr>
            <w:r w:rsidRPr="00857CDA">
              <w:rPr>
                <w:sz w:val="18"/>
                <w:szCs w:val="18"/>
                <w:lang w:val="ro-RO"/>
              </w:rPr>
              <w:t>Azotat de amoniu sau Nitrat de amoniu în emulsie, suspensie sau gel</w:t>
            </w:r>
            <w:r w:rsidR="001C441B" w:rsidRPr="00857CDA">
              <w:rPr>
                <w:sz w:val="18"/>
                <w:szCs w:val="18"/>
                <w:lang w:val="ro-RO"/>
              </w:rPr>
              <w:t>, li</w:t>
            </w:r>
            <w:r w:rsidRPr="00857CDA">
              <w:rPr>
                <w:sz w:val="18"/>
                <w:szCs w:val="18"/>
                <w:lang w:val="ro-RO"/>
              </w:rPr>
              <w:t>chi</w:t>
            </w:r>
            <w:r w:rsidR="001C441B" w:rsidRPr="00857CDA">
              <w:rPr>
                <w:sz w:val="18"/>
                <w:szCs w:val="18"/>
                <w:lang w:val="ro-RO"/>
              </w:rPr>
              <w:t>d</w:t>
            </w:r>
          </w:p>
        </w:tc>
        <w:tc>
          <w:tcPr>
            <w:tcW w:w="1617" w:type="dxa"/>
            <w:vAlign w:val="center"/>
          </w:tcPr>
          <w:p w:rsidR="001C441B" w:rsidRPr="00857CDA" w:rsidRDefault="001C441B" w:rsidP="007A2A1D">
            <w:pPr>
              <w:spacing w:line="240" w:lineRule="auto"/>
              <w:jc w:val="center"/>
              <w:rPr>
                <w:sz w:val="18"/>
                <w:szCs w:val="18"/>
                <w:lang w:val="ro-RO"/>
              </w:rPr>
            </w:pPr>
            <w:r w:rsidRPr="00857CDA">
              <w:rPr>
                <w:sz w:val="18"/>
                <w:szCs w:val="18"/>
                <w:lang w:val="ro-RO"/>
              </w:rPr>
              <w:t>LGAV</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3375</w:t>
            </w:r>
          </w:p>
        </w:tc>
        <w:tc>
          <w:tcPr>
            <w:tcW w:w="5943" w:type="dxa"/>
          </w:tcPr>
          <w:p w:rsidR="001C441B" w:rsidRPr="00857CDA" w:rsidRDefault="00F75B10" w:rsidP="007A2A1D">
            <w:pPr>
              <w:spacing w:line="240" w:lineRule="auto"/>
              <w:rPr>
                <w:sz w:val="18"/>
                <w:szCs w:val="18"/>
                <w:lang w:val="ro-RO"/>
              </w:rPr>
            </w:pPr>
            <w:r w:rsidRPr="00857CDA">
              <w:rPr>
                <w:sz w:val="18"/>
                <w:szCs w:val="18"/>
                <w:lang w:val="ro-RO"/>
              </w:rPr>
              <w:t xml:space="preserve">Azotat de amoniu sau Nitrat de amoniu în emulsie, suspensie sau gel, </w:t>
            </w:r>
            <w:r w:rsidR="001C441B" w:rsidRPr="00857CDA">
              <w:rPr>
                <w:sz w:val="18"/>
                <w:szCs w:val="18"/>
                <w:lang w:val="ro-RO"/>
              </w:rPr>
              <w:t>solide</w:t>
            </w:r>
          </w:p>
        </w:tc>
        <w:tc>
          <w:tcPr>
            <w:tcW w:w="1617" w:type="dxa"/>
            <w:vAlign w:val="center"/>
          </w:tcPr>
          <w:p w:rsidR="001C441B" w:rsidRPr="00857CDA" w:rsidRDefault="001C441B" w:rsidP="007A2A1D">
            <w:pPr>
              <w:spacing w:line="240" w:lineRule="auto"/>
              <w:jc w:val="center"/>
              <w:rPr>
                <w:sz w:val="18"/>
                <w:szCs w:val="18"/>
                <w:lang w:val="ro-RO"/>
              </w:rPr>
            </w:pPr>
            <w:r w:rsidRPr="00857CDA">
              <w:rPr>
                <w:sz w:val="18"/>
                <w:szCs w:val="18"/>
                <w:lang w:val="ro-RO"/>
              </w:rPr>
              <w:t>SGAV</w:t>
            </w:r>
          </w:p>
        </w:tc>
      </w:tr>
      <w:tr w:rsidR="001C441B" w:rsidRPr="00857CDA" w:rsidTr="007A2A1D">
        <w:trPr>
          <w:cantSplit/>
          <w:trHeight w:val="20"/>
          <w:jc w:val="center"/>
        </w:trPr>
        <w:tc>
          <w:tcPr>
            <w:tcW w:w="741" w:type="dxa"/>
            <w:vMerge w:val="restart"/>
          </w:tcPr>
          <w:p w:rsidR="001C441B" w:rsidRPr="00857CDA" w:rsidRDefault="001C441B" w:rsidP="007A2A1D">
            <w:pPr>
              <w:spacing w:line="240" w:lineRule="auto"/>
              <w:jc w:val="center"/>
              <w:rPr>
                <w:sz w:val="18"/>
                <w:szCs w:val="18"/>
                <w:lang w:val="ro-RO"/>
              </w:rPr>
            </w:pPr>
            <w:r w:rsidRPr="00857CDA">
              <w:rPr>
                <w:sz w:val="18"/>
                <w:szCs w:val="18"/>
                <w:lang w:val="ro-RO"/>
              </w:rPr>
              <w:t>5.2</w:t>
            </w:r>
          </w:p>
        </w:tc>
        <w:tc>
          <w:tcPr>
            <w:tcW w:w="976" w:type="dxa"/>
            <w:tcBorders>
              <w:bottom w:val="single" w:sz="4" w:space="0" w:color="auto"/>
            </w:tcBorders>
          </w:tcPr>
          <w:p w:rsidR="001C441B" w:rsidRPr="00857CDA" w:rsidRDefault="001C441B" w:rsidP="007A2A1D">
            <w:pPr>
              <w:spacing w:line="240" w:lineRule="auto"/>
              <w:jc w:val="center"/>
              <w:rPr>
                <w:sz w:val="18"/>
                <w:szCs w:val="18"/>
                <w:lang w:val="ro-RO"/>
              </w:rPr>
            </w:pPr>
            <w:r w:rsidRPr="00857CDA">
              <w:rPr>
                <w:sz w:val="18"/>
                <w:szCs w:val="18"/>
                <w:lang w:val="ro-RO"/>
              </w:rPr>
              <w:t>3109</w:t>
            </w:r>
          </w:p>
        </w:tc>
        <w:tc>
          <w:tcPr>
            <w:tcW w:w="5943" w:type="dxa"/>
            <w:tcBorders>
              <w:bottom w:val="single" w:sz="4" w:space="0" w:color="auto"/>
            </w:tcBorders>
          </w:tcPr>
          <w:p w:rsidR="001C441B" w:rsidRPr="00857CDA" w:rsidRDefault="001C441B" w:rsidP="00F75B10">
            <w:pPr>
              <w:spacing w:line="240" w:lineRule="auto"/>
              <w:rPr>
                <w:sz w:val="18"/>
                <w:szCs w:val="18"/>
                <w:lang w:val="ro-RO"/>
              </w:rPr>
            </w:pPr>
            <w:r w:rsidRPr="00857CDA">
              <w:rPr>
                <w:sz w:val="18"/>
                <w:szCs w:val="18"/>
                <w:lang w:val="ro-RO"/>
              </w:rPr>
              <w:t>Perox</w:t>
            </w:r>
            <w:r w:rsidR="00F75B10" w:rsidRPr="00857CDA">
              <w:rPr>
                <w:sz w:val="18"/>
                <w:szCs w:val="18"/>
                <w:lang w:val="ro-RO"/>
              </w:rPr>
              <w:t>i</w:t>
            </w:r>
            <w:r w:rsidRPr="00857CDA">
              <w:rPr>
                <w:sz w:val="18"/>
                <w:szCs w:val="18"/>
                <w:lang w:val="ro-RO"/>
              </w:rPr>
              <w:t>d organi</w:t>
            </w:r>
            <w:r w:rsidR="00F75B10" w:rsidRPr="00857CDA">
              <w:rPr>
                <w:sz w:val="18"/>
                <w:szCs w:val="18"/>
                <w:lang w:val="ro-RO"/>
              </w:rPr>
              <w:t>c</w:t>
            </w:r>
            <w:r w:rsidRPr="00857CDA">
              <w:rPr>
                <w:sz w:val="18"/>
                <w:szCs w:val="18"/>
                <w:lang w:val="ro-RO"/>
              </w:rPr>
              <w:t xml:space="preserve"> t</w:t>
            </w:r>
            <w:r w:rsidR="00F75B10" w:rsidRPr="00857CDA">
              <w:rPr>
                <w:sz w:val="18"/>
                <w:szCs w:val="18"/>
                <w:lang w:val="ro-RO"/>
              </w:rPr>
              <w:t>i</w:t>
            </w:r>
            <w:r w:rsidRPr="00857CDA">
              <w:rPr>
                <w:sz w:val="18"/>
                <w:szCs w:val="18"/>
                <w:lang w:val="ro-RO"/>
              </w:rPr>
              <w:t>p F, li</w:t>
            </w:r>
            <w:r w:rsidR="00F75B10" w:rsidRPr="00857CDA">
              <w:rPr>
                <w:sz w:val="18"/>
                <w:szCs w:val="18"/>
                <w:lang w:val="ro-RO"/>
              </w:rPr>
              <w:t>ch</w:t>
            </w:r>
            <w:r w:rsidRPr="00857CDA">
              <w:rPr>
                <w:sz w:val="18"/>
                <w:szCs w:val="18"/>
                <w:lang w:val="ro-RO"/>
              </w:rPr>
              <w:t>id </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L4BN</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Borders>
              <w:top w:val="nil"/>
            </w:tcBorders>
          </w:tcPr>
          <w:p w:rsidR="001C441B" w:rsidRPr="00857CDA" w:rsidRDefault="001C441B" w:rsidP="007A2A1D">
            <w:pPr>
              <w:spacing w:line="240" w:lineRule="auto"/>
              <w:jc w:val="center"/>
              <w:rPr>
                <w:sz w:val="18"/>
                <w:szCs w:val="18"/>
                <w:lang w:val="ro-RO"/>
              </w:rPr>
            </w:pPr>
            <w:r w:rsidRPr="00857CDA">
              <w:rPr>
                <w:sz w:val="18"/>
                <w:szCs w:val="18"/>
                <w:lang w:val="ro-RO"/>
              </w:rPr>
              <w:t>3119</w:t>
            </w:r>
          </w:p>
        </w:tc>
        <w:tc>
          <w:tcPr>
            <w:tcW w:w="5943" w:type="dxa"/>
            <w:tcBorders>
              <w:top w:val="nil"/>
            </w:tcBorders>
          </w:tcPr>
          <w:p w:rsidR="001C441B" w:rsidRPr="00857CDA" w:rsidRDefault="00F75B10" w:rsidP="007A2A1D">
            <w:pPr>
              <w:spacing w:line="240" w:lineRule="auto"/>
              <w:rPr>
                <w:sz w:val="18"/>
                <w:szCs w:val="18"/>
                <w:lang w:val="ro-RO"/>
              </w:rPr>
            </w:pPr>
            <w:r w:rsidRPr="00857CDA">
              <w:rPr>
                <w:sz w:val="18"/>
                <w:szCs w:val="18"/>
                <w:lang w:val="ro-RO"/>
              </w:rPr>
              <w:t>Peroxid organic tip F, lichid, cu reglarea temperaturii</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Borders>
              <w:bottom w:val="single" w:sz="4" w:space="0" w:color="auto"/>
            </w:tcBorders>
          </w:tcPr>
          <w:p w:rsidR="001C441B" w:rsidRPr="00857CDA" w:rsidRDefault="001C441B" w:rsidP="007A2A1D">
            <w:pPr>
              <w:keepNext/>
              <w:keepLines/>
              <w:pageBreakBefore/>
              <w:spacing w:line="240" w:lineRule="auto"/>
              <w:jc w:val="center"/>
              <w:rPr>
                <w:sz w:val="18"/>
                <w:szCs w:val="18"/>
                <w:lang w:val="ro-RO"/>
              </w:rPr>
            </w:pPr>
            <w:r w:rsidRPr="00857CDA">
              <w:rPr>
                <w:sz w:val="18"/>
                <w:szCs w:val="18"/>
                <w:lang w:val="ro-RO"/>
              </w:rPr>
              <w:t>3110</w:t>
            </w:r>
          </w:p>
        </w:tc>
        <w:tc>
          <w:tcPr>
            <w:tcW w:w="5943" w:type="dxa"/>
            <w:tcBorders>
              <w:bottom w:val="single" w:sz="4" w:space="0" w:color="auto"/>
            </w:tcBorders>
          </w:tcPr>
          <w:p w:rsidR="001C441B" w:rsidRPr="00857CDA" w:rsidRDefault="00F75B10" w:rsidP="007A2A1D">
            <w:pPr>
              <w:keepNext/>
              <w:keepLines/>
              <w:spacing w:line="240" w:lineRule="auto"/>
              <w:rPr>
                <w:sz w:val="18"/>
                <w:szCs w:val="18"/>
                <w:lang w:val="ro-RO"/>
              </w:rPr>
            </w:pPr>
            <w:r w:rsidRPr="00857CDA">
              <w:rPr>
                <w:sz w:val="18"/>
                <w:szCs w:val="18"/>
                <w:lang w:val="ro-RO"/>
              </w:rPr>
              <w:t>Peroxid organic tip F, solid</w:t>
            </w:r>
          </w:p>
        </w:tc>
        <w:tc>
          <w:tcPr>
            <w:tcW w:w="1617" w:type="dxa"/>
            <w:vMerge w:val="restart"/>
            <w:vAlign w:val="center"/>
          </w:tcPr>
          <w:p w:rsidR="001C441B" w:rsidRPr="00857CDA" w:rsidRDefault="001C441B" w:rsidP="007A2A1D">
            <w:pPr>
              <w:keepNext/>
              <w:keepLines/>
              <w:spacing w:line="240" w:lineRule="auto"/>
              <w:jc w:val="center"/>
              <w:rPr>
                <w:sz w:val="18"/>
                <w:szCs w:val="18"/>
                <w:lang w:val="ro-RO"/>
              </w:rPr>
            </w:pPr>
            <w:r w:rsidRPr="00857CDA">
              <w:rPr>
                <w:sz w:val="18"/>
                <w:szCs w:val="18"/>
                <w:lang w:val="ro-RO"/>
              </w:rPr>
              <w:t>S4AN</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tcBorders>
              <w:top w:val="nil"/>
            </w:tcBorders>
          </w:tcPr>
          <w:p w:rsidR="001C441B" w:rsidRPr="00857CDA" w:rsidRDefault="001C441B" w:rsidP="007A2A1D">
            <w:pPr>
              <w:keepNext/>
              <w:keepLines/>
              <w:spacing w:line="240" w:lineRule="auto"/>
              <w:jc w:val="center"/>
              <w:rPr>
                <w:sz w:val="18"/>
                <w:szCs w:val="18"/>
                <w:lang w:val="ro-RO"/>
              </w:rPr>
            </w:pPr>
            <w:r w:rsidRPr="00857CDA">
              <w:rPr>
                <w:sz w:val="18"/>
                <w:szCs w:val="18"/>
                <w:lang w:val="ro-RO"/>
              </w:rPr>
              <w:t>3120</w:t>
            </w:r>
          </w:p>
        </w:tc>
        <w:tc>
          <w:tcPr>
            <w:tcW w:w="5943" w:type="dxa"/>
            <w:tcBorders>
              <w:top w:val="nil"/>
            </w:tcBorders>
          </w:tcPr>
          <w:p w:rsidR="001C441B" w:rsidRPr="00857CDA" w:rsidRDefault="00F75B10" w:rsidP="00F75B10">
            <w:pPr>
              <w:keepNext/>
              <w:keepLines/>
              <w:spacing w:line="240" w:lineRule="auto"/>
              <w:rPr>
                <w:sz w:val="18"/>
                <w:szCs w:val="18"/>
                <w:lang w:val="ro-RO"/>
              </w:rPr>
            </w:pPr>
            <w:r w:rsidRPr="00857CDA">
              <w:rPr>
                <w:sz w:val="18"/>
                <w:szCs w:val="18"/>
                <w:lang w:val="ro-RO"/>
              </w:rPr>
              <w:t>Peroxid organic tip F, solid, cu reglarea temperaturii</w:t>
            </w:r>
          </w:p>
        </w:tc>
        <w:tc>
          <w:tcPr>
            <w:tcW w:w="1617" w:type="dxa"/>
            <w:vMerge/>
            <w:vAlign w:val="center"/>
          </w:tcPr>
          <w:p w:rsidR="001C441B" w:rsidRPr="00857CDA" w:rsidRDefault="001C441B" w:rsidP="007A2A1D">
            <w:pPr>
              <w:keepNext/>
              <w:keepLines/>
              <w:spacing w:line="240" w:lineRule="auto"/>
              <w:jc w:val="center"/>
              <w:rPr>
                <w:sz w:val="18"/>
                <w:szCs w:val="18"/>
                <w:lang w:val="ro-RO"/>
              </w:rPr>
            </w:pPr>
          </w:p>
        </w:tc>
      </w:tr>
      <w:tr w:rsidR="001C441B" w:rsidRPr="00857CDA" w:rsidTr="007A2A1D">
        <w:trPr>
          <w:cantSplit/>
          <w:trHeight w:val="20"/>
          <w:jc w:val="center"/>
        </w:trPr>
        <w:tc>
          <w:tcPr>
            <w:tcW w:w="741" w:type="dxa"/>
            <w:vMerge w:val="restart"/>
          </w:tcPr>
          <w:p w:rsidR="001C441B" w:rsidRPr="00857CDA" w:rsidRDefault="001C441B" w:rsidP="007A2A1D">
            <w:pPr>
              <w:spacing w:line="240" w:lineRule="auto"/>
              <w:jc w:val="center"/>
              <w:rPr>
                <w:sz w:val="18"/>
                <w:szCs w:val="18"/>
                <w:lang w:val="ro-RO"/>
              </w:rPr>
            </w:pPr>
            <w:r w:rsidRPr="00857CDA">
              <w:rPr>
                <w:sz w:val="18"/>
                <w:szCs w:val="18"/>
                <w:lang w:val="ro-RO"/>
              </w:rPr>
              <w:t>6.1</w:t>
            </w: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1613</w:t>
            </w:r>
          </w:p>
        </w:tc>
        <w:tc>
          <w:tcPr>
            <w:tcW w:w="5943" w:type="dxa"/>
          </w:tcPr>
          <w:p w:rsidR="001C441B" w:rsidRPr="00857CDA" w:rsidRDefault="001C441B" w:rsidP="00F75B10">
            <w:pPr>
              <w:spacing w:line="240" w:lineRule="auto"/>
              <w:rPr>
                <w:sz w:val="18"/>
                <w:szCs w:val="18"/>
                <w:lang w:val="ro-RO"/>
              </w:rPr>
            </w:pPr>
            <w:r w:rsidRPr="00857CDA">
              <w:rPr>
                <w:sz w:val="18"/>
                <w:szCs w:val="18"/>
                <w:lang w:val="ro-RO"/>
              </w:rPr>
              <w:t>C</w:t>
            </w:r>
            <w:r w:rsidR="00F75B10" w:rsidRPr="00857CDA">
              <w:rPr>
                <w:sz w:val="18"/>
                <w:szCs w:val="18"/>
                <w:lang w:val="ro-RO"/>
              </w:rPr>
              <w:t>i</w:t>
            </w:r>
            <w:r w:rsidRPr="00857CDA">
              <w:rPr>
                <w:sz w:val="18"/>
                <w:szCs w:val="18"/>
                <w:lang w:val="ro-RO"/>
              </w:rPr>
              <w:t>anur</w:t>
            </w:r>
            <w:r w:rsidR="00F75B10" w:rsidRPr="00857CDA">
              <w:rPr>
                <w:sz w:val="18"/>
                <w:szCs w:val="18"/>
                <w:lang w:val="ro-RO"/>
              </w:rPr>
              <w:t>ă</w:t>
            </w:r>
            <w:r w:rsidRPr="00857CDA">
              <w:rPr>
                <w:sz w:val="18"/>
                <w:szCs w:val="18"/>
                <w:lang w:val="ro-RO"/>
              </w:rPr>
              <w:t xml:space="preserve"> d</w:t>
            </w:r>
            <w:r w:rsidR="00F75B10" w:rsidRPr="00857CDA">
              <w:rPr>
                <w:sz w:val="18"/>
                <w:szCs w:val="18"/>
                <w:lang w:val="ro-RO"/>
              </w:rPr>
              <w:t>e hi</w:t>
            </w:r>
            <w:r w:rsidRPr="00857CDA">
              <w:rPr>
                <w:sz w:val="18"/>
                <w:szCs w:val="18"/>
                <w:lang w:val="ro-RO"/>
              </w:rPr>
              <w:t>droge</w:t>
            </w:r>
            <w:r w:rsidR="00F75B10" w:rsidRPr="00857CDA">
              <w:rPr>
                <w:sz w:val="18"/>
                <w:szCs w:val="18"/>
                <w:lang w:val="ro-RO"/>
              </w:rPr>
              <w:t>n î</w:t>
            </w:r>
            <w:r w:rsidRPr="00857CDA">
              <w:rPr>
                <w:sz w:val="18"/>
                <w:szCs w:val="18"/>
                <w:lang w:val="ro-RO"/>
              </w:rPr>
              <w:t>n solu</w:t>
            </w:r>
            <w:r w:rsidR="00F75B10" w:rsidRPr="00857CDA">
              <w:rPr>
                <w:sz w:val="18"/>
                <w:szCs w:val="18"/>
                <w:lang w:val="ro-RO"/>
              </w:rPr>
              <w:t>ție</w:t>
            </w:r>
            <w:r w:rsidRPr="00857CDA">
              <w:rPr>
                <w:sz w:val="18"/>
                <w:szCs w:val="18"/>
                <w:lang w:val="ro-RO"/>
              </w:rPr>
              <w:t xml:space="preserve"> a</w:t>
            </w:r>
            <w:r w:rsidR="00F75B10" w:rsidRPr="00857CDA">
              <w:rPr>
                <w:sz w:val="18"/>
                <w:szCs w:val="18"/>
                <w:lang w:val="ro-RO"/>
              </w:rPr>
              <w:t>poa</w:t>
            </w:r>
            <w:r w:rsidRPr="00857CDA">
              <w:rPr>
                <w:sz w:val="18"/>
                <w:szCs w:val="18"/>
                <w:lang w:val="ro-RO"/>
              </w:rPr>
              <w:t>s</w:t>
            </w:r>
            <w:r w:rsidR="00F75B10" w:rsidRPr="00857CDA">
              <w:rPr>
                <w:sz w:val="18"/>
                <w:szCs w:val="18"/>
                <w:lang w:val="ro-RO"/>
              </w:rPr>
              <w:t>ă</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L15DH</w:t>
            </w:r>
          </w:p>
        </w:tc>
      </w:tr>
      <w:tr w:rsidR="001C441B" w:rsidRPr="007D305F" w:rsidTr="007A2A1D">
        <w:trPr>
          <w:cantSplit/>
          <w:trHeight w:val="20"/>
          <w:jc w:val="center"/>
        </w:trPr>
        <w:tc>
          <w:tcPr>
            <w:tcW w:w="741" w:type="dxa"/>
            <w:vMerge/>
          </w:tcPr>
          <w:p w:rsidR="001C441B" w:rsidRPr="00857CDA" w:rsidRDefault="001C441B" w:rsidP="007A2A1D">
            <w:pPr>
              <w:spacing w:line="240" w:lineRule="auto"/>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3294</w:t>
            </w:r>
          </w:p>
        </w:tc>
        <w:tc>
          <w:tcPr>
            <w:tcW w:w="5943" w:type="dxa"/>
          </w:tcPr>
          <w:p w:rsidR="001C441B" w:rsidRPr="00857CDA" w:rsidRDefault="00F75B10" w:rsidP="007A2A1D">
            <w:pPr>
              <w:spacing w:line="240" w:lineRule="auto"/>
              <w:rPr>
                <w:sz w:val="18"/>
                <w:szCs w:val="18"/>
                <w:lang w:val="ro-RO"/>
              </w:rPr>
            </w:pPr>
            <w:r w:rsidRPr="00857CDA">
              <w:rPr>
                <w:sz w:val="18"/>
                <w:szCs w:val="18"/>
                <w:lang w:val="ro-RO"/>
              </w:rPr>
              <w:t>Cianură de hidrogen în soluție alcoolică</w:t>
            </w:r>
          </w:p>
        </w:tc>
        <w:tc>
          <w:tcPr>
            <w:tcW w:w="1617" w:type="dxa"/>
            <w:vMerge/>
            <w:vAlign w:val="center"/>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val="restart"/>
          </w:tcPr>
          <w:p w:rsidR="001C441B" w:rsidRPr="00857CDA" w:rsidRDefault="001C441B" w:rsidP="007A2A1D">
            <w:pPr>
              <w:spacing w:line="240" w:lineRule="auto"/>
              <w:jc w:val="center"/>
              <w:rPr>
                <w:sz w:val="18"/>
                <w:szCs w:val="18"/>
                <w:lang w:val="ro-RO"/>
              </w:rPr>
            </w:pPr>
            <w:r w:rsidRPr="00857CDA">
              <w:rPr>
                <w:sz w:val="18"/>
                <w:szCs w:val="18"/>
                <w:lang w:val="ro-RO"/>
              </w:rPr>
              <w:t>7</w:t>
            </w:r>
            <w:r w:rsidR="007D42AD" w:rsidRPr="00857CDA">
              <w:rPr>
                <w:sz w:val="18"/>
                <w:szCs w:val="18"/>
                <w:lang w:val="ro-RO"/>
              </w:rPr>
              <w:t xml:space="preserve"> </w:t>
            </w:r>
            <w:r w:rsidR="003E6A9A" w:rsidRPr="00857CDA">
              <w:rPr>
                <w:b/>
                <w:iCs/>
                <w:vertAlign w:val="superscript"/>
                <w:lang w:val="ro-RO"/>
              </w:rPr>
              <w:t>a</w:t>
            </w:r>
          </w:p>
        </w:tc>
        <w:tc>
          <w:tcPr>
            <w:tcW w:w="976" w:type="dxa"/>
            <w:vMerge w:val="restart"/>
          </w:tcPr>
          <w:p w:rsidR="001C441B" w:rsidRPr="00857CDA" w:rsidRDefault="001C441B" w:rsidP="007A2A1D">
            <w:pPr>
              <w:spacing w:line="240" w:lineRule="auto"/>
              <w:rPr>
                <w:sz w:val="18"/>
                <w:szCs w:val="18"/>
                <w:lang w:val="ro-RO"/>
              </w:rPr>
            </w:pPr>
          </w:p>
        </w:tc>
        <w:tc>
          <w:tcPr>
            <w:tcW w:w="5943" w:type="dxa"/>
          </w:tcPr>
          <w:p w:rsidR="001C441B" w:rsidRPr="00857CDA" w:rsidRDefault="001C441B" w:rsidP="00F75B10">
            <w:pPr>
              <w:spacing w:line="240" w:lineRule="auto"/>
              <w:rPr>
                <w:sz w:val="18"/>
                <w:szCs w:val="18"/>
                <w:lang w:val="ro-RO"/>
              </w:rPr>
            </w:pPr>
            <w:r w:rsidRPr="00857CDA">
              <w:rPr>
                <w:sz w:val="18"/>
                <w:szCs w:val="18"/>
                <w:lang w:val="ro-RO"/>
              </w:rPr>
              <w:t>To</w:t>
            </w:r>
            <w:r w:rsidR="00F75B10" w:rsidRPr="00857CDA">
              <w:rPr>
                <w:sz w:val="18"/>
                <w:szCs w:val="18"/>
                <w:lang w:val="ro-RO"/>
              </w:rPr>
              <w:t>ate</w:t>
            </w:r>
            <w:r w:rsidRPr="00857CDA">
              <w:rPr>
                <w:sz w:val="18"/>
                <w:szCs w:val="18"/>
                <w:lang w:val="ro-RO"/>
              </w:rPr>
              <w:t xml:space="preserve"> </w:t>
            </w:r>
            <w:r w:rsidR="00F75B10" w:rsidRPr="00857CDA">
              <w:rPr>
                <w:sz w:val="18"/>
                <w:szCs w:val="18"/>
                <w:lang w:val="ro-RO"/>
              </w:rPr>
              <w:t>substanțele</w:t>
            </w:r>
          </w:p>
        </w:tc>
        <w:tc>
          <w:tcPr>
            <w:tcW w:w="1617" w:type="dxa"/>
            <w:vAlign w:val="center"/>
          </w:tcPr>
          <w:p w:rsidR="001C441B" w:rsidRPr="00857CDA" w:rsidRDefault="001C441B" w:rsidP="00F75B10">
            <w:pPr>
              <w:spacing w:line="240" w:lineRule="auto"/>
              <w:jc w:val="center"/>
              <w:rPr>
                <w:sz w:val="18"/>
                <w:szCs w:val="18"/>
                <w:lang w:val="ro-RO"/>
              </w:rPr>
            </w:pPr>
            <w:r w:rsidRPr="00857CDA">
              <w:rPr>
                <w:sz w:val="18"/>
                <w:szCs w:val="18"/>
                <w:lang w:val="ro-RO"/>
              </w:rPr>
              <w:t>Ci</w:t>
            </w:r>
            <w:r w:rsidR="00F75B10" w:rsidRPr="00857CDA">
              <w:rPr>
                <w:sz w:val="18"/>
                <w:szCs w:val="18"/>
                <w:lang w:val="ro-RO"/>
              </w:rPr>
              <w:t>s</w:t>
            </w:r>
            <w:r w:rsidRPr="00857CDA">
              <w:rPr>
                <w:sz w:val="18"/>
                <w:szCs w:val="18"/>
                <w:lang w:val="ro-RO"/>
              </w:rPr>
              <w:t>terne sp</w:t>
            </w:r>
            <w:r w:rsidR="00F75B10" w:rsidRPr="00857CDA">
              <w:rPr>
                <w:sz w:val="18"/>
                <w:szCs w:val="18"/>
                <w:lang w:val="ro-RO"/>
              </w:rPr>
              <w:t>e</w:t>
            </w:r>
            <w:r w:rsidRPr="00857CDA">
              <w:rPr>
                <w:sz w:val="18"/>
                <w:szCs w:val="18"/>
                <w:lang w:val="ro-RO"/>
              </w:rPr>
              <w:t>ciale</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vMerge/>
          </w:tcPr>
          <w:p w:rsidR="001C441B" w:rsidRPr="00857CDA" w:rsidRDefault="001C441B" w:rsidP="007A2A1D">
            <w:pPr>
              <w:spacing w:line="240" w:lineRule="auto"/>
              <w:rPr>
                <w:sz w:val="18"/>
                <w:szCs w:val="18"/>
                <w:lang w:val="ro-RO"/>
              </w:rPr>
            </w:pPr>
          </w:p>
        </w:tc>
        <w:tc>
          <w:tcPr>
            <w:tcW w:w="5943" w:type="dxa"/>
          </w:tcPr>
          <w:p w:rsidR="001C441B" w:rsidRPr="00857CDA" w:rsidRDefault="00F75B10" w:rsidP="007A2A1D">
            <w:pPr>
              <w:spacing w:line="240" w:lineRule="auto"/>
              <w:rPr>
                <w:sz w:val="18"/>
                <w:szCs w:val="18"/>
                <w:lang w:val="ro-RO"/>
              </w:rPr>
            </w:pPr>
            <w:r w:rsidRPr="00857CDA">
              <w:rPr>
                <w:sz w:val="18"/>
                <w:szCs w:val="18"/>
                <w:lang w:val="ro-RO"/>
              </w:rPr>
              <w:t>Prescripții minime pentru lichide</w:t>
            </w:r>
          </w:p>
        </w:tc>
        <w:tc>
          <w:tcPr>
            <w:tcW w:w="1617" w:type="dxa"/>
            <w:vAlign w:val="center"/>
          </w:tcPr>
          <w:p w:rsidR="001C441B" w:rsidRPr="00857CDA" w:rsidRDefault="001C441B" w:rsidP="00F75B10">
            <w:pPr>
              <w:spacing w:line="240" w:lineRule="auto"/>
              <w:jc w:val="center"/>
              <w:rPr>
                <w:sz w:val="18"/>
                <w:szCs w:val="18"/>
                <w:lang w:val="ro-RO"/>
              </w:rPr>
            </w:pPr>
            <w:r w:rsidRPr="00857CDA">
              <w:rPr>
                <w:sz w:val="18"/>
                <w:szCs w:val="18"/>
                <w:lang w:val="ro-RO"/>
              </w:rPr>
              <w:t>L2</w:t>
            </w:r>
            <w:r w:rsidR="00F75B10" w:rsidRPr="00857CDA">
              <w:rPr>
                <w:sz w:val="18"/>
                <w:szCs w:val="18"/>
                <w:lang w:val="ro-RO"/>
              </w:rPr>
              <w:t>.</w:t>
            </w:r>
            <w:r w:rsidRPr="00857CDA">
              <w:rPr>
                <w:sz w:val="18"/>
                <w:szCs w:val="18"/>
                <w:lang w:val="ro-RO"/>
              </w:rPr>
              <w:t>65CN</w:t>
            </w:r>
          </w:p>
        </w:tc>
      </w:tr>
      <w:tr w:rsidR="001C441B" w:rsidRPr="00857CDA" w:rsidTr="007A2A1D">
        <w:trPr>
          <w:cantSplit/>
          <w:trHeight w:val="20"/>
          <w:jc w:val="center"/>
        </w:trPr>
        <w:tc>
          <w:tcPr>
            <w:tcW w:w="741" w:type="dxa"/>
            <w:vMerge/>
          </w:tcPr>
          <w:p w:rsidR="001C441B" w:rsidRPr="00857CDA" w:rsidRDefault="001C441B" w:rsidP="007A2A1D">
            <w:pPr>
              <w:spacing w:line="240" w:lineRule="auto"/>
              <w:jc w:val="center"/>
              <w:rPr>
                <w:sz w:val="18"/>
                <w:szCs w:val="18"/>
                <w:lang w:val="ro-RO"/>
              </w:rPr>
            </w:pPr>
          </w:p>
        </w:tc>
        <w:tc>
          <w:tcPr>
            <w:tcW w:w="976" w:type="dxa"/>
            <w:vMerge/>
          </w:tcPr>
          <w:p w:rsidR="001C441B" w:rsidRPr="00857CDA" w:rsidRDefault="001C441B" w:rsidP="007A2A1D">
            <w:pPr>
              <w:spacing w:line="240" w:lineRule="auto"/>
              <w:rPr>
                <w:sz w:val="18"/>
                <w:szCs w:val="18"/>
                <w:lang w:val="ro-RO"/>
              </w:rPr>
            </w:pPr>
          </w:p>
        </w:tc>
        <w:tc>
          <w:tcPr>
            <w:tcW w:w="5943" w:type="dxa"/>
          </w:tcPr>
          <w:p w:rsidR="001C441B" w:rsidRPr="00857CDA" w:rsidRDefault="00F75B10" w:rsidP="007A2A1D">
            <w:pPr>
              <w:spacing w:line="240" w:lineRule="auto"/>
              <w:rPr>
                <w:sz w:val="18"/>
                <w:szCs w:val="18"/>
                <w:lang w:val="ro-RO"/>
              </w:rPr>
            </w:pPr>
            <w:r w:rsidRPr="00857CDA">
              <w:rPr>
                <w:sz w:val="18"/>
                <w:szCs w:val="18"/>
                <w:lang w:val="ro-RO"/>
              </w:rPr>
              <w:t>Prescripții minime pentru solide</w:t>
            </w:r>
          </w:p>
        </w:tc>
        <w:tc>
          <w:tcPr>
            <w:tcW w:w="1617" w:type="dxa"/>
            <w:vAlign w:val="center"/>
          </w:tcPr>
          <w:p w:rsidR="001C441B" w:rsidRPr="00857CDA" w:rsidRDefault="00F75B10" w:rsidP="007A2A1D">
            <w:pPr>
              <w:spacing w:line="240" w:lineRule="auto"/>
              <w:jc w:val="center"/>
              <w:rPr>
                <w:sz w:val="18"/>
                <w:szCs w:val="18"/>
                <w:lang w:val="ro-RO"/>
              </w:rPr>
            </w:pPr>
            <w:r w:rsidRPr="00857CDA">
              <w:rPr>
                <w:sz w:val="18"/>
                <w:szCs w:val="18"/>
                <w:lang w:val="ro-RO"/>
              </w:rPr>
              <w:t>S2.</w:t>
            </w:r>
            <w:r w:rsidR="001C441B" w:rsidRPr="00857CDA">
              <w:rPr>
                <w:sz w:val="18"/>
                <w:szCs w:val="18"/>
                <w:lang w:val="ro-RO"/>
              </w:rPr>
              <w:t>65AN</w:t>
            </w:r>
          </w:p>
        </w:tc>
      </w:tr>
      <w:tr w:rsidR="001C441B" w:rsidRPr="00857CDA" w:rsidTr="007A2A1D">
        <w:trPr>
          <w:cantSplit/>
          <w:trHeight w:val="20"/>
          <w:jc w:val="center"/>
        </w:trPr>
        <w:tc>
          <w:tcPr>
            <w:tcW w:w="741" w:type="dxa"/>
            <w:vMerge w:val="restart"/>
          </w:tcPr>
          <w:p w:rsidR="001C441B" w:rsidRPr="00857CDA" w:rsidRDefault="001C441B" w:rsidP="007A2A1D">
            <w:pPr>
              <w:spacing w:line="240" w:lineRule="auto"/>
              <w:jc w:val="center"/>
              <w:rPr>
                <w:sz w:val="18"/>
                <w:szCs w:val="18"/>
                <w:lang w:val="ro-RO"/>
              </w:rPr>
            </w:pPr>
            <w:r w:rsidRPr="00857CDA">
              <w:rPr>
                <w:sz w:val="18"/>
                <w:szCs w:val="18"/>
                <w:lang w:val="ro-RO"/>
              </w:rPr>
              <w:t>8</w:t>
            </w: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1052</w:t>
            </w:r>
          </w:p>
        </w:tc>
        <w:tc>
          <w:tcPr>
            <w:tcW w:w="5943" w:type="dxa"/>
          </w:tcPr>
          <w:p w:rsidR="001C441B" w:rsidRPr="00857CDA" w:rsidRDefault="001C441B" w:rsidP="00623A40">
            <w:pPr>
              <w:spacing w:line="240" w:lineRule="auto"/>
              <w:rPr>
                <w:sz w:val="18"/>
                <w:szCs w:val="18"/>
                <w:lang w:val="ro-RO"/>
              </w:rPr>
            </w:pPr>
            <w:r w:rsidRPr="00857CDA">
              <w:rPr>
                <w:sz w:val="18"/>
                <w:szCs w:val="18"/>
                <w:lang w:val="ro-RO"/>
              </w:rPr>
              <w:t>Fluorur</w:t>
            </w:r>
            <w:r w:rsidR="00623A40" w:rsidRPr="00857CDA">
              <w:rPr>
                <w:sz w:val="18"/>
                <w:szCs w:val="18"/>
                <w:lang w:val="ro-RO"/>
              </w:rPr>
              <w:t>ă</w:t>
            </w:r>
            <w:r w:rsidRPr="00857CDA">
              <w:rPr>
                <w:sz w:val="18"/>
                <w:szCs w:val="18"/>
                <w:lang w:val="ro-RO"/>
              </w:rPr>
              <w:t xml:space="preserve"> d</w:t>
            </w:r>
            <w:r w:rsidR="00623A40" w:rsidRPr="00857CDA">
              <w:rPr>
                <w:sz w:val="18"/>
                <w:szCs w:val="18"/>
                <w:lang w:val="ro-RO"/>
              </w:rPr>
              <w:t xml:space="preserve">e </w:t>
            </w:r>
            <w:r w:rsidRPr="00857CDA">
              <w:rPr>
                <w:sz w:val="18"/>
                <w:szCs w:val="18"/>
                <w:lang w:val="ro-RO"/>
              </w:rPr>
              <w:t>h</w:t>
            </w:r>
            <w:r w:rsidR="00623A40" w:rsidRPr="00857CDA">
              <w:rPr>
                <w:sz w:val="18"/>
                <w:szCs w:val="18"/>
                <w:lang w:val="ro-RO"/>
              </w:rPr>
              <w:t>i</w:t>
            </w:r>
            <w:r w:rsidRPr="00857CDA">
              <w:rPr>
                <w:sz w:val="18"/>
                <w:szCs w:val="18"/>
                <w:lang w:val="ro-RO"/>
              </w:rPr>
              <w:t>droge</w:t>
            </w:r>
            <w:r w:rsidR="00623A40" w:rsidRPr="00857CDA">
              <w:rPr>
                <w:sz w:val="18"/>
                <w:szCs w:val="18"/>
                <w:lang w:val="ro-RO"/>
              </w:rPr>
              <w:t>n</w:t>
            </w:r>
            <w:r w:rsidRPr="00857CDA">
              <w:rPr>
                <w:sz w:val="18"/>
                <w:szCs w:val="18"/>
                <w:lang w:val="ro-RO"/>
              </w:rPr>
              <w:t xml:space="preserve"> anh</w:t>
            </w:r>
            <w:r w:rsidR="00623A40" w:rsidRPr="00857CDA">
              <w:rPr>
                <w:sz w:val="18"/>
                <w:szCs w:val="18"/>
                <w:lang w:val="ro-RO"/>
              </w:rPr>
              <w:t>i</w:t>
            </w:r>
            <w:r w:rsidRPr="00857CDA">
              <w:rPr>
                <w:sz w:val="18"/>
                <w:szCs w:val="18"/>
                <w:lang w:val="ro-RO"/>
              </w:rPr>
              <w:t>dr</w:t>
            </w:r>
            <w:r w:rsidR="00623A40" w:rsidRPr="00857CDA">
              <w:rPr>
                <w:sz w:val="18"/>
                <w:szCs w:val="18"/>
                <w:lang w:val="ro-RO"/>
              </w:rPr>
              <w:t>ă</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L21DH</w:t>
            </w:r>
          </w:p>
        </w:tc>
      </w:tr>
      <w:tr w:rsidR="001C441B" w:rsidRPr="00857CDA" w:rsidTr="007A2A1D">
        <w:trPr>
          <w:cantSplit/>
          <w:trHeight w:val="20"/>
          <w:jc w:val="center"/>
        </w:trPr>
        <w:tc>
          <w:tcPr>
            <w:tcW w:w="741" w:type="dxa"/>
            <w:vMerge/>
          </w:tcPr>
          <w:p w:rsidR="001C441B" w:rsidRPr="00857CDA" w:rsidRDefault="001C441B" w:rsidP="007A2A1D">
            <w:pPr>
              <w:spacing w:line="240" w:lineRule="auto"/>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1744</w:t>
            </w:r>
          </w:p>
        </w:tc>
        <w:tc>
          <w:tcPr>
            <w:tcW w:w="5943" w:type="dxa"/>
          </w:tcPr>
          <w:p w:rsidR="001C441B" w:rsidRPr="00857CDA" w:rsidRDefault="001C441B" w:rsidP="00623A40">
            <w:pPr>
              <w:spacing w:line="240" w:lineRule="auto"/>
              <w:rPr>
                <w:sz w:val="18"/>
                <w:szCs w:val="18"/>
                <w:lang w:val="ro-RO"/>
              </w:rPr>
            </w:pPr>
            <w:r w:rsidRPr="00857CDA">
              <w:rPr>
                <w:sz w:val="18"/>
                <w:szCs w:val="18"/>
                <w:lang w:val="ro-RO"/>
              </w:rPr>
              <w:t xml:space="preserve">Brom </w:t>
            </w:r>
            <w:r w:rsidR="00623A40" w:rsidRPr="00857CDA">
              <w:rPr>
                <w:sz w:val="18"/>
                <w:szCs w:val="18"/>
                <w:lang w:val="ro-RO"/>
              </w:rPr>
              <w:t>sa</w:t>
            </w:r>
            <w:r w:rsidRPr="00857CDA">
              <w:rPr>
                <w:sz w:val="18"/>
                <w:szCs w:val="18"/>
                <w:lang w:val="ro-RO"/>
              </w:rPr>
              <w:t xml:space="preserve">u brom </w:t>
            </w:r>
            <w:r w:rsidR="00623A40" w:rsidRPr="00857CDA">
              <w:rPr>
                <w:sz w:val="18"/>
                <w:szCs w:val="18"/>
                <w:lang w:val="ro-RO"/>
              </w:rPr>
              <w:t>î</w:t>
            </w:r>
            <w:r w:rsidRPr="00857CDA">
              <w:rPr>
                <w:sz w:val="18"/>
                <w:szCs w:val="18"/>
                <w:lang w:val="ro-RO"/>
              </w:rPr>
              <w:t>n solu</w:t>
            </w:r>
            <w:r w:rsidR="00623A40" w:rsidRPr="00857CDA">
              <w:rPr>
                <w:sz w:val="18"/>
                <w:szCs w:val="18"/>
                <w:lang w:val="ro-RO"/>
              </w:rPr>
              <w:t>ție</w:t>
            </w:r>
            <w:r w:rsidRPr="00857CDA">
              <w:rPr>
                <w:sz w:val="18"/>
                <w:szCs w:val="18"/>
                <w:lang w:val="ro-RO"/>
              </w:rPr>
              <w:t xml:space="preserve"> </w:t>
            </w:r>
          </w:p>
        </w:tc>
        <w:tc>
          <w:tcPr>
            <w:tcW w:w="1617" w:type="dxa"/>
            <w:vMerge/>
          </w:tcPr>
          <w:p w:rsidR="001C441B" w:rsidRPr="00857CDA" w:rsidRDefault="001C441B" w:rsidP="007A2A1D">
            <w:pPr>
              <w:spacing w:line="240" w:lineRule="auto"/>
              <w:jc w:val="center"/>
              <w:rPr>
                <w:sz w:val="18"/>
                <w:szCs w:val="18"/>
                <w:lang w:val="ro-RO"/>
              </w:rPr>
            </w:pPr>
          </w:p>
        </w:tc>
      </w:tr>
      <w:tr w:rsidR="001C441B" w:rsidRPr="007D305F" w:rsidTr="007A2A1D">
        <w:trPr>
          <w:cantSplit/>
          <w:trHeight w:val="20"/>
          <w:jc w:val="center"/>
        </w:trPr>
        <w:tc>
          <w:tcPr>
            <w:tcW w:w="741" w:type="dxa"/>
            <w:vMerge/>
          </w:tcPr>
          <w:p w:rsidR="001C441B" w:rsidRPr="00857CDA" w:rsidRDefault="001C441B" w:rsidP="007A2A1D">
            <w:pPr>
              <w:spacing w:line="240" w:lineRule="auto"/>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1790</w:t>
            </w:r>
          </w:p>
        </w:tc>
        <w:tc>
          <w:tcPr>
            <w:tcW w:w="5943" w:type="dxa"/>
          </w:tcPr>
          <w:p w:rsidR="001C441B" w:rsidRPr="00857CDA" w:rsidRDefault="001C441B" w:rsidP="00623A40">
            <w:pPr>
              <w:spacing w:line="240" w:lineRule="auto"/>
              <w:rPr>
                <w:sz w:val="18"/>
                <w:szCs w:val="18"/>
                <w:lang w:val="ro-RO"/>
              </w:rPr>
            </w:pPr>
            <w:r w:rsidRPr="00857CDA">
              <w:rPr>
                <w:sz w:val="18"/>
                <w:szCs w:val="18"/>
                <w:lang w:val="ro-RO"/>
              </w:rPr>
              <w:t>Acid fluorh</w:t>
            </w:r>
            <w:r w:rsidR="00623A40" w:rsidRPr="00857CDA">
              <w:rPr>
                <w:sz w:val="18"/>
                <w:szCs w:val="18"/>
                <w:lang w:val="ro-RO"/>
              </w:rPr>
              <w:t>i</w:t>
            </w:r>
            <w:r w:rsidRPr="00857CDA">
              <w:rPr>
                <w:sz w:val="18"/>
                <w:szCs w:val="18"/>
                <w:lang w:val="ro-RO"/>
              </w:rPr>
              <w:t>dri</w:t>
            </w:r>
            <w:r w:rsidR="00623A40" w:rsidRPr="00857CDA">
              <w:rPr>
                <w:sz w:val="18"/>
                <w:szCs w:val="18"/>
                <w:lang w:val="ro-RO"/>
              </w:rPr>
              <w:t>c</w:t>
            </w:r>
            <w:r w:rsidRPr="00857CDA">
              <w:rPr>
                <w:sz w:val="18"/>
                <w:szCs w:val="18"/>
                <w:lang w:val="ro-RO"/>
              </w:rPr>
              <w:t xml:space="preserve"> </w:t>
            </w:r>
            <w:r w:rsidR="00623A40" w:rsidRPr="00857CDA">
              <w:rPr>
                <w:sz w:val="18"/>
                <w:szCs w:val="18"/>
                <w:lang w:val="ro-RO"/>
              </w:rPr>
              <w:t>conţinând mai mult de 85% fluorură de hidrogen</w:t>
            </w:r>
          </w:p>
        </w:tc>
        <w:tc>
          <w:tcPr>
            <w:tcW w:w="1617" w:type="dxa"/>
            <w:vMerge/>
          </w:tcPr>
          <w:p w:rsidR="001C441B" w:rsidRPr="00857CDA" w:rsidRDefault="001C441B" w:rsidP="007A2A1D">
            <w:pPr>
              <w:spacing w:line="240" w:lineRule="auto"/>
              <w:jc w:val="center"/>
              <w:rPr>
                <w:sz w:val="18"/>
                <w:szCs w:val="18"/>
                <w:lang w:val="ro-RO"/>
              </w:rPr>
            </w:pPr>
          </w:p>
        </w:tc>
      </w:tr>
      <w:tr w:rsidR="001C441B" w:rsidRPr="00857CDA" w:rsidTr="007A2A1D">
        <w:trPr>
          <w:cantSplit/>
          <w:trHeight w:val="20"/>
          <w:jc w:val="center"/>
        </w:trPr>
        <w:tc>
          <w:tcPr>
            <w:tcW w:w="741" w:type="dxa"/>
            <w:vMerge/>
          </w:tcPr>
          <w:p w:rsidR="001C441B" w:rsidRPr="00857CDA" w:rsidRDefault="001C441B" w:rsidP="007A2A1D">
            <w:pPr>
              <w:spacing w:line="240" w:lineRule="auto"/>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1791</w:t>
            </w:r>
          </w:p>
        </w:tc>
        <w:tc>
          <w:tcPr>
            <w:tcW w:w="5943" w:type="dxa"/>
          </w:tcPr>
          <w:p w:rsidR="001C441B" w:rsidRPr="00857CDA" w:rsidRDefault="001C441B" w:rsidP="00623A40">
            <w:pPr>
              <w:spacing w:line="240" w:lineRule="auto"/>
              <w:rPr>
                <w:sz w:val="18"/>
                <w:szCs w:val="18"/>
                <w:lang w:val="ro-RO"/>
              </w:rPr>
            </w:pPr>
            <w:r w:rsidRPr="00857CDA">
              <w:rPr>
                <w:sz w:val="18"/>
                <w:szCs w:val="18"/>
                <w:lang w:val="ro-RO"/>
              </w:rPr>
              <w:t>H</w:t>
            </w:r>
            <w:r w:rsidR="00623A40" w:rsidRPr="00857CDA">
              <w:rPr>
                <w:sz w:val="18"/>
                <w:szCs w:val="18"/>
                <w:lang w:val="ro-RO"/>
              </w:rPr>
              <w:t>i</w:t>
            </w:r>
            <w:r w:rsidRPr="00857CDA">
              <w:rPr>
                <w:sz w:val="18"/>
                <w:szCs w:val="18"/>
                <w:lang w:val="ro-RO"/>
              </w:rPr>
              <w:t xml:space="preserve">poclorit </w:t>
            </w:r>
            <w:r w:rsidR="00623A40" w:rsidRPr="00857CDA">
              <w:rPr>
                <w:sz w:val="18"/>
                <w:szCs w:val="18"/>
                <w:lang w:val="ro-RO"/>
              </w:rPr>
              <w:t>î</w:t>
            </w:r>
            <w:r w:rsidRPr="00857CDA">
              <w:rPr>
                <w:sz w:val="18"/>
                <w:szCs w:val="18"/>
                <w:lang w:val="ro-RO"/>
              </w:rPr>
              <w:t>n solu</w:t>
            </w:r>
            <w:r w:rsidR="00623A40" w:rsidRPr="00857CDA">
              <w:rPr>
                <w:sz w:val="18"/>
                <w:szCs w:val="18"/>
                <w:lang w:val="ro-RO"/>
              </w:rPr>
              <w:t>ție</w:t>
            </w:r>
          </w:p>
        </w:tc>
        <w:tc>
          <w:tcPr>
            <w:tcW w:w="1617" w:type="dxa"/>
            <w:vMerge w:val="restart"/>
            <w:vAlign w:val="center"/>
          </w:tcPr>
          <w:p w:rsidR="001C441B" w:rsidRPr="00857CDA" w:rsidRDefault="001C441B" w:rsidP="007A2A1D">
            <w:pPr>
              <w:spacing w:line="240" w:lineRule="auto"/>
              <w:jc w:val="center"/>
              <w:rPr>
                <w:sz w:val="18"/>
                <w:szCs w:val="18"/>
                <w:lang w:val="ro-RO"/>
              </w:rPr>
            </w:pPr>
            <w:r w:rsidRPr="00857CDA">
              <w:rPr>
                <w:sz w:val="18"/>
                <w:szCs w:val="18"/>
                <w:lang w:val="ro-RO"/>
              </w:rPr>
              <w:t>L4BV</w:t>
            </w:r>
          </w:p>
        </w:tc>
      </w:tr>
      <w:tr w:rsidR="001C441B" w:rsidRPr="00857CDA" w:rsidTr="007A2A1D">
        <w:trPr>
          <w:cantSplit/>
          <w:trHeight w:val="20"/>
          <w:jc w:val="center"/>
        </w:trPr>
        <w:tc>
          <w:tcPr>
            <w:tcW w:w="741" w:type="dxa"/>
            <w:vMerge/>
          </w:tcPr>
          <w:p w:rsidR="001C441B" w:rsidRPr="00857CDA" w:rsidRDefault="001C441B" w:rsidP="007A2A1D">
            <w:pPr>
              <w:spacing w:line="240" w:lineRule="auto"/>
              <w:rPr>
                <w:sz w:val="18"/>
                <w:szCs w:val="18"/>
                <w:lang w:val="ro-RO"/>
              </w:rPr>
            </w:pPr>
          </w:p>
        </w:tc>
        <w:tc>
          <w:tcPr>
            <w:tcW w:w="976" w:type="dxa"/>
          </w:tcPr>
          <w:p w:rsidR="001C441B" w:rsidRPr="00857CDA" w:rsidRDefault="001C441B" w:rsidP="007A2A1D">
            <w:pPr>
              <w:spacing w:line="240" w:lineRule="auto"/>
              <w:jc w:val="center"/>
              <w:rPr>
                <w:sz w:val="18"/>
                <w:szCs w:val="18"/>
                <w:lang w:val="ro-RO"/>
              </w:rPr>
            </w:pPr>
            <w:r w:rsidRPr="00857CDA">
              <w:rPr>
                <w:sz w:val="18"/>
                <w:szCs w:val="18"/>
                <w:lang w:val="ro-RO"/>
              </w:rPr>
              <w:t>1908</w:t>
            </w:r>
          </w:p>
        </w:tc>
        <w:tc>
          <w:tcPr>
            <w:tcW w:w="5943" w:type="dxa"/>
          </w:tcPr>
          <w:p w:rsidR="001C441B" w:rsidRPr="00857CDA" w:rsidRDefault="001C441B" w:rsidP="00623A40">
            <w:pPr>
              <w:spacing w:line="240" w:lineRule="auto"/>
              <w:rPr>
                <w:sz w:val="18"/>
                <w:szCs w:val="18"/>
                <w:lang w:val="ro-RO"/>
              </w:rPr>
            </w:pPr>
            <w:r w:rsidRPr="00857CDA">
              <w:rPr>
                <w:sz w:val="18"/>
                <w:szCs w:val="18"/>
                <w:lang w:val="ro-RO"/>
              </w:rPr>
              <w:t xml:space="preserve">Clorit </w:t>
            </w:r>
            <w:r w:rsidR="00623A40" w:rsidRPr="00857CDA">
              <w:rPr>
                <w:sz w:val="18"/>
                <w:szCs w:val="18"/>
                <w:lang w:val="ro-RO"/>
              </w:rPr>
              <w:t>î</w:t>
            </w:r>
            <w:r w:rsidRPr="00857CDA">
              <w:rPr>
                <w:sz w:val="18"/>
                <w:szCs w:val="18"/>
                <w:lang w:val="ro-RO"/>
              </w:rPr>
              <w:t>n solu</w:t>
            </w:r>
            <w:r w:rsidR="00623A40" w:rsidRPr="00857CDA">
              <w:rPr>
                <w:sz w:val="18"/>
                <w:szCs w:val="18"/>
                <w:lang w:val="ro-RO"/>
              </w:rPr>
              <w:t>ție</w:t>
            </w:r>
          </w:p>
        </w:tc>
        <w:tc>
          <w:tcPr>
            <w:tcW w:w="1617" w:type="dxa"/>
            <w:vMerge/>
          </w:tcPr>
          <w:p w:rsidR="001C441B" w:rsidRPr="00857CDA" w:rsidRDefault="001C441B" w:rsidP="007A2A1D">
            <w:pPr>
              <w:spacing w:line="240" w:lineRule="auto"/>
              <w:rPr>
                <w:sz w:val="18"/>
                <w:szCs w:val="18"/>
                <w:lang w:val="ro-RO"/>
              </w:rPr>
            </w:pPr>
          </w:p>
        </w:tc>
      </w:tr>
    </w:tbl>
    <w:p w:rsidR="001C441B" w:rsidRPr="00857CDA" w:rsidRDefault="003E6A9A" w:rsidP="00623A40">
      <w:pPr>
        <w:pStyle w:val="SingleTxtG"/>
        <w:spacing w:before="120"/>
        <w:rPr>
          <w:i/>
          <w:lang w:val="ro-RO"/>
        </w:rPr>
      </w:pPr>
      <w:r w:rsidRPr="00857CDA">
        <w:rPr>
          <w:b/>
          <w:iCs/>
          <w:vertAlign w:val="superscript"/>
          <w:lang w:val="ro-RO"/>
        </w:rPr>
        <w:t>a</w:t>
      </w:r>
      <w:r w:rsidR="001C441B" w:rsidRPr="00857CDA">
        <w:rPr>
          <w:lang w:val="ro-RO"/>
        </w:rPr>
        <w:tab/>
      </w:r>
      <w:r w:rsidR="00623A40" w:rsidRPr="00857CDA">
        <w:rPr>
          <w:i/>
          <w:lang w:val="ro-RO"/>
        </w:rPr>
        <w:t>Prin derogare de la prescripțiile generale ale acestui paragraf, cisternele utilizate pentru materialele radioactive pot fi, de asemenea, utilizate pentru transportul altor mărfuri atunci când sunt respectate prescripțiile de la 5.1.3.2</w:t>
      </w:r>
      <w:r w:rsidR="001C441B" w:rsidRPr="00857CDA">
        <w:rPr>
          <w:i/>
          <w:lang w:val="ro-RO"/>
        </w:rPr>
        <w:t>.</w:t>
      </w:r>
      <w:r w:rsidR="00660131" w:rsidRPr="00857CDA">
        <w:rPr>
          <w:i/>
          <w:lang w:val="ro-RO"/>
        </w:rPr>
        <w:t>”</w:t>
      </w:r>
      <w:r w:rsidR="001C441B" w:rsidRPr="00857CDA">
        <w:rPr>
          <w:i/>
          <w:lang w:val="ro-RO"/>
        </w:rPr>
        <w:t>.</w:t>
      </w:r>
    </w:p>
    <w:p w:rsidR="001C441B" w:rsidRPr="00857CDA" w:rsidRDefault="001C441B" w:rsidP="001C441B">
      <w:pPr>
        <w:pStyle w:val="SingleTxtG"/>
        <w:tabs>
          <w:tab w:val="left" w:pos="2268"/>
        </w:tabs>
        <w:rPr>
          <w:lang w:val="ro-RO"/>
        </w:rPr>
      </w:pPr>
      <w:r w:rsidRPr="00857CDA">
        <w:rPr>
          <w:lang w:val="ro-RO"/>
        </w:rPr>
        <w:t>4.3.5</w:t>
      </w:r>
      <w:r w:rsidRPr="00857CDA">
        <w:rPr>
          <w:lang w:val="ro-RO"/>
        </w:rPr>
        <w:tab/>
      </w:r>
      <w:r w:rsidR="00902C44" w:rsidRPr="00857CDA">
        <w:rPr>
          <w:lang w:val="ro-RO"/>
        </w:rPr>
        <w:t>Se adaugă</w:t>
      </w:r>
      <w:r w:rsidRPr="00857CDA">
        <w:rPr>
          <w:lang w:val="ro-RO"/>
        </w:rPr>
        <w:t xml:space="preserve"> </w:t>
      </w:r>
      <w:r w:rsidR="006A1ED1" w:rsidRPr="00857CDA">
        <w:rPr>
          <w:lang w:val="ro-RO"/>
        </w:rPr>
        <w:t>noile</w:t>
      </w:r>
      <w:r w:rsidRPr="00857CDA">
        <w:rPr>
          <w:lang w:val="ro-RO"/>
        </w:rPr>
        <w:t xml:space="preserve"> </w:t>
      </w:r>
      <w:r w:rsidR="006A1ED1" w:rsidRPr="00857CDA">
        <w:rPr>
          <w:lang w:val="ro-RO"/>
        </w:rPr>
        <w:t>dispoziții speciale</w:t>
      </w:r>
      <w:r w:rsidR="00F55B4B" w:rsidRPr="00857CDA">
        <w:rPr>
          <w:lang w:val="ro-RO"/>
        </w:rPr>
        <w:t>, după cum urmează</w:t>
      </w:r>
      <w:r w:rsidR="00091658" w:rsidRPr="00857CDA">
        <w:rPr>
          <w:lang w:val="ro-RO"/>
        </w:rPr>
        <w:t>:</w:t>
      </w:r>
    </w:p>
    <w:p w:rsidR="001C441B" w:rsidRPr="00857CDA" w:rsidRDefault="00920FAB" w:rsidP="00F55B4B">
      <w:pPr>
        <w:pStyle w:val="SingleTxtG"/>
        <w:tabs>
          <w:tab w:val="left" w:pos="2268"/>
        </w:tabs>
        <w:rPr>
          <w:lang w:val="ro-RO"/>
        </w:rPr>
      </w:pPr>
      <w:r w:rsidRPr="00857CDA">
        <w:rPr>
          <w:lang w:val="ro-RO"/>
        </w:rPr>
        <w:t>„</w:t>
      </w:r>
      <w:r w:rsidR="001C441B" w:rsidRPr="00857CDA">
        <w:rPr>
          <w:lang w:val="ro-RO"/>
        </w:rPr>
        <w:t>TU42</w:t>
      </w:r>
      <w:r w:rsidR="001C441B" w:rsidRPr="00857CDA">
        <w:rPr>
          <w:lang w:val="ro-RO"/>
        </w:rPr>
        <w:tab/>
      </w:r>
      <w:r w:rsidR="001C441B" w:rsidRPr="00857CDA">
        <w:rPr>
          <w:lang w:val="ro-RO"/>
        </w:rPr>
        <w:tab/>
      </w:r>
      <w:r w:rsidR="00623A40" w:rsidRPr="00857CDA">
        <w:rPr>
          <w:lang w:val="ro-RO"/>
        </w:rPr>
        <w:t xml:space="preserve">Cisternele ale căror rezervoare sunt construite din aliaj de aluminiu, inclusiv cele cu acoperire de protecție, pot fi utilizate </w:t>
      </w:r>
      <w:r w:rsidR="00F55B4B" w:rsidRPr="00857CDA">
        <w:rPr>
          <w:lang w:val="ro-RO"/>
        </w:rPr>
        <w:t xml:space="preserve">decât </w:t>
      </w:r>
      <w:r w:rsidR="00623A40" w:rsidRPr="00857CDA">
        <w:rPr>
          <w:lang w:val="ro-RO"/>
        </w:rPr>
        <w:t xml:space="preserve">dacă pH-ul substanței nu este mai mic de 5,0 și nu </w:t>
      </w:r>
      <w:r w:rsidR="00F55B4B" w:rsidRPr="00857CDA">
        <w:rPr>
          <w:lang w:val="ro-RO"/>
        </w:rPr>
        <w:t xml:space="preserve">este </w:t>
      </w:r>
      <w:r w:rsidR="00623A40" w:rsidRPr="00857CDA">
        <w:rPr>
          <w:lang w:val="ro-RO"/>
        </w:rPr>
        <w:t>mai m</w:t>
      </w:r>
      <w:r w:rsidR="00F55B4B" w:rsidRPr="00857CDA">
        <w:rPr>
          <w:lang w:val="ro-RO"/>
        </w:rPr>
        <w:t>are</w:t>
      </w:r>
      <w:r w:rsidR="00623A40" w:rsidRPr="00857CDA">
        <w:rPr>
          <w:lang w:val="ro-RO"/>
        </w:rPr>
        <w:t xml:space="preserve"> de 8</w:t>
      </w:r>
      <w:r w:rsidR="00F55B4B" w:rsidRPr="00857CDA">
        <w:rPr>
          <w:lang w:val="ro-RO"/>
        </w:rPr>
        <w:t>,0</w:t>
      </w:r>
      <w:r w:rsidR="001C441B" w:rsidRPr="00857CDA">
        <w:rPr>
          <w:lang w:val="ro-RO"/>
        </w:rPr>
        <w:t>.</w:t>
      </w:r>
      <w:r w:rsidR="00660131" w:rsidRPr="00857CDA">
        <w:rPr>
          <w:lang w:val="ro-RO"/>
        </w:rPr>
        <w:t>”</w:t>
      </w:r>
      <w:r w:rsidR="001C441B" w:rsidRPr="00857CDA">
        <w:rPr>
          <w:lang w:val="ro-RO"/>
        </w:rPr>
        <w:t>.</w:t>
      </w:r>
    </w:p>
    <w:p w:rsidR="00CF3F0B" w:rsidRPr="00857CDA" w:rsidRDefault="00920FAB" w:rsidP="00AB6B30">
      <w:pPr>
        <w:pStyle w:val="SingleTxtG"/>
        <w:rPr>
          <w:lang w:val="ro-RO"/>
        </w:rPr>
      </w:pPr>
      <w:r w:rsidRPr="00857CDA">
        <w:rPr>
          <w:lang w:val="ro-RO"/>
        </w:rPr>
        <w:t>„</w:t>
      </w:r>
      <w:r w:rsidR="00CF3F0B" w:rsidRPr="00857CDA">
        <w:rPr>
          <w:lang w:val="ro-RO"/>
        </w:rPr>
        <w:t>TU43</w:t>
      </w:r>
      <w:r w:rsidR="00CF3F0B" w:rsidRPr="00857CDA">
        <w:rPr>
          <w:lang w:val="ro-RO"/>
        </w:rPr>
        <w:tab/>
      </w:r>
      <w:r w:rsidR="00AB6B30" w:rsidRPr="00857CDA">
        <w:rPr>
          <w:lang w:val="ro-RO"/>
        </w:rPr>
        <w:tab/>
        <w:t>O cisternă goală și necurățată poate fi prezentată la transport, după data de expirare a ultimei inspecții a acoperirii, într-o perioadă care nu depășește trei luni după această dată, pentru a fi supusă următoarei încercări a acoperirii înainte de a fi umplută din nou (a se vedea dispoziția specială TT2 de la 6.8.4 d)).</w:t>
      </w:r>
      <w:r w:rsidR="00660131" w:rsidRPr="00857CDA">
        <w:rPr>
          <w:lang w:val="ro-RO"/>
        </w:rPr>
        <w:t>”</w:t>
      </w:r>
      <w:r w:rsidR="00CF3F0B" w:rsidRPr="00857CDA">
        <w:rPr>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w:t>
      </w:r>
      <w:r w:rsidR="00E60F18" w:rsidRPr="00857CDA">
        <w:rPr>
          <w:lang w:val="ro-RO"/>
        </w:rPr>
        <w:t>5.2</w:t>
      </w:r>
    </w:p>
    <w:p w:rsidR="00196C06" w:rsidRPr="00857CDA" w:rsidRDefault="00E60F18" w:rsidP="009C2E03">
      <w:pPr>
        <w:pStyle w:val="SingleTxtG"/>
        <w:tabs>
          <w:tab w:val="left" w:pos="2268"/>
        </w:tabs>
        <w:rPr>
          <w:iCs/>
          <w:lang w:val="ro-RO"/>
        </w:rPr>
      </w:pPr>
      <w:r w:rsidRPr="00857CDA">
        <w:rPr>
          <w:iCs/>
          <w:lang w:val="ro-RO"/>
        </w:rPr>
        <w:t>5.2.1</w:t>
      </w:r>
      <w:r w:rsidR="00196C06" w:rsidRPr="00857CDA">
        <w:rPr>
          <w:iCs/>
          <w:lang w:val="ro-RO"/>
        </w:rPr>
        <w:tab/>
      </w:r>
      <w:r w:rsidR="00991390" w:rsidRPr="00857CDA">
        <w:rPr>
          <w:iCs/>
          <w:lang w:val="ro-RO"/>
        </w:rPr>
        <w:t>După</w:t>
      </w:r>
      <w:r w:rsidRPr="00857CDA">
        <w:rPr>
          <w:iCs/>
          <w:lang w:val="ro-RO"/>
        </w:rPr>
        <w:t xml:space="preserve"> tit</w:t>
      </w:r>
      <w:r w:rsidR="00103984" w:rsidRPr="00857CDA">
        <w:rPr>
          <w:iCs/>
          <w:lang w:val="ro-RO"/>
        </w:rPr>
        <w:t>lu</w:t>
      </w:r>
      <w:r w:rsidRPr="00857CDA">
        <w:rPr>
          <w:iCs/>
          <w:lang w:val="ro-RO"/>
        </w:rPr>
        <w:t xml:space="preserve">, </w:t>
      </w:r>
      <w:r w:rsidR="00103984" w:rsidRPr="00857CDA">
        <w:rPr>
          <w:iCs/>
          <w:lang w:val="ro-RO"/>
        </w:rPr>
        <w:t xml:space="preserve">se </w:t>
      </w:r>
      <w:r w:rsidRPr="00857CDA">
        <w:rPr>
          <w:iCs/>
          <w:lang w:val="ro-RO"/>
        </w:rPr>
        <w:t>renum</w:t>
      </w:r>
      <w:r w:rsidR="00103984" w:rsidRPr="00857CDA">
        <w:rPr>
          <w:iCs/>
          <w:lang w:val="ro-RO"/>
        </w:rPr>
        <w:t>e</w:t>
      </w:r>
      <w:r w:rsidRPr="00857CDA">
        <w:rPr>
          <w:iCs/>
          <w:lang w:val="ro-RO"/>
        </w:rPr>
        <w:t>rote</w:t>
      </w:r>
      <w:r w:rsidR="00103984" w:rsidRPr="00857CDA">
        <w:rPr>
          <w:iCs/>
          <w:lang w:val="ro-RO"/>
        </w:rPr>
        <w:t>ază</w:t>
      </w:r>
      <w:r w:rsidRPr="00857CDA">
        <w:rPr>
          <w:iCs/>
          <w:lang w:val="ro-RO"/>
        </w:rPr>
        <w:t xml:space="preserve"> Nota exist</w:t>
      </w:r>
      <w:r w:rsidR="00103984" w:rsidRPr="00857CDA">
        <w:rPr>
          <w:iCs/>
          <w:lang w:val="ro-RO"/>
        </w:rPr>
        <w:t>e</w:t>
      </w:r>
      <w:r w:rsidRPr="00857CDA">
        <w:rPr>
          <w:iCs/>
          <w:lang w:val="ro-RO"/>
        </w:rPr>
        <w:t>nt</w:t>
      </w:r>
      <w:r w:rsidR="00103984" w:rsidRPr="00857CDA">
        <w:rPr>
          <w:iCs/>
          <w:lang w:val="ro-RO"/>
        </w:rPr>
        <w:t>ă ca</w:t>
      </w:r>
      <w:r w:rsidRPr="00857CDA">
        <w:rPr>
          <w:iCs/>
          <w:lang w:val="ro-RO"/>
        </w:rPr>
        <w:t xml:space="preserve"> </w:t>
      </w:r>
      <w:r w:rsidR="008B450F" w:rsidRPr="00857CDA">
        <w:rPr>
          <w:iCs/>
          <w:lang w:val="ro-RO"/>
        </w:rPr>
        <w:t xml:space="preserve">fiind </w:t>
      </w:r>
      <w:r w:rsidRPr="00857CDA">
        <w:rPr>
          <w:iCs/>
          <w:lang w:val="ro-RO"/>
        </w:rPr>
        <w:t>Nota 1</w:t>
      </w:r>
      <w:r w:rsidR="004C27AD" w:rsidRPr="00857CDA">
        <w:rPr>
          <w:iCs/>
          <w:lang w:val="ro-RO"/>
        </w:rPr>
        <w:t xml:space="preserve"> și </w:t>
      </w:r>
      <w:r w:rsidR="00902C44" w:rsidRPr="00857CDA">
        <w:rPr>
          <w:iCs/>
          <w:lang w:val="ro-RO"/>
        </w:rPr>
        <w:t>se adaugă</w:t>
      </w:r>
      <w:r w:rsidR="00196C06" w:rsidRPr="00857CDA">
        <w:rPr>
          <w:iCs/>
          <w:lang w:val="ro-RO"/>
        </w:rPr>
        <w:t xml:space="preserve"> </w:t>
      </w:r>
      <w:r w:rsidR="00103984" w:rsidRPr="00857CDA">
        <w:rPr>
          <w:iCs/>
          <w:lang w:val="ro-RO"/>
        </w:rPr>
        <w:t>o</w:t>
      </w:r>
      <w:r w:rsidR="00196C06" w:rsidRPr="00857CDA">
        <w:rPr>
          <w:iCs/>
          <w:lang w:val="ro-RO"/>
        </w:rPr>
        <w:t xml:space="preserve"> nou</w:t>
      </w:r>
      <w:r w:rsidR="00103984" w:rsidRPr="00857CDA">
        <w:rPr>
          <w:iCs/>
          <w:lang w:val="ro-RO"/>
        </w:rPr>
        <w:t>ă</w:t>
      </w:r>
      <w:r w:rsidR="00196C06" w:rsidRPr="00857CDA">
        <w:rPr>
          <w:iCs/>
          <w:lang w:val="ro-RO"/>
        </w:rPr>
        <w:t xml:space="preserve"> </w:t>
      </w:r>
      <w:r w:rsidR="00103984" w:rsidRPr="00857CDA">
        <w:rPr>
          <w:iCs/>
          <w:lang w:val="ro-RO"/>
        </w:rPr>
        <w:t xml:space="preserve">notă - </w:t>
      </w:r>
      <w:r w:rsidR="00196C06" w:rsidRPr="00857CDA">
        <w:rPr>
          <w:iCs/>
          <w:lang w:val="ro-RO"/>
        </w:rPr>
        <w:t xml:space="preserve">Nota </w:t>
      </w:r>
      <w:r w:rsidRPr="00857CDA">
        <w:rPr>
          <w:iCs/>
          <w:lang w:val="ro-RO"/>
        </w:rPr>
        <w:t>2</w:t>
      </w:r>
      <w:r w:rsidR="002B679C" w:rsidRPr="00857CDA">
        <w:rPr>
          <w:iCs/>
          <w:lang w:val="ro-RO"/>
        </w:rPr>
        <w:t>, după cum urmează</w:t>
      </w:r>
      <w:r w:rsidR="00091658" w:rsidRPr="00857CDA">
        <w:rPr>
          <w:lang w:val="ro-RO"/>
        </w:rPr>
        <w:t>:</w:t>
      </w:r>
    </w:p>
    <w:p w:rsidR="00826B2C" w:rsidRPr="00857CDA" w:rsidRDefault="00920FAB" w:rsidP="00E31F6C">
      <w:pPr>
        <w:pStyle w:val="SingleTxtG"/>
        <w:rPr>
          <w:iCs/>
          <w:lang w:val="ro-RO"/>
        </w:rPr>
      </w:pPr>
      <w:r w:rsidRPr="00857CDA">
        <w:rPr>
          <w:lang w:val="ro-RO"/>
        </w:rPr>
        <w:t>„</w:t>
      </w:r>
      <w:r w:rsidR="0079052F" w:rsidRPr="00857CDA">
        <w:rPr>
          <w:b/>
          <w:i/>
          <w:iCs/>
          <w:lang w:val="ro-RO"/>
        </w:rPr>
        <w:t xml:space="preserve">NOTA </w:t>
      </w:r>
      <w:r w:rsidR="00826B2C" w:rsidRPr="00857CDA">
        <w:rPr>
          <w:b/>
          <w:i/>
          <w:iCs/>
          <w:lang w:val="ro-RO"/>
        </w:rPr>
        <w:t>2</w:t>
      </w:r>
      <w:r w:rsidR="00091658" w:rsidRPr="00857CDA">
        <w:rPr>
          <w:lang w:val="ro-RO"/>
        </w:rPr>
        <w:t>:</w:t>
      </w:r>
      <w:r w:rsidR="00826B2C" w:rsidRPr="00857CDA">
        <w:rPr>
          <w:i/>
          <w:iCs/>
          <w:lang w:val="ro-RO"/>
        </w:rPr>
        <w:tab/>
      </w:r>
      <w:r w:rsidR="00103984" w:rsidRPr="00857CDA">
        <w:rPr>
          <w:i/>
          <w:lang w:val="ro-RO"/>
        </w:rPr>
        <w:t>În conformitate cu GHS</w:t>
      </w:r>
      <w:r w:rsidR="00826B2C" w:rsidRPr="00857CDA">
        <w:rPr>
          <w:i/>
          <w:lang w:val="ro-RO"/>
        </w:rPr>
        <w:t>, pe</w:t>
      </w:r>
      <w:r w:rsidR="00103984" w:rsidRPr="00857CDA">
        <w:rPr>
          <w:i/>
          <w:lang w:val="ro-RO"/>
        </w:rPr>
        <w:t xml:space="preserve"> timpul</w:t>
      </w:r>
      <w:r w:rsidR="00826B2C" w:rsidRPr="00857CDA">
        <w:rPr>
          <w:i/>
          <w:lang w:val="ro-RO"/>
        </w:rPr>
        <w:t xml:space="preserve"> transport</w:t>
      </w:r>
      <w:r w:rsidR="00103984" w:rsidRPr="00857CDA">
        <w:rPr>
          <w:i/>
          <w:lang w:val="ro-RO"/>
        </w:rPr>
        <w:t>ului</w:t>
      </w:r>
      <w:r w:rsidR="00826B2C" w:rsidRPr="00857CDA">
        <w:rPr>
          <w:i/>
          <w:lang w:val="ro-RO"/>
        </w:rPr>
        <w:t xml:space="preserve">, </w:t>
      </w:r>
      <w:r w:rsidR="00103984" w:rsidRPr="00857CDA">
        <w:rPr>
          <w:i/>
          <w:lang w:val="ro-RO"/>
        </w:rPr>
        <w:t xml:space="preserve">o pictogramă GHS  </w:t>
      </w:r>
      <w:r w:rsidR="00E31F6C" w:rsidRPr="00857CDA">
        <w:rPr>
          <w:i/>
          <w:lang w:val="ro-RO"/>
        </w:rPr>
        <w:t xml:space="preserve">care </w:t>
      </w:r>
      <w:r w:rsidR="00103984" w:rsidRPr="00857CDA">
        <w:rPr>
          <w:i/>
          <w:lang w:val="ro-RO"/>
        </w:rPr>
        <w:t>nu este prevăzută de ADR nu ar trebui să apară decât ca parte a unei etichete complete GHS și nu independent (a se vedea GHS, 1.4.10.4.4).</w:t>
      </w:r>
      <w:r w:rsidR="00660131" w:rsidRPr="00857CDA">
        <w:rPr>
          <w:lang w:val="ro-RO"/>
        </w:rPr>
        <w:t>”</w:t>
      </w:r>
      <w:r w:rsidR="00826B2C" w:rsidRPr="00857CDA">
        <w:rPr>
          <w:iCs/>
          <w:lang w:val="ro-RO"/>
        </w:rPr>
        <w:t>.</w:t>
      </w:r>
    </w:p>
    <w:p w:rsidR="008521AB" w:rsidRPr="00857CDA" w:rsidRDefault="008521AB" w:rsidP="009C2E03">
      <w:pPr>
        <w:pStyle w:val="SingleTxtG"/>
        <w:tabs>
          <w:tab w:val="left" w:pos="2268"/>
        </w:tabs>
        <w:rPr>
          <w:lang w:val="ro-RO"/>
        </w:rPr>
      </w:pPr>
      <w:r w:rsidRPr="00857CDA">
        <w:rPr>
          <w:lang w:val="ro-RO"/>
        </w:rPr>
        <w:lastRenderedPageBreak/>
        <w:t>5.2.1.3</w:t>
      </w:r>
      <w:r w:rsidRPr="00857CDA">
        <w:rPr>
          <w:lang w:val="ro-RO"/>
        </w:rPr>
        <w:tab/>
      </w:r>
      <w:r w:rsidR="00991390" w:rsidRPr="00857CDA">
        <w:rPr>
          <w:lang w:val="ro-RO"/>
        </w:rPr>
        <w:t>După</w:t>
      </w:r>
      <w:r w:rsidRPr="00857CDA">
        <w:rPr>
          <w:lang w:val="ro-RO"/>
        </w:rPr>
        <w:t xml:space="preserve"> </w:t>
      </w:r>
      <w:r w:rsidR="00920FAB" w:rsidRPr="00857CDA">
        <w:rPr>
          <w:lang w:val="ro-RO"/>
        </w:rPr>
        <w:t>„</w:t>
      </w:r>
      <w:r w:rsidR="00E31F6C" w:rsidRPr="00857CDA">
        <w:rPr>
          <w:lang w:val="ro-RO"/>
        </w:rPr>
        <w:t>Ambalajele de siguranță</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920FAB" w:rsidRPr="00857CDA">
        <w:rPr>
          <w:lang w:val="ro-RO"/>
        </w:rPr>
        <w:t>„</w:t>
      </w:r>
      <w:r w:rsidR="00E31F6C" w:rsidRPr="00857CDA">
        <w:rPr>
          <w:lang w:val="ro-RO"/>
        </w:rPr>
        <w:t xml:space="preserve"> , ambalajele mari de siguranță</w:t>
      </w:r>
      <w:r w:rsidR="00660131" w:rsidRPr="00857CDA">
        <w:rPr>
          <w:lang w:val="ro-RO"/>
        </w:rPr>
        <w:t>”</w:t>
      </w:r>
      <w:r w:rsidRPr="00857CDA">
        <w:rPr>
          <w:lang w:val="ro-RO"/>
        </w:rPr>
        <w:t>.</w:t>
      </w:r>
    </w:p>
    <w:p w:rsidR="00D33FED" w:rsidRPr="00857CDA" w:rsidRDefault="00D33FED" w:rsidP="00196C06">
      <w:pPr>
        <w:spacing w:before="120" w:after="120" w:line="240" w:lineRule="auto"/>
        <w:ind w:left="1134" w:right="1134"/>
        <w:jc w:val="both"/>
        <w:rPr>
          <w:lang w:val="ro-RO"/>
        </w:rPr>
      </w:pPr>
      <w:r w:rsidRPr="00857CDA">
        <w:rPr>
          <w:lang w:val="ro-RO"/>
        </w:rPr>
        <w:t>5.2.1.10.1</w:t>
      </w:r>
      <w:r w:rsidRPr="00857CDA">
        <w:rPr>
          <w:lang w:val="ro-RO"/>
        </w:rPr>
        <w:tab/>
      </w:r>
      <w:r w:rsidR="00E31F6C" w:rsidRPr="00857CDA">
        <w:rPr>
          <w:lang w:val="ro-RO"/>
        </w:rPr>
        <w:t xml:space="preserve">La cel de al </w:t>
      </w:r>
      <w:r w:rsidR="00857CDA" w:rsidRPr="00857CDA">
        <w:rPr>
          <w:lang w:val="ro-RO"/>
        </w:rPr>
        <w:t>doilea</w:t>
      </w:r>
      <w:r w:rsidR="00E31F6C" w:rsidRPr="00857CDA">
        <w:rPr>
          <w:lang w:val="ro-RO"/>
        </w:rPr>
        <w:t xml:space="preserve"> alineat</w:t>
      </w:r>
      <w:r w:rsidRPr="00857CDA">
        <w:rPr>
          <w:lang w:val="ro-RO"/>
        </w:rPr>
        <w:t xml:space="preserve">, </w:t>
      </w:r>
      <w:r w:rsidR="00E31F6C" w:rsidRPr="00857CDA">
        <w:rPr>
          <w:lang w:val="ro-RO"/>
        </w:rPr>
        <w:t>l</w:t>
      </w:r>
      <w:r w:rsidRPr="00857CDA">
        <w:rPr>
          <w:lang w:val="ro-RO"/>
        </w:rPr>
        <w:t xml:space="preserve">a </w:t>
      </w:r>
      <w:r w:rsidR="00E31F6C" w:rsidRPr="00857CDA">
        <w:rPr>
          <w:lang w:val="ro-RO"/>
        </w:rPr>
        <w:t>s</w:t>
      </w:r>
      <w:r w:rsidRPr="00857CDA">
        <w:rPr>
          <w:lang w:val="ro-RO"/>
        </w:rPr>
        <w:t>f</w:t>
      </w:r>
      <w:r w:rsidR="00E31F6C" w:rsidRPr="00857CDA">
        <w:rPr>
          <w:lang w:val="ro-RO"/>
        </w:rPr>
        <w:t>ârșit</w:t>
      </w:r>
      <w:r w:rsidRPr="00857CDA">
        <w:rPr>
          <w:lang w:val="ro-RO"/>
        </w:rPr>
        <w:t xml:space="preserve">, </w:t>
      </w:r>
      <w:r w:rsidR="00E31F6C" w:rsidRPr="00857CDA">
        <w:rPr>
          <w:lang w:val="ro-RO"/>
        </w:rPr>
        <w:t>s</w:t>
      </w:r>
      <w:r w:rsidR="00902C44" w:rsidRPr="00857CDA">
        <w:rPr>
          <w:lang w:val="ro-RO"/>
        </w:rPr>
        <w:t>e șterge</w:t>
      </w:r>
      <w:r w:rsidRPr="00857CDA">
        <w:rPr>
          <w:lang w:val="ro-RO"/>
        </w:rPr>
        <w:t xml:space="preserve"> </w:t>
      </w:r>
      <w:r w:rsidR="00920FAB" w:rsidRPr="00857CDA">
        <w:rPr>
          <w:lang w:val="ro-RO"/>
        </w:rPr>
        <w:t>„</w:t>
      </w:r>
      <w:r w:rsidR="004C27AD" w:rsidRPr="00857CDA">
        <w:rPr>
          <w:lang w:val="ro-RO"/>
        </w:rPr>
        <w:t xml:space="preserve">și </w:t>
      </w:r>
      <w:r w:rsidR="00660131" w:rsidRPr="00857CDA">
        <w:rPr>
          <w:lang w:val="ro-RO"/>
        </w:rPr>
        <w:t>“</w:t>
      </w:r>
      <w:r w:rsidRPr="00857CDA">
        <w:rPr>
          <w:lang w:val="ro-RO"/>
        </w:rPr>
        <w:t xml:space="preserve">. </w:t>
      </w:r>
      <w:r w:rsidR="00E31F6C" w:rsidRPr="00857CDA">
        <w:rPr>
          <w:lang w:val="ro-RO"/>
        </w:rPr>
        <w:t>La cel de al treilea alineat, la sfârșit,</w:t>
      </w:r>
      <w:r w:rsidRPr="00857CDA">
        <w:rPr>
          <w:lang w:val="ro-RO"/>
        </w:rPr>
        <w:t xml:space="preserve"> </w:t>
      </w:r>
      <w:r w:rsidR="00E31F6C" w:rsidRPr="00857CDA">
        <w:rPr>
          <w:lang w:val="ro-RO"/>
        </w:rPr>
        <w:t>s</w:t>
      </w:r>
      <w:r w:rsidR="00902C44" w:rsidRPr="00857CDA">
        <w:rPr>
          <w:lang w:val="ro-RO"/>
        </w:rPr>
        <w:t xml:space="preserve">e </w:t>
      </w:r>
      <w:r w:rsidR="00E31F6C" w:rsidRPr="00857CDA">
        <w:rPr>
          <w:lang w:val="ro-RO"/>
        </w:rPr>
        <w:t>înlocuiește</w:t>
      </w:r>
      <w:r w:rsidRPr="00857CDA">
        <w:rPr>
          <w:lang w:val="ro-RO"/>
        </w:rPr>
        <w:t xml:space="preserve"> virgul</w:t>
      </w:r>
      <w:r w:rsidR="00E31F6C" w:rsidRPr="00857CDA">
        <w:rPr>
          <w:lang w:val="ro-RO"/>
        </w:rPr>
        <w:t>a</w:t>
      </w:r>
      <w:r w:rsidR="00902C44" w:rsidRPr="00857CDA">
        <w:rPr>
          <w:lang w:val="ro-RO"/>
        </w:rPr>
        <w:t xml:space="preserve"> cu </w:t>
      </w:r>
      <w:r w:rsidR="00920FAB" w:rsidRPr="00857CDA">
        <w:rPr>
          <w:lang w:val="ro-RO"/>
        </w:rPr>
        <w:t>„</w:t>
      </w:r>
      <w:r w:rsidR="00D76631" w:rsidRPr="00857CDA">
        <w:rPr>
          <w:lang w:val="ro-RO"/>
        </w:rPr>
        <w:t>;</w:t>
      </w:r>
      <w:r w:rsidR="004C27AD" w:rsidRPr="00857CDA">
        <w:rPr>
          <w:lang w:val="ro-RO"/>
        </w:rPr>
        <w:t xml:space="preserve"> și </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un nou</w:t>
      </w:r>
      <w:r w:rsidR="00920FAB" w:rsidRPr="00857CDA">
        <w:rPr>
          <w:lang w:val="ro-RO"/>
        </w:rPr>
        <w:t xml:space="preserve"> alineat</w:t>
      </w:r>
      <w:r w:rsidR="002B679C" w:rsidRPr="00857CDA">
        <w:rPr>
          <w:lang w:val="ro-RO"/>
        </w:rPr>
        <w:t xml:space="preserve">, </w:t>
      </w:r>
      <w:r w:rsidR="00E31F6C" w:rsidRPr="00857CDA">
        <w:rPr>
          <w:lang w:val="ro-RO"/>
        </w:rPr>
        <w:t xml:space="preserve">al patrulea, </w:t>
      </w:r>
      <w:r w:rsidR="002B679C" w:rsidRPr="00857CDA">
        <w:rPr>
          <w:lang w:val="ro-RO"/>
        </w:rPr>
        <w:t>după cum urmează</w:t>
      </w:r>
      <w:r w:rsidR="00091658" w:rsidRPr="00857CDA">
        <w:rPr>
          <w:lang w:val="ro-RO"/>
        </w:rPr>
        <w:t>:</w:t>
      </w:r>
    </w:p>
    <w:p w:rsidR="00D33FED" w:rsidRPr="00857CDA" w:rsidRDefault="00920FAB" w:rsidP="00CD1A91">
      <w:pPr>
        <w:spacing w:before="120" w:after="120" w:line="240" w:lineRule="auto"/>
        <w:ind w:left="1134" w:right="1134"/>
        <w:jc w:val="both"/>
        <w:rPr>
          <w:lang w:val="ro-RO"/>
        </w:rPr>
      </w:pPr>
      <w:r w:rsidRPr="00857CDA">
        <w:rPr>
          <w:lang w:val="ro-RO"/>
        </w:rPr>
        <w:t>„</w:t>
      </w:r>
      <w:r w:rsidR="00CD1A91" w:rsidRPr="00857CDA">
        <w:rPr>
          <w:lang w:val="ro-RO"/>
        </w:rPr>
        <w:t>-</w:t>
      </w:r>
      <w:r w:rsidR="00E31F6C" w:rsidRPr="00857CDA">
        <w:rPr>
          <w:lang w:val="ro-RO"/>
        </w:rPr>
        <w:t xml:space="preserve"> utilaje</w:t>
      </w:r>
      <w:r w:rsidR="00155C5C" w:rsidRPr="00857CDA">
        <w:rPr>
          <w:lang w:val="ro-RO"/>
        </w:rPr>
        <w:t>le</w:t>
      </w:r>
      <w:r w:rsidR="00E31F6C" w:rsidRPr="00857CDA">
        <w:rPr>
          <w:lang w:val="ro-RO"/>
        </w:rPr>
        <w:t xml:space="preserve"> sau aparate</w:t>
      </w:r>
      <w:r w:rsidR="00155C5C" w:rsidRPr="00857CDA">
        <w:rPr>
          <w:lang w:val="ro-RO"/>
        </w:rPr>
        <w:t>le</w:t>
      </w:r>
      <w:r w:rsidR="00E31F6C" w:rsidRPr="00857CDA">
        <w:rPr>
          <w:lang w:val="ro-RO"/>
        </w:rPr>
        <w:t xml:space="preserve"> care conțin mărfuri periculoase lichide, dacă se prevede că acestea trebuie </w:t>
      </w:r>
      <w:r w:rsidR="00155C5C" w:rsidRPr="00857CDA">
        <w:rPr>
          <w:lang w:val="ro-RO"/>
        </w:rPr>
        <w:t xml:space="preserve">să fie </w:t>
      </w:r>
      <w:r w:rsidR="00E31F6C" w:rsidRPr="00857CDA">
        <w:rPr>
          <w:lang w:val="ro-RO"/>
        </w:rPr>
        <w:t xml:space="preserve">menținute </w:t>
      </w:r>
      <w:r w:rsidR="00BD21A8" w:rsidRPr="00857CDA">
        <w:rPr>
          <w:lang w:val="ro-RO"/>
        </w:rPr>
        <w:t>într-o poziție</w:t>
      </w:r>
      <w:r w:rsidR="00E31F6C" w:rsidRPr="00857CDA">
        <w:rPr>
          <w:lang w:val="ro-RO"/>
        </w:rPr>
        <w:t xml:space="preserve"> specificată atunci când conțin mărfuri periculoase lichide</w:t>
      </w:r>
      <w:r w:rsidR="00511E62" w:rsidRPr="00857CDA">
        <w:rPr>
          <w:iCs/>
          <w:lang w:val="ro-RO"/>
        </w:rPr>
        <w:t xml:space="preserve"> (</w:t>
      </w:r>
      <w:r w:rsidR="00E31F6C" w:rsidRPr="00857CDA">
        <w:rPr>
          <w:iCs/>
          <w:lang w:val="ro-RO"/>
        </w:rPr>
        <w:t>a</w:t>
      </w:r>
      <w:r w:rsidR="0043120D" w:rsidRPr="00857CDA">
        <w:rPr>
          <w:iCs/>
          <w:lang w:val="ro-RO"/>
        </w:rPr>
        <w:t xml:space="preserve"> se vedea</w:t>
      </w:r>
      <w:r w:rsidR="00511E62" w:rsidRPr="00857CDA">
        <w:rPr>
          <w:iCs/>
          <w:lang w:val="ro-RO"/>
        </w:rPr>
        <w:t xml:space="preserve"> </w:t>
      </w:r>
      <w:r w:rsidR="00E31F6C" w:rsidRPr="00857CDA">
        <w:rPr>
          <w:iCs/>
          <w:lang w:val="ro-RO"/>
        </w:rPr>
        <w:t>d</w:t>
      </w:r>
      <w:r w:rsidR="0043120D" w:rsidRPr="00857CDA">
        <w:rPr>
          <w:iCs/>
          <w:lang w:val="ro-RO"/>
        </w:rPr>
        <w:t>ispoziția specială</w:t>
      </w:r>
      <w:r w:rsidR="00511E62" w:rsidRPr="00857CDA">
        <w:rPr>
          <w:iCs/>
          <w:lang w:val="ro-RO"/>
        </w:rPr>
        <w:t xml:space="preserve"> 301 d</w:t>
      </w:r>
      <w:r w:rsidR="00E31F6C" w:rsidRPr="00857CDA">
        <w:rPr>
          <w:iCs/>
          <w:lang w:val="ro-RO"/>
        </w:rPr>
        <w:t>in</w:t>
      </w:r>
      <w:r w:rsidR="00511E62" w:rsidRPr="00857CDA">
        <w:rPr>
          <w:iCs/>
          <w:lang w:val="ro-RO"/>
        </w:rPr>
        <w:t xml:space="preserve"> </w:t>
      </w:r>
      <w:r w:rsidR="00902C44" w:rsidRPr="00857CDA">
        <w:rPr>
          <w:iCs/>
          <w:lang w:val="ro-RO"/>
        </w:rPr>
        <w:t>Capitolul</w:t>
      </w:r>
      <w:r w:rsidR="00511E62" w:rsidRPr="00857CDA">
        <w:rPr>
          <w:iCs/>
          <w:lang w:val="ro-RO"/>
        </w:rPr>
        <w:t xml:space="preserve"> 3.3),</w:t>
      </w:r>
      <w:r w:rsidR="00660131" w:rsidRPr="00857CDA">
        <w:rPr>
          <w:iCs/>
          <w:lang w:val="ro-RO"/>
        </w:rPr>
        <w:t>”</w:t>
      </w:r>
      <w:r w:rsidR="00CD1A91" w:rsidRPr="00857CDA">
        <w:rPr>
          <w:iCs/>
          <w:lang w:val="ro-RO"/>
        </w:rPr>
        <w:t>.</w:t>
      </w:r>
    </w:p>
    <w:p w:rsidR="00E103B7" w:rsidRPr="00857CDA" w:rsidRDefault="00E60F18" w:rsidP="00196C06">
      <w:pPr>
        <w:spacing w:before="120" w:after="120" w:line="240" w:lineRule="auto"/>
        <w:ind w:left="1134" w:right="1134"/>
        <w:jc w:val="both"/>
        <w:rPr>
          <w:lang w:val="ro-RO"/>
        </w:rPr>
      </w:pPr>
      <w:r w:rsidRPr="00857CDA">
        <w:rPr>
          <w:lang w:val="ro-RO"/>
        </w:rPr>
        <w:t>5.2.2.1.12</w:t>
      </w:r>
      <w:r w:rsidR="00E103B7" w:rsidRPr="00857CDA">
        <w:rPr>
          <w:lang w:val="ro-RO"/>
        </w:rPr>
        <w:tab/>
      </w:r>
      <w:r w:rsidR="00902C44" w:rsidRPr="00857CDA">
        <w:rPr>
          <w:lang w:val="ro-RO"/>
        </w:rPr>
        <w:t>Se adaugă</w:t>
      </w:r>
      <w:r w:rsidR="00E103B7" w:rsidRPr="00857CDA">
        <w:rPr>
          <w:lang w:val="ro-RO"/>
        </w:rPr>
        <w:t xml:space="preserve"> </w:t>
      </w:r>
      <w:r w:rsidR="00155C5C" w:rsidRPr="00857CDA">
        <w:rPr>
          <w:lang w:val="ro-RO"/>
        </w:rPr>
        <w:t>o nouă</w:t>
      </w:r>
      <w:r w:rsidR="00E103B7" w:rsidRPr="00857CDA">
        <w:rPr>
          <w:lang w:val="ro-RO"/>
        </w:rPr>
        <w:t xml:space="preserve"> su</w:t>
      </w:r>
      <w:r w:rsidR="00155C5C" w:rsidRPr="00857CDA">
        <w:rPr>
          <w:lang w:val="ro-RO"/>
        </w:rPr>
        <w:t>b</w:t>
      </w:r>
      <w:r w:rsidR="00E103B7" w:rsidRPr="00857CDA">
        <w:rPr>
          <w:lang w:val="ro-RO"/>
        </w:rPr>
        <w:t>-sec</w:t>
      </w:r>
      <w:r w:rsidR="00155C5C" w:rsidRPr="00857CDA">
        <w:rPr>
          <w:lang w:val="ro-RO"/>
        </w:rPr>
        <w:t>țiune, după cum urmează</w:t>
      </w:r>
      <w:r w:rsidR="00091658" w:rsidRPr="00857CDA">
        <w:rPr>
          <w:lang w:val="ro-RO"/>
        </w:rPr>
        <w:t>:</w:t>
      </w:r>
    </w:p>
    <w:p w:rsidR="00E103B7" w:rsidRPr="00857CDA" w:rsidRDefault="00920FAB" w:rsidP="00E103B7">
      <w:pPr>
        <w:pStyle w:val="SingleTxtG"/>
        <w:rPr>
          <w:lang w:val="ro-RO"/>
        </w:rPr>
      </w:pPr>
      <w:r w:rsidRPr="00857CDA">
        <w:rPr>
          <w:lang w:val="ro-RO"/>
        </w:rPr>
        <w:t>„</w:t>
      </w:r>
      <w:r w:rsidR="00E60F18" w:rsidRPr="00857CDA">
        <w:rPr>
          <w:lang w:val="ro-RO"/>
        </w:rPr>
        <w:t>5.2.2.1.12</w:t>
      </w:r>
      <w:r w:rsidR="00E60F18" w:rsidRPr="00857CDA">
        <w:rPr>
          <w:lang w:val="ro-RO"/>
        </w:rPr>
        <w:tab/>
      </w:r>
      <w:r w:rsidR="006A1ED1" w:rsidRPr="00857CDA">
        <w:rPr>
          <w:i/>
          <w:lang w:val="ro-RO"/>
        </w:rPr>
        <w:t>Dispoziții speciale</w:t>
      </w:r>
      <w:r w:rsidR="00E60F18" w:rsidRPr="00857CDA">
        <w:rPr>
          <w:i/>
          <w:lang w:val="ro-RO"/>
        </w:rPr>
        <w:t xml:space="preserve"> </w:t>
      </w:r>
      <w:r w:rsidR="00991390" w:rsidRPr="00857CDA">
        <w:rPr>
          <w:i/>
          <w:lang w:val="ro-RO"/>
        </w:rPr>
        <w:t>pentru</w:t>
      </w:r>
      <w:r w:rsidR="00E60F18" w:rsidRPr="00857CDA">
        <w:rPr>
          <w:i/>
          <w:lang w:val="ro-RO"/>
        </w:rPr>
        <w:t xml:space="preserve"> </w:t>
      </w:r>
      <w:r w:rsidR="00155C5C" w:rsidRPr="00857CDA">
        <w:rPr>
          <w:i/>
          <w:lang w:val="ro-RO"/>
        </w:rPr>
        <w:t>e</w:t>
      </w:r>
      <w:r w:rsidR="00E60F18" w:rsidRPr="00857CDA">
        <w:rPr>
          <w:i/>
          <w:lang w:val="ro-RO"/>
        </w:rPr>
        <w:t>ti</w:t>
      </w:r>
      <w:r w:rsidR="00155C5C" w:rsidRPr="00857CDA">
        <w:rPr>
          <w:i/>
          <w:lang w:val="ro-RO"/>
        </w:rPr>
        <w:t>chetarea</w:t>
      </w:r>
      <w:r w:rsidR="00E103B7" w:rsidRPr="00857CDA">
        <w:rPr>
          <w:i/>
          <w:lang w:val="ro-RO"/>
        </w:rPr>
        <w:t xml:space="preserve"> ob</w:t>
      </w:r>
      <w:r w:rsidR="00155C5C" w:rsidRPr="00857CDA">
        <w:rPr>
          <w:i/>
          <w:lang w:val="ro-RO"/>
        </w:rPr>
        <w:t>i</w:t>
      </w:r>
      <w:r w:rsidR="00E103B7" w:rsidRPr="00857CDA">
        <w:rPr>
          <w:i/>
          <w:lang w:val="ro-RO"/>
        </w:rPr>
        <w:t>e</w:t>
      </w:r>
      <w:r w:rsidR="00155C5C" w:rsidRPr="00857CDA">
        <w:rPr>
          <w:i/>
          <w:lang w:val="ro-RO"/>
        </w:rPr>
        <w:t>c</w:t>
      </w:r>
      <w:r w:rsidR="00E103B7" w:rsidRPr="00857CDA">
        <w:rPr>
          <w:i/>
          <w:lang w:val="ro-RO"/>
        </w:rPr>
        <w:t>t</w:t>
      </w:r>
      <w:r w:rsidR="00155C5C" w:rsidRPr="00857CDA">
        <w:rPr>
          <w:i/>
          <w:lang w:val="ro-RO"/>
        </w:rPr>
        <w:t>elor</w:t>
      </w:r>
      <w:r w:rsidR="00E103B7" w:rsidRPr="00857CDA">
        <w:rPr>
          <w:i/>
          <w:lang w:val="ro-RO"/>
        </w:rPr>
        <w:t xml:space="preserve"> </w:t>
      </w:r>
      <w:r w:rsidR="00155C5C" w:rsidRPr="00857CDA">
        <w:rPr>
          <w:i/>
          <w:lang w:val="ro-RO"/>
        </w:rPr>
        <w:t>care conțin mărfuri periculoase</w:t>
      </w:r>
      <w:r w:rsidR="00E103B7" w:rsidRPr="00857CDA">
        <w:rPr>
          <w:i/>
          <w:lang w:val="ro-RO"/>
        </w:rPr>
        <w:t xml:space="preserve"> transport</w:t>
      </w:r>
      <w:r w:rsidR="00155C5C" w:rsidRPr="00857CDA">
        <w:rPr>
          <w:i/>
          <w:lang w:val="ro-RO"/>
        </w:rPr>
        <w:t>ate</w:t>
      </w:r>
      <w:r w:rsidR="00E103B7" w:rsidRPr="00857CDA">
        <w:rPr>
          <w:i/>
          <w:lang w:val="ro-RO"/>
        </w:rPr>
        <w:t xml:space="preserve"> </w:t>
      </w:r>
      <w:r w:rsidR="00155C5C" w:rsidRPr="00857CDA">
        <w:rPr>
          <w:i/>
          <w:lang w:val="ro-RO"/>
        </w:rPr>
        <w:t>la numerele ONU</w:t>
      </w:r>
      <w:r w:rsidR="00E103B7" w:rsidRPr="00857CDA">
        <w:rPr>
          <w:i/>
          <w:lang w:val="ro-RO"/>
        </w:rPr>
        <w:t xml:space="preserve"> 3537, 3538, 3539, 3540, 3541, 3542, 3543, 3544, 3545, 3546, 3547</w:t>
      </w:r>
      <w:r w:rsidR="004C27AD" w:rsidRPr="00857CDA">
        <w:rPr>
          <w:i/>
          <w:lang w:val="ro-RO"/>
        </w:rPr>
        <w:t xml:space="preserve"> și </w:t>
      </w:r>
      <w:r w:rsidR="00E103B7" w:rsidRPr="00857CDA">
        <w:rPr>
          <w:i/>
          <w:lang w:val="ro-RO"/>
        </w:rPr>
        <w:t>3548</w:t>
      </w:r>
      <w:r w:rsidR="00E103B7" w:rsidRPr="00857CDA">
        <w:rPr>
          <w:lang w:val="ro-RO"/>
        </w:rPr>
        <w:t xml:space="preserve"> </w:t>
      </w:r>
    </w:p>
    <w:p w:rsidR="00155C5C" w:rsidRPr="00857CDA" w:rsidRDefault="00E103B7" w:rsidP="00E103B7">
      <w:pPr>
        <w:pStyle w:val="SingleTxtG"/>
        <w:rPr>
          <w:lang w:val="ro-RO"/>
        </w:rPr>
      </w:pPr>
      <w:r w:rsidRPr="00857CDA">
        <w:rPr>
          <w:lang w:val="ro-RO"/>
        </w:rPr>
        <w:t>5.2.2.1.</w:t>
      </w:r>
      <w:r w:rsidR="00E60F18" w:rsidRPr="00857CDA">
        <w:rPr>
          <w:lang w:val="ro-RO"/>
        </w:rPr>
        <w:t>12</w:t>
      </w:r>
      <w:r w:rsidRPr="00857CDA">
        <w:rPr>
          <w:lang w:val="ro-RO"/>
        </w:rPr>
        <w:t>.1</w:t>
      </w:r>
      <w:r w:rsidRPr="00857CDA">
        <w:rPr>
          <w:lang w:val="ro-RO"/>
        </w:rPr>
        <w:tab/>
      </w:r>
      <w:r w:rsidR="00155C5C" w:rsidRPr="00857CDA">
        <w:rPr>
          <w:lang w:val="ro-RO"/>
        </w:rPr>
        <w:t xml:space="preserve">Coletele care conțin obiecte sau obiecte care sunt transportate neambalate trebuie să fie etichetate în conformitate cu 5.2.2.1, ținând cont de pericolele definite la secțiunea 2.1.5, cu excepția cazului în care obiectele conțin în plus baterii de litiu, caz în care marca pentru </w:t>
      </w:r>
      <w:r w:rsidR="00BD21A8" w:rsidRPr="00857CDA">
        <w:rPr>
          <w:lang w:val="ro-RO"/>
        </w:rPr>
        <w:t>pile</w:t>
      </w:r>
      <w:r w:rsidR="00155C5C" w:rsidRPr="00857CDA">
        <w:rPr>
          <w:lang w:val="ro-RO"/>
        </w:rPr>
        <w:t xml:space="preserve"> cu litiu sau eticheta conformă cu modelul nr. 9A nu este necesară.</w:t>
      </w:r>
    </w:p>
    <w:p w:rsidR="00E103B7" w:rsidRPr="00857CDA" w:rsidRDefault="00E103B7" w:rsidP="00A14ED2">
      <w:pPr>
        <w:pStyle w:val="SingleTxtG"/>
        <w:rPr>
          <w:lang w:val="ro-RO"/>
        </w:rPr>
      </w:pPr>
      <w:r w:rsidRPr="00857CDA">
        <w:rPr>
          <w:lang w:val="ro-RO"/>
        </w:rPr>
        <w:t>5.2.2.1.</w:t>
      </w:r>
      <w:r w:rsidR="00E60F18" w:rsidRPr="00857CDA">
        <w:rPr>
          <w:lang w:val="ro-RO"/>
        </w:rPr>
        <w:t>12</w:t>
      </w:r>
      <w:r w:rsidRPr="00857CDA">
        <w:rPr>
          <w:lang w:val="ro-RO"/>
        </w:rPr>
        <w:t>.2</w:t>
      </w:r>
      <w:r w:rsidRPr="00857CDA">
        <w:rPr>
          <w:lang w:val="ro-RO"/>
        </w:rPr>
        <w:tab/>
      </w:r>
      <w:r w:rsidR="00BD21A8" w:rsidRPr="00857CDA">
        <w:rPr>
          <w:lang w:val="ro-RO"/>
        </w:rPr>
        <w:t xml:space="preserve">În cazul în care se prevede că obiectele care conțin mărfuri periculoase lichide trebuie să fie menținute într-o poziție specifică, marcajul în conformitate cu 5.2.1.10.1, care indică orientarea ce trebuie respectată, se aplică vizibil pe cel puțin două fețe verticale opuse ale coletului sau obiectului neambalat, acolo unde este posibil, </w:t>
      </w:r>
      <w:r w:rsidR="00A14ED2" w:rsidRPr="00857CDA">
        <w:rPr>
          <w:lang w:val="ro-RO"/>
        </w:rPr>
        <w:t xml:space="preserve">cu </w:t>
      </w:r>
      <w:r w:rsidR="00BD21A8" w:rsidRPr="00857CDA">
        <w:rPr>
          <w:lang w:val="ro-RO"/>
        </w:rPr>
        <w:t xml:space="preserve">săgeți </w:t>
      </w:r>
      <w:r w:rsidR="00A14ED2" w:rsidRPr="00857CDA">
        <w:rPr>
          <w:lang w:val="ro-RO"/>
        </w:rPr>
        <w:t>orientate în sus</w:t>
      </w:r>
      <w:r w:rsidRPr="00857CDA">
        <w:rPr>
          <w:lang w:val="ro-RO"/>
        </w:rPr>
        <w:t>.</w:t>
      </w:r>
      <w:r w:rsidR="00660131" w:rsidRPr="00857CDA">
        <w:rPr>
          <w:lang w:val="ro-RO"/>
        </w:rPr>
        <w:t>”</w:t>
      </w:r>
      <w:r w:rsidRPr="00857CDA">
        <w:rPr>
          <w:lang w:val="ro-RO"/>
        </w:rPr>
        <w:t>.</w:t>
      </w:r>
    </w:p>
    <w:p w:rsidR="000B1500" w:rsidRPr="00857CDA" w:rsidRDefault="000B1500" w:rsidP="00A14ED2">
      <w:pPr>
        <w:pStyle w:val="SingleTxtG"/>
        <w:rPr>
          <w:lang w:val="ro-RO"/>
        </w:rPr>
      </w:pPr>
      <w:r w:rsidRPr="00857CDA">
        <w:rPr>
          <w:lang w:val="ro-RO"/>
        </w:rPr>
        <w:t>5.2.2.2.1.1.2</w:t>
      </w:r>
      <w:r w:rsidRPr="00857CDA">
        <w:rPr>
          <w:lang w:val="ro-RO"/>
        </w:rPr>
        <w:tab/>
      </w:r>
      <w:r w:rsidR="00902C44" w:rsidRPr="00857CDA">
        <w:rPr>
          <w:lang w:val="ro-RO"/>
        </w:rPr>
        <w:t>Se modifică</w:t>
      </w:r>
      <w:r w:rsidR="009D7EFD" w:rsidRPr="00857CDA">
        <w:rPr>
          <w:lang w:val="ro-RO"/>
        </w:rPr>
        <w:t xml:space="preserve"> </w:t>
      </w:r>
      <w:r w:rsidR="00A14ED2" w:rsidRPr="00857CDA">
        <w:rPr>
          <w:lang w:val="ro-RO"/>
        </w:rPr>
        <w:t>cea de a doua și cea de a treia frază, după cum urmează</w:t>
      </w:r>
      <w:r w:rsidR="00091658" w:rsidRPr="00857CDA">
        <w:rPr>
          <w:lang w:val="ro-RO"/>
        </w:rPr>
        <w:t>:</w:t>
      </w:r>
      <w:r w:rsidRPr="00857CDA">
        <w:rPr>
          <w:lang w:val="ro-RO"/>
        </w:rPr>
        <w:t xml:space="preserve"> </w:t>
      </w:r>
      <w:r w:rsidR="00920FAB" w:rsidRPr="00857CDA">
        <w:rPr>
          <w:lang w:val="ro-RO"/>
        </w:rPr>
        <w:t>„</w:t>
      </w:r>
      <w:r w:rsidR="00A14ED2" w:rsidRPr="00857CDA">
        <w:rPr>
          <w:lang w:val="ro-RO"/>
        </w:rPr>
        <w:t>Dimensiunile minime trebuie să fie de 100 mm x 100 mm. Linia interioară a diamantului trebuie să fie întotdeauna paralelă cu marginea etichetei şi să se găsească la o distanţă de 5 mm de această margine</w:t>
      </w:r>
      <w:r w:rsidRPr="00857CDA">
        <w:rPr>
          <w:lang w:val="ro-RO"/>
        </w:rPr>
        <w:t>.</w:t>
      </w:r>
      <w:r w:rsidR="00660131" w:rsidRPr="00857CDA">
        <w:rPr>
          <w:lang w:val="ro-RO"/>
        </w:rPr>
        <w:t>”</w:t>
      </w:r>
    </w:p>
    <w:p w:rsidR="00196C06" w:rsidRPr="00857CDA" w:rsidRDefault="00196C06" w:rsidP="00196C06">
      <w:pPr>
        <w:pStyle w:val="SingleTxtG"/>
        <w:spacing w:before="120"/>
        <w:rPr>
          <w:lang w:val="ro-RO"/>
        </w:rPr>
      </w:pPr>
      <w:r w:rsidRPr="00857CDA">
        <w:rPr>
          <w:lang w:val="ro-RO"/>
        </w:rPr>
        <w:t>5.2.2.2.1.1.3</w:t>
      </w:r>
      <w:r w:rsidR="00844C40" w:rsidRPr="00857CDA">
        <w:rPr>
          <w:lang w:val="ro-RO"/>
        </w:rPr>
        <w:tab/>
      </w:r>
      <w:r w:rsidR="00902C44" w:rsidRPr="00857CDA">
        <w:rPr>
          <w:lang w:val="ro-RO"/>
        </w:rPr>
        <w:t xml:space="preserve">În </w:t>
      </w:r>
      <w:r w:rsidR="003634AA" w:rsidRPr="00857CDA">
        <w:rPr>
          <w:lang w:val="ro-RO"/>
        </w:rPr>
        <w:t>prima frază</w:t>
      </w:r>
      <w:r w:rsidRPr="00857CDA">
        <w:rPr>
          <w:lang w:val="ro-RO"/>
        </w:rPr>
        <w:t xml:space="preserve">, </w:t>
      </w:r>
      <w:r w:rsidR="00991390" w:rsidRPr="00857CDA">
        <w:rPr>
          <w:lang w:val="ro-RO"/>
        </w:rPr>
        <w:t>după</w:t>
      </w:r>
      <w:r w:rsidRPr="00857CDA">
        <w:rPr>
          <w:lang w:val="ro-RO"/>
        </w:rPr>
        <w:t xml:space="preserve"> </w:t>
      </w:r>
      <w:r w:rsidR="00920FAB" w:rsidRPr="00857CDA">
        <w:rPr>
          <w:lang w:val="ro-RO"/>
        </w:rPr>
        <w:t>„</w:t>
      </w:r>
      <w:r w:rsidR="00A14ED2" w:rsidRPr="00857CDA">
        <w:rPr>
          <w:lang w:val="ro-RO"/>
        </w:rPr>
        <w:t>pot fi reduse</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920FAB" w:rsidRPr="00857CDA">
        <w:rPr>
          <w:lang w:val="ro-RO"/>
        </w:rPr>
        <w:t>„</w:t>
      </w:r>
      <w:r w:rsidRPr="00857CDA">
        <w:rPr>
          <w:lang w:val="ro-RO"/>
        </w:rPr>
        <w:t>propor</w:t>
      </w:r>
      <w:r w:rsidR="00A14ED2" w:rsidRPr="00857CDA">
        <w:rPr>
          <w:lang w:val="ro-RO"/>
        </w:rPr>
        <w:t>țional</w:t>
      </w:r>
      <w:r w:rsidR="00660131" w:rsidRPr="00857CDA">
        <w:rPr>
          <w:lang w:val="ro-RO"/>
        </w:rPr>
        <w:t>”</w:t>
      </w:r>
      <w:r w:rsidRPr="00857CDA">
        <w:rPr>
          <w:lang w:val="ro-RO"/>
        </w:rPr>
        <w:t xml:space="preserve">. </w:t>
      </w:r>
      <w:r w:rsidR="00902C44" w:rsidRPr="00857CDA">
        <w:rPr>
          <w:lang w:val="ro-RO"/>
        </w:rPr>
        <w:t>Se șterg</w:t>
      </w:r>
      <w:r w:rsidR="000621E9" w:rsidRPr="00857CDA">
        <w:rPr>
          <w:lang w:val="ro-RO"/>
        </w:rPr>
        <w:t>e cea de a doua și a treia frază</w:t>
      </w:r>
      <w:r w:rsidRPr="00857CDA">
        <w:rPr>
          <w:lang w:val="ro-RO"/>
        </w:rPr>
        <w:t xml:space="preserve"> (</w:t>
      </w:r>
      <w:r w:rsidR="00920FAB" w:rsidRPr="00857CDA">
        <w:rPr>
          <w:lang w:val="ro-RO"/>
        </w:rPr>
        <w:t>„</w:t>
      </w:r>
      <w:r w:rsidR="000621E9" w:rsidRPr="00857CDA">
        <w:rPr>
          <w:iCs/>
          <w:lang w:val="ro-RO"/>
        </w:rPr>
        <w:t>Linia interioară a etichetei trebuie să rămână la 5 mm de margine. Grosimea minimă a liniei interioare trebuie să rămână de 2 mm.</w:t>
      </w:r>
      <w:r w:rsidR="00660131" w:rsidRPr="00857CDA">
        <w:rPr>
          <w:lang w:val="ro-RO"/>
        </w:rPr>
        <w:t>”</w:t>
      </w:r>
      <w:r w:rsidRPr="00857CDA">
        <w:rPr>
          <w:lang w:val="ro-RO"/>
        </w:rPr>
        <w:t>).</w:t>
      </w:r>
    </w:p>
    <w:p w:rsidR="000621E9" w:rsidRPr="00857CDA" w:rsidRDefault="00196C06" w:rsidP="00196C06">
      <w:pPr>
        <w:spacing w:before="120" w:after="120" w:line="240" w:lineRule="auto"/>
        <w:ind w:left="1134" w:right="1134"/>
        <w:jc w:val="both"/>
        <w:rPr>
          <w:lang w:val="ro-RO" w:eastAsia="en-GB"/>
        </w:rPr>
      </w:pPr>
      <w:r w:rsidRPr="00857CDA">
        <w:rPr>
          <w:lang w:val="ro-RO"/>
        </w:rPr>
        <w:t xml:space="preserve">5.2.2.2.1.2 </w:t>
      </w:r>
      <w:r w:rsidRPr="00857CDA">
        <w:rPr>
          <w:lang w:val="ro-RO"/>
        </w:rPr>
        <w:tab/>
      </w:r>
      <w:r w:rsidR="00902C44" w:rsidRPr="00857CDA">
        <w:rPr>
          <w:lang w:val="ro-RO"/>
        </w:rPr>
        <w:t xml:space="preserve">În </w:t>
      </w:r>
      <w:r w:rsidR="00857CDA" w:rsidRPr="00857CDA">
        <w:rPr>
          <w:lang w:val="ro-RO"/>
        </w:rPr>
        <w:t>primul</w:t>
      </w:r>
      <w:r w:rsidR="00197D39" w:rsidRPr="00857CDA">
        <w:rPr>
          <w:lang w:val="ro-RO"/>
        </w:rPr>
        <w:t xml:space="preserve"> </w:t>
      </w:r>
      <w:r w:rsidR="00970E20" w:rsidRPr="00857CDA">
        <w:rPr>
          <w:lang w:val="ro-RO"/>
        </w:rPr>
        <w:t>paragraf</w:t>
      </w:r>
      <w:r w:rsidR="00197D39" w:rsidRPr="00857CDA">
        <w:rPr>
          <w:lang w:val="ro-RO"/>
        </w:rPr>
        <w:t xml:space="preserve">, </w:t>
      </w:r>
      <w:r w:rsidR="002B679C" w:rsidRPr="00857CDA">
        <w:rPr>
          <w:lang w:val="ro-RO"/>
        </w:rPr>
        <w:t>se modifică</w:t>
      </w:r>
      <w:r w:rsidR="00197D39" w:rsidRPr="00857CDA">
        <w:rPr>
          <w:lang w:val="ro-RO"/>
        </w:rPr>
        <w:t xml:space="preserve"> tit</w:t>
      </w:r>
      <w:r w:rsidR="000621E9" w:rsidRPr="00857CDA">
        <w:rPr>
          <w:lang w:val="ro-RO"/>
        </w:rPr>
        <w:t>lul</w:t>
      </w:r>
      <w:r w:rsidR="00197D39" w:rsidRPr="00857CDA">
        <w:rPr>
          <w:lang w:val="ro-RO"/>
        </w:rPr>
        <w:t xml:space="preserve"> </w:t>
      </w:r>
      <w:r w:rsidR="006A1ED1" w:rsidRPr="00857CDA">
        <w:rPr>
          <w:lang w:val="ro-RO"/>
        </w:rPr>
        <w:t>standardul</w:t>
      </w:r>
      <w:r w:rsidR="000621E9" w:rsidRPr="00857CDA">
        <w:rPr>
          <w:lang w:val="ro-RO"/>
        </w:rPr>
        <w:t>ui</w:t>
      </w:r>
      <w:r w:rsidR="00197D39" w:rsidRPr="00857CDA">
        <w:rPr>
          <w:lang w:val="ro-RO"/>
        </w:rPr>
        <w:t xml:space="preserve"> </w:t>
      </w:r>
      <w:r w:rsidR="00920FAB" w:rsidRPr="00857CDA">
        <w:rPr>
          <w:lang w:val="ro-RO"/>
        </w:rPr>
        <w:t>„</w:t>
      </w:r>
      <w:r w:rsidR="00197D39" w:rsidRPr="00857CDA">
        <w:rPr>
          <w:lang w:val="ro-RO"/>
        </w:rPr>
        <w:t>ISO 7225:2005</w:t>
      </w:r>
      <w:r w:rsidR="00660131" w:rsidRPr="00857CDA">
        <w:rPr>
          <w:lang w:val="ro-RO"/>
        </w:rPr>
        <w:t>”</w:t>
      </w:r>
      <w:r w:rsidR="000621E9" w:rsidRPr="00857CDA">
        <w:rPr>
          <w:lang w:val="ro-RO"/>
        </w:rPr>
        <w:t>, după cum urmează:</w:t>
      </w:r>
      <w:r w:rsidR="00197D39" w:rsidRPr="00857CDA">
        <w:rPr>
          <w:lang w:val="ro-RO"/>
        </w:rPr>
        <w:t xml:space="preserve"> </w:t>
      </w:r>
      <w:r w:rsidR="00920FAB" w:rsidRPr="00857CDA">
        <w:rPr>
          <w:lang w:val="ro-RO"/>
        </w:rPr>
        <w:t>„„</w:t>
      </w:r>
      <w:r w:rsidR="000621E9" w:rsidRPr="00857CDA">
        <w:rPr>
          <w:i/>
          <w:lang w:val="ro-RO"/>
        </w:rPr>
        <w:t>Butelii pentru gaze - Etichete de avertizare</w:t>
      </w:r>
      <w:r w:rsidR="00660131" w:rsidRPr="00857CDA">
        <w:rPr>
          <w:lang w:val="ro-RO"/>
        </w:rPr>
        <w:t>”</w:t>
      </w:r>
      <w:r w:rsidR="00920FAB" w:rsidRPr="00857CDA">
        <w:rPr>
          <w:lang w:val="ro-RO"/>
        </w:rPr>
        <w:t>”</w:t>
      </w:r>
      <w:r w:rsidR="00216BB6" w:rsidRPr="00857CDA">
        <w:rPr>
          <w:lang w:val="ro-RO"/>
        </w:rPr>
        <w:t xml:space="preserve">. </w:t>
      </w:r>
    </w:p>
    <w:p w:rsidR="00196C06" w:rsidRPr="00857CDA" w:rsidRDefault="00196C06" w:rsidP="00196C06">
      <w:pPr>
        <w:spacing w:before="120" w:after="120" w:line="240" w:lineRule="auto"/>
        <w:ind w:left="1134" w:right="1134"/>
        <w:jc w:val="both"/>
        <w:rPr>
          <w:lang w:val="ro-RO" w:eastAsia="en-GB"/>
        </w:rPr>
      </w:pPr>
      <w:r w:rsidRPr="00857CDA">
        <w:rPr>
          <w:lang w:val="ro-RO" w:eastAsia="en-GB"/>
        </w:rPr>
        <w:t>5.2.2.2.1.5</w:t>
      </w:r>
      <w:r w:rsidRPr="00857CDA">
        <w:rPr>
          <w:lang w:val="ro-RO" w:eastAsia="en-GB"/>
        </w:rPr>
        <w:tab/>
      </w:r>
      <w:r w:rsidR="00902C44" w:rsidRPr="00857CDA">
        <w:rPr>
          <w:lang w:val="ro-RO" w:eastAsia="en-GB"/>
        </w:rPr>
        <w:t>Se modifică</w:t>
      </w:r>
      <w:r w:rsidRPr="00857CDA">
        <w:rPr>
          <w:lang w:val="ro-RO" w:eastAsia="en-GB"/>
        </w:rPr>
        <w:t xml:space="preserve"> </w:t>
      </w:r>
      <w:r w:rsidR="00920FAB" w:rsidRPr="00857CDA">
        <w:rPr>
          <w:lang w:val="ro-RO"/>
        </w:rPr>
        <w:t>„</w:t>
      </w:r>
      <w:r w:rsidR="002B679C" w:rsidRPr="00857CDA">
        <w:rPr>
          <w:lang w:val="ro-RO" w:eastAsia="en-GB"/>
        </w:rPr>
        <w:t>risc</w:t>
      </w:r>
      <w:r w:rsidR="000621E9" w:rsidRPr="00857CDA">
        <w:rPr>
          <w:lang w:val="ro-RO" w:eastAsia="en-GB"/>
        </w:rPr>
        <w:t>ului</w:t>
      </w:r>
      <w:r w:rsidR="00660131" w:rsidRPr="00857CDA">
        <w:rPr>
          <w:lang w:val="ro-RO"/>
        </w:rPr>
        <w:t>”</w:t>
      </w:r>
      <w:r w:rsidR="00902C44" w:rsidRPr="00857CDA">
        <w:rPr>
          <w:lang w:val="ro-RO" w:eastAsia="en-GB"/>
        </w:rPr>
        <w:t xml:space="preserve"> cu </w:t>
      </w:r>
      <w:r w:rsidR="00920FAB" w:rsidRPr="00857CDA">
        <w:rPr>
          <w:lang w:val="ro-RO"/>
        </w:rPr>
        <w:t>„</w:t>
      </w:r>
      <w:r w:rsidR="002B679C" w:rsidRPr="00857CDA">
        <w:rPr>
          <w:lang w:val="ro-RO" w:eastAsia="en-GB"/>
        </w:rPr>
        <w:t>pericol</w:t>
      </w:r>
      <w:r w:rsidR="000621E9" w:rsidRPr="00857CDA">
        <w:rPr>
          <w:lang w:val="ro-RO" w:eastAsia="en-GB"/>
        </w:rPr>
        <w:t>ului</w:t>
      </w:r>
      <w:r w:rsidR="00660131" w:rsidRPr="00857CDA">
        <w:rPr>
          <w:lang w:val="ro-RO"/>
        </w:rPr>
        <w:t>”</w:t>
      </w:r>
      <w:r w:rsidRPr="00857CDA">
        <w:rPr>
          <w:lang w:val="ro-RO" w:eastAsia="en-GB"/>
        </w:rPr>
        <w:t>.</w:t>
      </w:r>
    </w:p>
    <w:p w:rsidR="00196C06" w:rsidRPr="00857CDA" w:rsidRDefault="00196C06" w:rsidP="00196C06">
      <w:pPr>
        <w:pStyle w:val="SingleTxtG"/>
        <w:rPr>
          <w:iCs/>
          <w:lang w:val="ro-RO"/>
        </w:rPr>
      </w:pPr>
      <w:r w:rsidRPr="00857CDA">
        <w:rPr>
          <w:iCs/>
          <w:lang w:val="ro-RO"/>
        </w:rPr>
        <w:t>5.2.2.2.2</w:t>
      </w:r>
      <w:r w:rsidRPr="00857CDA">
        <w:rPr>
          <w:iCs/>
          <w:lang w:val="ro-RO"/>
        </w:rPr>
        <w:tab/>
      </w:r>
      <w:r w:rsidR="002B679C" w:rsidRPr="00857CDA">
        <w:rPr>
          <w:iCs/>
          <w:lang w:val="ro-RO"/>
        </w:rPr>
        <w:t>Se modifică, după cum urmează</w:t>
      </w:r>
      <w:r w:rsidR="00091658" w:rsidRPr="00857CDA">
        <w:rPr>
          <w:lang w:val="ro-RO"/>
        </w:rPr>
        <w:t>:</w:t>
      </w:r>
    </w:p>
    <w:p w:rsidR="00196C06" w:rsidRPr="00857CDA" w:rsidRDefault="00920FAB" w:rsidP="00196C06">
      <w:pPr>
        <w:pStyle w:val="SingleTxtG"/>
        <w:rPr>
          <w:lang w:val="ro-RO"/>
        </w:rPr>
      </w:pPr>
      <w:r w:rsidRPr="00857CDA">
        <w:rPr>
          <w:lang w:val="ro-RO"/>
        </w:rPr>
        <w:t>„</w:t>
      </w:r>
      <w:r w:rsidR="00196C06" w:rsidRPr="00857CDA">
        <w:rPr>
          <w:lang w:val="ro-RO"/>
        </w:rPr>
        <w:t>5.2.2.2.2</w:t>
      </w:r>
      <w:r w:rsidR="00196C06" w:rsidRPr="00857CDA">
        <w:rPr>
          <w:lang w:val="ro-RO"/>
        </w:rPr>
        <w:tab/>
      </w:r>
      <w:r w:rsidR="000621E9" w:rsidRPr="00857CDA">
        <w:rPr>
          <w:i/>
          <w:lang w:val="ro-RO"/>
        </w:rPr>
        <w:t>Modele de etichete</w:t>
      </w:r>
    </w:p>
    <w:p w:rsidR="00196C06" w:rsidRPr="00857CDA" w:rsidRDefault="00196C06" w:rsidP="00196C06">
      <w:pPr>
        <w:pStyle w:val="SingleTxtG"/>
        <w:rPr>
          <w:b/>
          <w:lang w:val="ro-RO"/>
        </w:rPr>
        <w:sectPr w:rsidR="00196C06" w:rsidRPr="00857CDA" w:rsidSect="001662B3">
          <w:headerReference w:type="even" r:id="rId32"/>
          <w:headerReference w:type="default" r:id="rId33"/>
          <w:footerReference w:type="even" r:id="rId34"/>
          <w:footerReference w:type="default" r:id="rId35"/>
          <w:endnotePr>
            <w:numFmt w:val="decimal"/>
          </w:endnotePr>
          <w:pgSz w:w="11907" w:h="16840" w:code="9"/>
          <w:pgMar w:top="1701" w:right="1134" w:bottom="2268" w:left="1134" w:header="1134" w:footer="1701" w:gutter="0"/>
          <w:cols w:space="720"/>
          <w:docGrid w:linePitch="272"/>
        </w:sect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5"/>
        <w:gridCol w:w="1217"/>
        <w:gridCol w:w="2958"/>
        <w:gridCol w:w="911"/>
        <w:gridCol w:w="1765"/>
        <w:gridCol w:w="1522"/>
        <w:gridCol w:w="3482"/>
      </w:tblGrid>
      <w:tr w:rsidR="00CE0086" w:rsidRPr="00857CDA" w:rsidTr="00E871C8">
        <w:trPr>
          <w:cantSplit/>
          <w:trHeight w:val="658"/>
          <w:tblHeader/>
        </w:trPr>
        <w:tc>
          <w:tcPr>
            <w:tcW w:w="0" w:type="auto"/>
            <w:shd w:val="clear" w:color="auto" w:fill="auto"/>
            <w:vAlign w:val="center"/>
          </w:tcPr>
          <w:p w:rsidR="00826B2C" w:rsidRPr="00857CDA" w:rsidRDefault="00A01B70" w:rsidP="00E871C8">
            <w:pPr>
              <w:spacing w:before="80" w:after="80" w:line="160" w:lineRule="exact"/>
              <w:ind w:right="43"/>
              <w:jc w:val="center"/>
              <w:textDirection w:val="tbLrV"/>
              <w:rPr>
                <w:b/>
                <w:sz w:val="18"/>
                <w:szCs w:val="18"/>
                <w:lang w:val="ro-RO"/>
              </w:rPr>
            </w:pPr>
            <w:r w:rsidRPr="00857CDA">
              <w:rPr>
                <w:b/>
                <w:sz w:val="18"/>
                <w:szCs w:val="18"/>
                <w:lang w:val="ro-RO"/>
              </w:rPr>
              <w:lastRenderedPageBreak/>
              <w:t>Nr. de model de etichetă</w:t>
            </w:r>
          </w:p>
        </w:tc>
        <w:tc>
          <w:tcPr>
            <w:tcW w:w="0" w:type="auto"/>
            <w:shd w:val="clear" w:color="auto" w:fill="auto"/>
            <w:vAlign w:val="center"/>
          </w:tcPr>
          <w:p w:rsidR="00826B2C" w:rsidRPr="00857CDA" w:rsidRDefault="00826B2C" w:rsidP="00A01B70">
            <w:pPr>
              <w:spacing w:before="80" w:after="80" w:line="160" w:lineRule="exact"/>
              <w:ind w:right="43"/>
              <w:jc w:val="center"/>
              <w:textDirection w:val="tbLrV"/>
              <w:rPr>
                <w:b/>
                <w:sz w:val="18"/>
                <w:szCs w:val="18"/>
                <w:lang w:val="ro-RO"/>
              </w:rPr>
            </w:pPr>
            <w:r w:rsidRPr="00857CDA">
              <w:rPr>
                <w:b/>
                <w:sz w:val="18"/>
                <w:szCs w:val="18"/>
                <w:lang w:val="ro-RO"/>
              </w:rPr>
              <w:t>Divi</w:t>
            </w:r>
            <w:r w:rsidR="00A01B70" w:rsidRPr="00857CDA">
              <w:rPr>
                <w:b/>
                <w:sz w:val="18"/>
                <w:szCs w:val="18"/>
                <w:lang w:val="ro-RO"/>
              </w:rPr>
              <w:t>ziune sau Categorie</w:t>
            </w:r>
          </w:p>
        </w:tc>
        <w:tc>
          <w:tcPr>
            <w:tcW w:w="0" w:type="auto"/>
            <w:shd w:val="clear" w:color="auto" w:fill="auto"/>
            <w:vAlign w:val="center"/>
          </w:tcPr>
          <w:p w:rsidR="00826B2C" w:rsidRPr="00857CDA" w:rsidRDefault="00826B2C" w:rsidP="00A01B70">
            <w:pPr>
              <w:spacing w:before="80" w:after="80" w:line="160" w:lineRule="exact"/>
              <w:ind w:right="43"/>
              <w:jc w:val="center"/>
              <w:textDirection w:val="tbLrV"/>
              <w:rPr>
                <w:b/>
                <w:sz w:val="18"/>
                <w:szCs w:val="18"/>
                <w:lang w:val="ro-RO"/>
              </w:rPr>
            </w:pPr>
            <w:r w:rsidRPr="00857CDA">
              <w:rPr>
                <w:b/>
                <w:sz w:val="18"/>
                <w:szCs w:val="18"/>
                <w:lang w:val="ro-RO"/>
              </w:rPr>
              <w:t>S</w:t>
            </w:r>
            <w:r w:rsidR="00A01B70" w:rsidRPr="00857CDA">
              <w:rPr>
                <w:b/>
                <w:sz w:val="18"/>
                <w:szCs w:val="18"/>
                <w:lang w:val="ro-RO"/>
              </w:rPr>
              <w:t>em</w:t>
            </w:r>
            <w:r w:rsidRPr="00857CDA">
              <w:rPr>
                <w:b/>
                <w:sz w:val="18"/>
                <w:szCs w:val="18"/>
                <w:lang w:val="ro-RO"/>
              </w:rPr>
              <w:t>n</w:t>
            </w:r>
            <w:r w:rsidR="00A01B70" w:rsidRPr="00857CDA">
              <w:rPr>
                <w:b/>
                <w:sz w:val="18"/>
                <w:szCs w:val="18"/>
                <w:lang w:val="ro-RO"/>
              </w:rPr>
              <w:t>ul</w:t>
            </w:r>
            <w:r w:rsidRPr="00857CDA">
              <w:rPr>
                <w:b/>
                <w:sz w:val="18"/>
                <w:szCs w:val="18"/>
                <w:lang w:val="ro-RO"/>
              </w:rPr>
              <w:t xml:space="preserve"> conven</w:t>
            </w:r>
            <w:r w:rsidR="00A01B70" w:rsidRPr="00857CDA">
              <w:rPr>
                <w:b/>
                <w:sz w:val="18"/>
                <w:szCs w:val="18"/>
                <w:lang w:val="ro-RO"/>
              </w:rPr>
              <w:t>țional</w:t>
            </w:r>
            <w:r w:rsidR="004C27AD" w:rsidRPr="00857CDA">
              <w:rPr>
                <w:b/>
                <w:sz w:val="18"/>
                <w:szCs w:val="18"/>
                <w:lang w:val="ro-RO"/>
              </w:rPr>
              <w:t xml:space="preserve"> și </w:t>
            </w:r>
            <w:r w:rsidRPr="00857CDA">
              <w:rPr>
                <w:b/>
                <w:sz w:val="18"/>
                <w:szCs w:val="18"/>
                <w:lang w:val="ro-RO"/>
              </w:rPr>
              <w:t>cul</w:t>
            </w:r>
            <w:r w:rsidR="00A01B70" w:rsidRPr="00857CDA">
              <w:rPr>
                <w:b/>
                <w:sz w:val="18"/>
                <w:szCs w:val="18"/>
                <w:lang w:val="ro-RO"/>
              </w:rPr>
              <w:t>oa</w:t>
            </w:r>
            <w:r w:rsidRPr="00857CDA">
              <w:rPr>
                <w:b/>
                <w:sz w:val="18"/>
                <w:szCs w:val="18"/>
                <w:lang w:val="ro-RO"/>
              </w:rPr>
              <w:t>r</w:t>
            </w:r>
            <w:r w:rsidR="00A01B70" w:rsidRPr="00857CDA">
              <w:rPr>
                <w:b/>
                <w:sz w:val="18"/>
                <w:szCs w:val="18"/>
                <w:lang w:val="ro-RO"/>
              </w:rPr>
              <w:t>ea</w:t>
            </w:r>
            <w:r w:rsidRPr="00857CDA">
              <w:rPr>
                <w:b/>
                <w:sz w:val="18"/>
                <w:szCs w:val="18"/>
                <w:lang w:val="ro-RO"/>
              </w:rPr>
              <w:t xml:space="preserve"> s</w:t>
            </w:r>
            <w:r w:rsidR="00A01B70" w:rsidRPr="00857CDA">
              <w:rPr>
                <w:b/>
                <w:sz w:val="18"/>
                <w:szCs w:val="18"/>
                <w:lang w:val="ro-RO"/>
              </w:rPr>
              <w:t>emnului</w:t>
            </w:r>
          </w:p>
        </w:tc>
        <w:tc>
          <w:tcPr>
            <w:tcW w:w="0" w:type="auto"/>
            <w:shd w:val="clear" w:color="auto" w:fill="auto"/>
            <w:vAlign w:val="center"/>
          </w:tcPr>
          <w:p w:rsidR="00826B2C" w:rsidRPr="00857CDA" w:rsidRDefault="00826B2C" w:rsidP="00E871C8">
            <w:pPr>
              <w:spacing w:before="80" w:after="80" w:line="160" w:lineRule="exact"/>
              <w:ind w:right="43"/>
              <w:jc w:val="center"/>
              <w:textDirection w:val="tbLrV"/>
              <w:rPr>
                <w:b/>
                <w:sz w:val="18"/>
                <w:szCs w:val="18"/>
                <w:lang w:val="ro-RO"/>
              </w:rPr>
            </w:pPr>
            <w:r w:rsidRPr="00857CDA">
              <w:rPr>
                <w:b/>
                <w:sz w:val="18"/>
                <w:szCs w:val="18"/>
                <w:lang w:val="ro-RO"/>
              </w:rPr>
              <w:t>Fond</w:t>
            </w:r>
          </w:p>
        </w:tc>
        <w:tc>
          <w:tcPr>
            <w:tcW w:w="0" w:type="auto"/>
            <w:shd w:val="clear" w:color="auto" w:fill="auto"/>
            <w:vAlign w:val="center"/>
          </w:tcPr>
          <w:p w:rsidR="00826B2C" w:rsidRPr="00857CDA" w:rsidRDefault="00826B2C" w:rsidP="00A01B70">
            <w:pPr>
              <w:spacing w:before="80" w:after="80" w:line="160" w:lineRule="exact"/>
              <w:ind w:right="43"/>
              <w:jc w:val="center"/>
              <w:textDirection w:val="tbLrV"/>
              <w:rPr>
                <w:b/>
                <w:sz w:val="18"/>
                <w:szCs w:val="18"/>
                <w:lang w:val="ro-RO"/>
              </w:rPr>
            </w:pPr>
            <w:r w:rsidRPr="00857CDA">
              <w:rPr>
                <w:b/>
                <w:sz w:val="18"/>
                <w:szCs w:val="18"/>
                <w:lang w:val="ro-RO"/>
              </w:rPr>
              <w:t>Cifr</w:t>
            </w:r>
            <w:r w:rsidR="00A01B70" w:rsidRPr="00857CDA">
              <w:rPr>
                <w:b/>
                <w:sz w:val="18"/>
                <w:szCs w:val="18"/>
                <w:lang w:val="ro-RO"/>
              </w:rPr>
              <w:t>a</w:t>
            </w:r>
            <w:r w:rsidRPr="00857CDA">
              <w:rPr>
                <w:b/>
                <w:sz w:val="18"/>
                <w:szCs w:val="18"/>
                <w:lang w:val="ro-RO"/>
              </w:rPr>
              <w:t xml:space="preserve"> </w:t>
            </w:r>
            <w:r w:rsidR="00A01B70" w:rsidRPr="00857CDA">
              <w:rPr>
                <w:b/>
                <w:sz w:val="18"/>
                <w:szCs w:val="18"/>
                <w:lang w:val="ro-RO"/>
              </w:rPr>
              <w:t xml:space="preserve">care </w:t>
            </w:r>
            <w:r w:rsidRPr="00857CDA">
              <w:rPr>
                <w:b/>
                <w:sz w:val="18"/>
                <w:szCs w:val="18"/>
                <w:lang w:val="ro-RO"/>
              </w:rPr>
              <w:t>figur</w:t>
            </w:r>
            <w:r w:rsidR="00A01B70" w:rsidRPr="00857CDA">
              <w:rPr>
                <w:b/>
                <w:sz w:val="18"/>
                <w:szCs w:val="18"/>
                <w:lang w:val="ro-RO"/>
              </w:rPr>
              <w:t xml:space="preserve">ează în </w:t>
            </w:r>
            <w:r w:rsidRPr="00857CDA">
              <w:rPr>
                <w:b/>
                <w:sz w:val="18"/>
                <w:szCs w:val="18"/>
                <w:lang w:val="ro-RO"/>
              </w:rPr>
              <w:t>co</w:t>
            </w:r>
            <w:r w:rsidR="00A01B70" w:rsidRPr="00857CDA">
              <w:rPr>
                <w:b/>
                <w:sz w:val="18"/>
                <w:szCs w:val="18"/>
                <w:lang w:val="ro-RO"/>
              </w:rPr>
              <w:t>lțul</w:t>
            </w:r>
            <w:r w:rsidRPr="00857CDA">
              <w:rPr>
                <w:b/>
                <w:sz w:val="18"/>
                <w:szCs w:val="18"/>
                <w:lang w:val="ro-RO"/>
              </w:rPr>
              <w:t xml:space="preserve"> inf</w:t>
            </w:r>
            <w:r w:rsidR="00A01B70" w:rsidRPr="00857CDA">
              <w:rPr>
                <w:b/>
                <w:sz w:val="18"/>
                <w:szCs w:val="18"/>
                <w:lang w:val="ro-RO"/>
              </w:rPr>
              <w:t>e</w:t>
            </w:r>
            <w:r w:rsidRPr="00857CDA">
              <w:rPr>
                <w:b/>
                <w:sz w:val="18"/>
                <w:szCs w:val="18"/>
                <w:lang w:val="ro-RO"/>
              </w:rPr>
              <w:t>ri</w:t>
            </w:r>
            <w:r w:rsidR="00A01B70" w:rsidRPr="00857CDA">
              <w:rPr>
                <w:b/>
                <w:sz w:val="18"/>
                <w:szCs w:val="18"/>
                <w:lang w:val="ro-RO"/>
              </w:rPr>
              <w:t>o</w:t>
            </w:r>
            <w:r w:rsidRPr="00857CDA">
              <w:rPr>
                <w:b/>
                <w:sz w:val="18"/>
                <w:szCs w:val="18"/>
                <w:lang w:val="ro-RO"/>
              </w:rPr>
              <w:t>r (</w:t>
            </w:r>
            <w:r w:rsidR="00E02ACF" w:rsidRPr="00857CDA">
              <w:rPr>
                <w:b/>
                <w:sz w:val="18"/>
                <w:szCs w:val="18"/>
                <w:lang w:val="ro-RO"/>
              </w:rPr>
              <w:t xml:space="preserve">și </w:t>
            </w:r>
            <w:r w:rsidRPr="00857CDA">
              <w:rPr>
                <w:b/>
                <w:sz w:val="18"/>
                <w:szCs w:val="18"/>
                <w:lang w:val="ro-RO"/>
              </w:rPr>
              <w:t>cul</w:t>
            </w:r>
            <w:r w:rsidR="00A01B70" w:rsidRPr="00857CDA">
              <w:rPr>
                <w:b/>
                <w:sz w:val="18"/>
                <w:szCs w:val="18"/>
                <w:lang w:val="ro-RO"/>
              </w:rPr>
              <w:t>oa</w:t>
            </w:r>
            <w:r w:rsidRPr="00857CDA">
              <w:rPr>
                <w:b/>
                <w:sz w:val="18"/>
                <w:szCs w:val="18"/>
                <w:lang w:val="ro-RO"/>
              </w:rPr>
              <w:t>r</w:t>
            </w:r>
            <w:r w:rsidR="00A01B70" w:rsidRPr="00857CDA">
              <w:rPr>
                <w:b/>
                <w:sz w:val="18"/>
                <w:szCs w:val="18"/>
                <w:lang w:val="ro-RO"/>
              </w:rPr>
              <w:t>ea</w:t>
            </w:r>
            <w:r w:rsidRPr="00857CDA">
              <w:rPr>
                <w:b/>
                <w:sz w:val="18"/>
                <w:szCs w:val="18"/>
                <w:lang w:val="ro-RO"/>
              </w:rPr>
              <w:t xml:space="preserve"> cifre</w:t>
            </w:r>
            <w:r w:rsidR="00A01B70" w:rsidRPr="00857CDA">
              <w:rPr>
                <w:b/>
                <w:sz w:val="18"/>
                <w:szCs w:val="18"/>
                <w:lang w:val="ro-RO"/>
              </w:rPr>
              <w:t>i</w:t>
            </w:r>
            <w:r w:rsidRPr="00857CDA">
              <w:rPr>
                <w:b/>
                <w:sz w:val="18"/>
                <w:szCs w:val="18"/>
                <w:lang w:val="ro-RO"/>
              </w:rPr>
              <w:t>)</w:t>
            </w:r>
          </w:p>
        </w:tc>
        <w:tc>
          <w:tcPr>
            <w:tcW w:w="0" w:type="auto"/>
            <w:shd w:val="clear" w:color="auto" w:fill="auto"/>
            <w:vAlign w:val="center"/>
          </w:tcPr>
          <w:p w:rsidR="00826B2C" w:rsidRPr="00857CDA" w:rsidRDefault="00826B2C" w:rsidP="00A01B70">
            <w:pPr>
              <w:spacing w:before="80" w:after="80" w:line="160" w:lineRule="exact"/>
              <w:ind w:right="43"/>
              <w:jc w:val="center"/>
              <w:textDirection w:val="tbLrV"/>
              <w:rPr>
                <w:b/>
                <w:sz w:val="18"/>
                <w:szCs w:val="18"/>
                <w:lang w:val="ro-RO"/>
              </w:rPr>
            </w:pPr>
            <w:r w:rsidRPr="00857CDA">
              <w:rPr>
                <w:b/>
                <w:sz w:val="18"/>
                <w:szCs w:val="18"/>
                <w:lang w:val="ro-RO"/>
              </w:rPr>
              <w:t>Mod</w:t>
            </w:r>
            <w:r w:rsidR="00A01B70" w:rsidRPr="00857CDA">
              <w:rPr>
                <w:b/>
                <w:sz w:val="18"/>
                <w:szCs w:val="18"/>
                <w:lang w:val="ro-RO"/>
              </w:rPr>
              <w:t>e</w:t>
            </w:r>
            <w:r w:rsidRPr="00857CDA">
              <w:rPr>
                <w:b/>
                <w:sz w:val="18"/>
                <w:szCs w:val="18"/>
                <w:lang w:val="ro-RO"/>
              </w:rPr>
              <w:t>l</w:t>
            </w:r>
            <w:r w:rsidR="00A01B70" w:rsidRPr="00857CDA">
              <w:rPr>
                <w:b/>
                <w:sz w:val="18"/>
                <w:szCs w:val="18"/>
                <w:lang w:val="ro-RO"/>
              </w:rPr>
              <w:t>ul</w:t>
            </w:r>
            <w:r w:rsidRPr="00857CDA">
              <w:rPr>
                <w:b/>
                <w:sz w:val="18"/>
                <w:szCs w:val="18"/>
                <w:lang w:val="ro-RO"/>
              </w:rPr>
              <w:t xml:space="preserve"> d</w:t>
            </w:r>
            <w:r w:rsidR="00A01B70" w:rsidRPr="00857CDA">
              <w:rPr>
                <w:b/>
                <w:sz w:val="18"/>
                <w:szCs w:val="18"/>
                <w:lang w:val="ro-RO"/>
              </w:rPr>
              <w:t>e e</w:t>
            </w:r>
            <w:r w:rsidRPr="00857CDA">
              <w:rPr>
                <w:b/>
                <w:sz w:val="18"/>
                <w:szCs w:val="18"/>
                <w:lang w:val="ro-RO"/>
              </w:rPr>
              <w:t>ti</w:t>
            </w:r>
            <w:r w:rsidR="00A01B70" w:rsidRPr="00857CDA">
              <w:rPr>
                <w:b/>
                <w:sz w:val="18"/>
                <w:szCs w:val="18"/>
                <w:lang w:val="ro-RO"/>
              </w:rPr>
              <w:t>chetă</w:t>
            </w:r>
          </w:p>
        </w:tc>
        <w:tc>
          <w:tcPr>
            <w:tcW w:w="3482" w:type="dxa"/>
            <w:shd w:val="clear" w:color="auto" w:fill="auto"/>
            <w:vAlign w:val="center"/>
          </w:tcPr>
          <w:p w:rsidR="00826B2C" w:rsidRPr="00857CDA" w:rsidRDefault="00826B2C" w:rsidP="00A61705">
            <w:pPr>
              <w:spacing w:before="80" w:after="80" w:line="160" w:lineRule="exact"/>
              <w:ind w:right="43"/>
              <w:jc w:val="center"/>
              <w:textDirection w:val="tbLrV"/>
              <w:rPr>
                <w:b/>
                <w:sz w:val="18"/>
                <w:szCs w:val="18"/>
                <w:lang w:val="ro-RO"/>
              </w:rPr>
            </w:pPr>
            <w:r w:rsidRPr="00857CDA">
              <w:rPr>
                <w:b/>
                <w:sz w:val="18"/>
                <w:szCs w:val="18"/>
                <w:lang w:val="ro-RO"/>
              </w:rPr>
              <w:t>Not</w:t>
            </w:r>
            <w:r w:rsidR="00A61705" w:rsidRPr="00857CDA">
              <w:rPr>
                <w:b/>
                <w:sz w:val="18"/>
                <w:szCs w:val="18"/>
                <w:lang w:val="ro-RO"/>
              </w:rPr>
              <w:t>ă</w:t>
            </w:r>
          </w:p>
        </w:tc>
      </w:tr>
      <w:tr w:rsidR="00826B2C" w:rsidRPr="007D305F" w:rsidTr="00E871C8">
        <w:trPr>
          <w:cantSplit/>
          <w:tblHeader/>
        </w:trPr>
        <w:tc>
          <w:tcPr>
            <w:tcW w:w="12824" w:type="dxa"/>
            <w:gridSpan w:val="7"/>
            <w:shd w:val="clear" w:color="auto" w:fill="auto"/>
            <w:vAlign w:val="center"/>
          </w:tcPr>
          <w:p w:rsidR="00826B2C" w:rsidRPr="00857CDA" w:rsidRDefault="002B679C" w:rsidP="008B7F29">
            <w:pPr>
              <w:spacing w:before="40" w:after="80"/>
              <w:jc w:val="center"/>
              <w:textDirection w:val="tbLrV"/>
              <w:rPr>
                <w:b/>
                <w:sz w:val="18"/>
                <w:szCs w:val="18"/>
                <w:lang w:val="ro-RO"/>
              </w:rPr>
            </w:pPr>
            <w:r w:rsidRPr="00857CDA">
              <w:rPr>
                <w:b/>
                <w:sz w:val="18"/>
                <w:szCs w:val="18"/>
                <w:lang w:val="ro-RO"/>
              </w:rPr>
              <w:t>Pericol</w:t>
            </w:r>
            <w:r w:rsidR="00826B2C" w:rsidRPr="00857CDA">
              <w:rPr>
                <w:b/>
                <w:sz w:val="18"/>
                <w:szCs w:val="18"/>
                <w:lang w:val="ro-RO"/>
              </w:rPr>
              <w:t xml:space="preserve"> d</w:t>
            </w:r>
            <w:r w:rsidR="008B7F29"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1: </w:t>
            </w:r>
            <w:r w:rsidR="00A01B70" w:rsidRPr="00857CDA">
              <w:rPr>
                <w:b/>
                <w:sz w:val="18"/>
                <w:szCs w:val="18"/>
                <w:lang w:val="ro-RO"/>
              </w:rPr>
              <w:t>Substanțe și obiecte explozive</w:t>
            </w:r>
          </w:p>
        </w:tc>
      </w:tr>
      <w:tr w:rsidR="00CE0086" w:rsidRPr="007D305F" w:rsidTr="00E871C8">
        <w:trPr>
          <w:cantSplit/>
        </w:trPr>
        <w:tc>
          <w:tcPr>
            <w:tcW w:w="0" w:type="auto"/>
            <w:shd w:val="clear" w:color="auto" w:fill="auto"/>
          </w:tcPr>
          <w:p w:rsidR="00826B2C" w:rsidRPr="00857CDA" w:rsidRDefault="00826B2C" w:rsidP="00E871C8">
            <w:pPr>
              <w:spacing w:before="40" w:after="80" w:line="220" w:lineRule="exact"/>
              <w:jc w:val="center"/>
              <w:textDirection w:val="tbLrV"/>
              <w:rPr>
                <w:sz w:val="18"/>
                <w:szCs w:val="18"/>
                <w:lang w:val="ro-RO"/>
              </w:rPr>
            </w:pPr>
            <w:r w:rsidRPr="00857CDA">
              <w:rPr>
                <w:sz w:val="18"/>
                <w:szCs w:val="18"/>
                <w:lang w:val="ro-RO"/>
              </w:rPr>
              <w:t>1</w:t>
            </w:r>
          </w:p>
        </w:tc>
        <w:tc>
          <w:tcPr>
            <w:tcW w:w="0" w:type="auto"/>
            <w:shd w:val="clear" w:color="auto" w:fill="auto"/>
          </w:tcPr>
          <w:p w:rsidR="00826B2C" w:rsidRPr="00857CDA" w:rsidRDefault="007F0D67" w:rsidP="007F0D67">
            <w:pPr>
              <w:spacing w:before="40" w:after="80" w:line="220" w:lineRule="exact"/>
              <w:jc w:val="center"/>
              <w:textDirection w:val="tbLrV"/>
              <w:rPr>
                <w:sz w:val="18"/>
                <w:szCs w:val="18"/>
                <w:lang w:val="ro-RO"/>
              </w:rPr>
            </w:pPr>
            <w:r w:rsidRPr="00857CDA">
              <w:rPr>
                <w:sz w:val="18"/>
                <w:szCs w:val="18"/>
                <w:lang w:val="ro-RO"/>
              </w:rPr>
              <w:t>Diviziunile</w:t>
            </w:r>
            <w:r w:rsidR="00826B2C" w:rsidRPr="00857CDA">
              <w:rPr>
                <w:sz w:val="18"/>
                <w:szCs w:val="18"/>
                <w:lang w:val="ro-RO"/>
              </w:rPr>
              <w:t xml:space="preserve"> 1.1, 1.2</w:t>
            </w:r>
            <w:r w:rsidR="004C27AD" w:rsidRPr="00857CDA">
              <w:rPr>
                <w:sz w:val="18"/>
                <w:szCs w:val="18"/>
                <w:lang w:val="ro-RO"/>
              </w:rPr>
              <w:t xml:space="preserve"> și </w:t>
            </w:r>
            <w:r w:rsidR="00826B2C" w:rsidRPr="00857CDA">
              <w:rPr>
                <w:sz w:val="18"/>
                <w:szCs w:val="18"/>
                <w:lang w:val="ro-RO"/>
              </w:rPr>
              <w:t>1.3</w:t>
            </w:r>
          </w:p>
        </w:tc>
        <w:tc>
          <w:tcPr>
            <w:tcW w:w="0" w:type="auto"/>
            <w:shd w:val="clear" w:color="auto" w:fill="auto"/>
          </w:tcPr>
          <w:p w:rsidR="00826B2C" w:rsidRPr="00857CDA" w:rsidRDefault="00AD44C0" w:rsidP="007F0D67">
            <w:pPr>
              <w:spacing w:before="40" w:after="80" w:line="220" w:lineRule="exact"/>
              <w:jc w:val="center"/>
              <w:textDirection w:val="tbLrV"/>
              <w:rPr>
                <w:sz w:val="18"/>
                <w:szCs w:val="18"/>
                <w:lang w:val="ro-RO"/>
              </w:rPr>
            </w:pPr>
            <w:r w:rsidRPr="00857CDA">
              <w:rPr>
                <w:sz w:val="18"/>
                <w:szCs w:val="18"/>
                <w:lang w:val="ro-RO"/>
              </w:rPr>
              <w:t xml:space="preserve">Bombă </w:t>
            </w:r>
            <w:r w:rsidR="007F0D67" w:rsidRPr="00857CDA">
              <w:rPr>
                <w:sz w:val="18"/>
                <w:szCs w:val="18"/>
                <w:lang w:val="ro-RO"/>
              </w:rPr>
              <w:t>care explodează</w:t>
            </w:r>
            <w:r w:rsidR="00826B2C" w:rsidRPr="00857CDA">
              <w:rPr>
                <w:sz w:val="18"/>
                <w:szCs w:val="18"/>
                <w:lang w:val="ro-RO"/>
              </w:rPr>
              <w:t xml:space="preserve">: </w:t>
            </w:r>
            <w:r w:rsidR="0021676A" w:rsidRPr="00857CDA">
              <w:rPr>
                <w:sz w:val="18"/>
                <w:szCs w:val="18"/>
                <w:lang w:val="ro-RO"/>
              </w:rPr>
              <w:t>ne</w:t>
            </w:r>
            <w:r w:rsidR="007F0D67" w:rsidRPr="00857CDA">
              <w:rPr>
                <w:sz w:val="18"/>
                <w:szCs w:val="18"/>
                <w:lang w:val="ro-RO"/>
              </w:rPr>
              <w:t>gr</w:t>
            </w:r>
            <w:r w:rsidR="0021676A" w:rsidRPr="00857CDA">
              <w:rPr>
                <w:sz w:val="18"/>
                <w:szCs w:val="18"/>
                <w:lang w:val="ro-RO"/>
              </w:rPr>
              <w:t>u</w:t>
            </w:r>
          </w:p>
        </w:tc>
        <w:tc>
          <w:tcPr>
            <w:tcW w:w="0" w:type="auto"/>
            <w:shd w:val="clear" w:color="auto" w:fill="auto"/>
          </w:tcPr>
          <w:p w:rsidR="00826B2C" w:rsidRPr="00857CDA" w:rsidRDefault="007F0D67" w:rsidP="00E871C8">
            <w:pPr>
              <w:spacing w:before="40" w:after="80" w:line="220" w:lineRule="exact"/>
              <w:jc w:val="center"/>
              <w:textDirection w:val="tbLrV"/>
              <w:rPr>
                <w:sz w:val="18"/>
                <w:szCs w:val="18"/>
                <w:lang w:val="ro-RO"/>
              </w:rPr>
            </w:pPr>
            <w:r w:rsidRPr="00857CDA">
              <w:rPr>
                <w:sz w:val="18"/>
                <w:szCs w:val="18"/>
                <w:lang w:val="ro-RO"/>
              </w:rPr>
              <w:t>Portocaliu</w:t>
            </w:r>
          </w:p>
        </w:tc>
        <w:tc>
          <w:tcPr>
            <w:tcW w:w="0" w:type="auto"/>
            <w:shd w:val="clear" w:color="auto" w:fill="auto"/>
          </w:tcPr>
          <w:p w:rsidR="00826B2C" w:rsidRPr="00857CDA" w:rsidRDefault="00826B2C" w:rsidP="0021676A">
            <w:pPr>
              <w:spacing w:before="40" w:after="80" w:line="220" w:lineRule="exact"/>
              <w:jc w:val="center"/>
              <w:textDirection w:val="tbLrV"/>
              <w:rPr>
                <w:sz w:val="18"/>
                <w:szCs w:val="18"/>
                <w:lang w:val="ro-RO" w:eastAsia="ru-RU"/>
              </w:rPr>
            </w:pPr>
            <w:r w:rsidRPr="00857CDA">
              <w:rPr>
                <w:sz w:val="18"/>
                <w:szCs w:val="18"/>
                <w:lang w:val="ro-RO"/>
              </w:rPr>
              <w:t xml:space="preserve">1 </w:t>
            </w:r>
            <w:r w:rsidRPr="00857CDA">
              <w:rPr>
                <w:sz w:val="18"/>
                <w:szCs w:val="18"/>
                <w:lang w:val="ro-RO"/>
              </w:rPr>
              <w:br/>
              <w:t>(</w:t>
            </w:r>
            <w:r w:rsidR="007F0D67" w:rsidRPr="00857CDA">
              <w:rPr>
                <w:sz w:val="18"/>
                <w:szCs w:val="18"/>
                <w:lang w:val="ro-RO"/>
              </w:rPr>
              <w:t>negr</w:t>
            </w:r>
            <w:r w:rsidR="0021676A"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826B2C" w:rsidP="00E871C8">
            <w:pPr>
              <w:spacing w:before="40" w:after="80" w:line="240" w:lineRule="auto"/>
              <w:ind w:right="115"/>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25"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826B2C" w:rsidRPr="00857CDA" w:rsidRDefault="00826B2C" w:rsidP="00AD44C0">
            <w:pPr>
              <w:tabs>
                <w:tab w:val="left" w:pos="368"/>
              </w:tabs>
              <w:spacing w:before="40" w:after="80" w:line="220" w:lineRule="exact"/>
              <w:ind w:left="336" w:hanging="336"/>
              <w:textDirection w:val="tbLrV"/>
              <w:rPr>
                <w:sz w:val="18"/>
                <w:szCs w:val="18"/>
                <w:lang w:val="ro-RO"/>
              </w:rPr>
            </w:pPr>
            <w:r w:rsidRPr="00857CDA">
              <w:rPr>
                <w:sz w:val="18"/>
                <w:szCs w:val="18"/>
                <w:vertAlign w:val="superscript"/>
                <w:lang w:val="ro-RO"/>
              </w:rPr>
              <w:sym w:font="Wingdings 2" w:char="F0D6"/>
            </w:r>
            <w:r w:rsidRPr="00857CDA">
              <w:rPr>
                <w:sz w:val="18"/>
                <w:szCs w:val="18"/>
                <w:vertAlign w:val="superscript"/>
                <w:lang w:val="ro-RO"/>
              </w:rPr>
              <w:sym w:font="Wingdings 2" w:char="F0D6"/>
            </w:r>
            <w:r w:rsidRPr="00857CDA">
              <w:rPr>
                <w:sz w:val="18"/>
                <w:szCs w:val="18"/>
                <w:lang w:val="ro-RO"/>
              </w:rPr>
              <w:t xml:space="preserve"> </w:t>
            </w:r>
            <w:r w:rsidRPr="00857CDA">
              <w:rPr>
                <w:lang w:val="ro-RO"/>
              </w:rPr>
              <w:tab/>
            </w:r>
            <w:r w:rsidR="00AD44C0" w:rsidRPr="00857CDA">
              <w:rPr>
                <w:lang w:val="ro-RO"/>
              </w:rPr>
              <w:t>Loc pentru</w:t>
            </w:r>
            <w:r w:rsidR="00AD44C0" w:rsidRPr="00857CDA">
              <w:rPr>
                <w:b/>
                <w:lang w:val="ro-RO"/>
              </w:rPr>
              <w:t xml:space="preserve"> </w:t>
            </w:r>
            <w:r w:rsidR="00AD44C0" w:rsidRPr="00857CDA">
              <w:rPr>
                <w:lang w:val="ro-RO"/>
              </w:rPr>
              <w:t>indicarea diviziunii – se va lăsa în alb dacă proprietățile explozive constituie pericol secundar</w:t>
            </w:r>
          </w:p>
          <w:p w:rsidR="00826B2C" w:rsidRPr="00857CDA" w:rsidRDefault="00826B2C" w:rsidP="00AD44C0">
            <w:pPr>
              <w:tabs>
                <w:tab w:val="left" w:pos="368"/>
              </w:tabs>
              <w:spacing w:before="40" w:after="80" w:line="220" w:lineRule="exact"/>
              <w:ind w:left="336" w:hanging="336"/>
              <w:textDirection w:val="tbLrV"/>
              <w:rPr>
                <w:sz w:val="18"/>
                <w:szCs w:val="18"/>
                <w:lang w:val="ro-RO"/>
              </w:rPr>
            </w:pPr>
            <w:r w:rsidRPr="00857CDA">
              <w:rPr>
                <w:sz w:val="18"/>
                <w:szCs w:val="18"/>
                <w:vertAlign w:val="superscript"/>
                <w:lang w:val="ro-RO"/>
              </w:rPr>
              <w:sym w:font="Wingdings 2" w:char="F0D6"/>
            </w:r>
            <w:r w:rsidRPr="00857CDA">
              <w:rPr>
                <w:lang w:val="ro-RO"/>
              </w:rPr>
              <w:tab/>
            </w:r>
            <w:r w:rsidR="00AD44C0" w:rsidRPr="00857CDA">
              <w:rPr>
                <w:lang w:val="ro-RO"/>
              </w:rPr>
              <w:t>Loc pentru</w:t>
            </w:r>
            <w:r w:rsidR="00AD44C0" w:rsidRPr="00857CDA">
              <w:rPr>
                <w:b/>
                <w:lang w:val="ro-RO"/>
              </w:rPr>
              <w:t xml:space="preserve"> </w:t>
            </w:r>
            <w:r w:rsidR="00AD44C0" w:rsidRPr="00857CDA">
              <w:rPr>
                <w:lang w:val="ro-RO"/>
              </w:rPr>
              <w:t>indicarea grupei de compatibilitate – se va lăsa în alb dacă proprietățile explozive constituie pericol secundar</w:t>
            </w:r>
          </w:p>
          <w:p w:rsidR="00826B2C" w:rsidRPr="00857CDA" w:rsidRDefault="00826B2C" w:rsidP="00E871C8">
            <w:pPr>
              <w:spacing w:before="40" w:after="80" w:line="220" w:lineRule="exact"/>
              <w:ind w:hanging="326"/>
              <w:rPr>
                <w:sz w:val="18"/>
                <w:szCs w:val="18"/>
                <w:lang w:val="ro-RO" w:eastAsia="ru-RU"/>
              </w:rPr>
            </w:pPr>
          </w:p>
        </w:tc>
      </w:tr>
      <w:tr w:rsidR="00CE0086" w:rsidRPr="007D305F" w:rsidTr="00E871C8">
        <w:trPr>
          <w:cantSplit/>
        </w:trPr>
        <w:tc>
          <w:tcPr>
            <w:tcW w:w="0" w:type="auto"/>
            <w:shd w:val="clear" w:color="auto" w:fill="auto"/>
          </w:tcPr>
          <w:p w:rsidR="00826B2C" w:rsidRPr="00857CDA" w:rsidRDefault="00826B2C" w:rsidP="00E871C8">
            <w:pPr>
              <w:spacing w:before="40" w:after="80" w:line="220" w:lineRule="exact"/>
              <w:jc w:val="center"/>
              <w:textDirection w:val="tbLrV"/>
              <w:rPr>
                <w:sz w:val="18"/>
                <w:szCs w:val="18"/>
                <w:lang w:val="ro-RO"/>
              </w:rPr>
            </w:pPr>
            <w:r w:rsidRPr="00857CDA">
              <w:rPr>
                <w:sz w:val="18"/>
                <w:szCs w:val="18"/>
                <w:lang w:val="ro-RO"/>
              </w:rPr>
              <w:t>1.4</w:t>
            </w:r>
          </w:p>
        </w:tc>
        <w:tc>
          <w:tcPr>
            <w:tcW w:w="0" w:type="auto"/>
            <w:shd w:val="clear" w:color="auto" w:fill="auto"/>
          </w:tcPr>
          <w:p w:rsidR="00826B2C" w:rsidRPr="00857CDA" w:rsidRDefault="007F0D67" w:rsidP="0021676A">
            <w:pPr>
              <w:spacing w:before="40" w:after="80" w:line="220" w:lineRule="exact"/>
              <w:jc w:val="center"/>
              <w:textDirection w:val="tbLrV"/>
              <w:rPr>
                <w:sz w:val="18"/>
                <w:szCs w:val="18"/>
                <w:lang w:val="ro-RO"/>
              </w:rPr>
            </w:pPr>
            <w:r w:rsidRPr="00857CDA">
              <w:rPr>
                <w:sz w:val="18"/>
                <w:szCs w:val="18"/>
                <w:lang w:val="ro-RO"/>
              </w:rPr>
              <w:t>Diviziunea</w:t>
            </w:r>
            <w:r w:rsidR="00826B2C" w:rsidRPr="00857CDA">
              <w:rPr>
                <w:sz w:val="18"/>
                <w:szCs w:val="18"/>
                <w:lang w:val="ro-RO"/>
              </w:rPr>
              <w:t xml:space="preserve"> </w:t>
            </w:r>
            <w:r w:rsidR="0021676A" w:rsidRPr="00857CDA">
              <w:rPr>
                <w:sz w:val="18"/>
                <w:szCs w:val="18"/>
                <w:lang w:val="ro-RO"/>
              </w:rPr>
              <w:t xml:space="preserve">   </w:t>
            </w:r>
            <w:r w:rsidR="00826B2C" w:rsidRPr="00857CDA">
              <w:rPr>
                <w:sz w:val="18"/>
                <w:szCs w:val="18"/>
                <w:lang w:val="ro-RO"/>
              </w:rPr>
              <w:t>1.4</w:t>
            </w:r>
          </w:p>
        </w:tc>
        <w:tc>
          <w:tcPr>
            <w:tcW w:w="0" w:type="auto"/>
            <w:shd w:val="clear" w:color="auto" w:fill="auto"/>
          </w:tcPr>
          <w:p w:rsidR="00826B2C" w:rsidRPr="00857CDA" w:rsidRDefault="00826B2C" w:rsidP="00E871C8">
            <w:pPr>
              <w:spacing w:before="40" w:after="80" w:line="220" w:lineRule="exact"/>
              <w:jc w:val="center"/>
              <w:textDirection w:val="tbLrV"/>
              <w:rPr>
                <w:sz w:val="18"/>
                <w:szCs w:val="18"/>
                <w:lang w:val="ro-RO"/>
              </w:rPr>
            </w:pPr>
            <w:r w:rsidRPr="00857CDA">
              <w:rPr>
                <w:sz w:val="18"/>
                <w:szCs w:val="18"/>
                <w:lang w:val="ro-RO"/>
              </w:rPr>
              <w:t xml:space="preserve">1.4: </w:t>
            </w:r>
            <w:r w:rsidR="007F0D67" w:rsidRPr="00857CDA">
              <w:rPr>
                <w:sz w:val="18"/>
                <w:szCs w:val="18"/>
                <w:lang w:val="ro-RO"/>
              </w:rPr>
              <w:t>negr</w:t>
            </w:r>
            <w:r w:rsidR="0021676A" w:rsidRPr="00857CDA">
              <w:rPr>
                <w:sz w:val="18"/>
                <w:szCs w:val="18"/>
                <w:lang w:val="ro-RO"/>
              </w:rPr>
              <w:t>u</w:t>
            </w:r>
          </w:p>
          <w:p w:rsidR="00826B2C" w:rsidRPr="00857CDA" w:rsidRDefault="00CE0086" w:rsidP="00CE0086">
            <w:pPr>
              <w:spacing w:before="40" w:after="80" w:line="220" w:lineRule="exact"/>
              <w:jc w:val="center"/>
              <w:textDirection w:val="tbLrV"/>
              <w:rPr>
                <w:sz w:val="18"/>
                <w:szCs w:val="18"/>
                <w:lang w:val="ro-RO"/>
              </w:rPr>
            </w:pPr>
            <w:r w:rsidRPr="00857CDA">
              <w:rPr>
                <w:sz w:val="18"/>
                <w:szCs w:val="18"/>
                <w:lang w:val="ro-RO"/>
              </w:rPr>
              <w:t>Cifrele trebuie să aibă 30 mm în înălțime și aproximativ 5 mm grosime (pentru o etichetă de 100 mm x 100 mm)</w:t>
            </w:r>
          </w:p>
        </w:tc>
        <w:tc>
          <w:tcPr>
            <w:tcW w:w="0" w:type="auto"/>
            <w:shd w:val="clear" w:color="auto" w:fill="auto"/>
          </w:tcPr>
          <w:p w:rsidR="00826B2C" w:rsidRPr="00857CDA" w:rsidRDefault="007F0D67" w:rsidP="00E871C8">
            <w:pPr>
              <w:spacing w:before="40" w:after="80" w:line="220" w:lineRule="exact"/>
              <w:jc w:val="center"/>
              <w:textDirection w:val="tbLrV"/>
              <w:rPr>
                <w:sz w:val="18"/>
                <w:szCs w:val="18"/>
                <w:lang w:val="ro-RO"/>
              </w:rPr>
            </w:pPr>
            <w:r w:rsidRPr="00857CDA">
              <w:rPr>
                <w:sz w:val="18"/>
                <w:szCs w:val="18"/>
                <w:lang w:val="ro-RO"/>
              </w:rPr>
              <w:t>Portocaliu</w:t>
            </w:r>
          </w:p>
        </w:tc>
        <w:tc>
          <w:tcPr>
            <w:tcW w:w="0" w:type="auto"/>
            <w:shd w:val="clear" w:color="auto" w:fill="auto"/>
          </w:tcPr>
          <w:p w:rsidR="00826B2C" w:rsidRPr="00857CDA" w:rsidRDefault="00826B2C" w:rsidP="0021676A">
            <w:pPr>
              <w:spacing w:before="40" w:after="80" w:line="220" w:lineRule="exact"/>
              <w:jc w:val="center"/>
              <w:textDirection w:val="tbLrV"/>
              <w:rPr>
                <w:sz w:val="18"/>
                <w:szCs w:val="18"/>
                <w:lang w:val="ro-RO" w:eastAsia="ru-RU"/>
              </w:rPr>
            </w:pPr>
            <w:r w:rsidRPr="00857CDA">
              <w:rPr>
                <w:sz w:val="18"/>
                <w:szCs w:val="18"/>
                <w:lang w:val="ro-RO"/>
              </w:rPr>
              <w:t xml:space="preserve">1 </w:t>
            </w:r>
            <w:r w:rsidRPr="00857CDA">
              <w:rPr>
                <w:sz w:val="18"/>
                <w:szCs w:val="18"/>
                <w:lang w:val="ro-RO"/>
              </w:rPr>
              <w:br/>
              <w:t>(</w:t>
            </w:r>
            <w:r w:rsidR="00857CDA" w:rsidRPr="00857CDA">
              <w:rPr>
                <w:sz w:val="18"/>
                <w:szCs w:val="18"/>
                <w:lang w:val="ro-RO"/>
              </w:rPr>
              <w:t>negru</w:t>
            </w:r>
            <w:r w:rsidRPr="00857CDA">
              <w:rPr>
                <w:sz w:val="18"/>
                <w:szCs w:val="18"/>
                <w:lang w:val="ro-RO"/>
              </w:rPr>
              <w:t>)</w:t>
            </w:r>
          </w:p>
        </w:tc>
        <w:tc>
          <w:tcPr>
            <w:tcW w:w="0" w:type="auto"/>
            <w:shd w:val="clear" w:color="auto" w:fill="auto"/>
            <w:vAlign w:val="center"/>
          </w:tcPr>
          <w:p w:rsidR="00826B2C" w:rsidRPr="00857CDA" w:rsidRDefault="00826B2C" w:rsidP="00E871C8">
            <w:pPr>
              <w:spacing w:before="40" w:after="80" w:line="240" w:lineRule="auto"/>
              <w:ind w:right="115"/>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26" name="Picture 2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826B2C" w:rsidRPr="00857CDA" w:rsidRDefault="00826B2C" w:rsidP="00AD44C0">
            <w:pPr>
              <w:tabs>
                <w:tab w:val="left" w:pos="368"/>
              </w:tabs>
              <w:spacing w:before="40" w:after="80" w:line="220" w:lineRule="exact"/>
              <w:ind w:left="336" w:hanging="336"/>
              <w:textDirection w:val="tbLrV"/>
              <w:rPr>
                <w:sz w:val="18"/>
                <w:szCs w:val="18"/>
                <w:vertAlign w:val="superscript"/>
                <w:lang w:val="ro-RO"/>
              </w:rPr>
            </w:pPr>
            <w:r w:rsidRPr="00857CDA">
              <w:rPr>
                <w:sz w:val="18"/>
                <w:szCs w:val="18"/>
                <w:vertAlign w:val="superscript"/>
                <w:lang w:val="ro-RO"/>
              </w:rPr>
              <w:sym w:font="Wingdings 2" w:char="F0D6"/>
            </w:r>
            <w:r w:rsidRPr="00857CDA">
              <w:rPr>
                <w:sz w:val="18"/>
                <w:szCs w:val="18"/>
                <w:vertAlign w:val="superscript"/>
                <w:lang w:val="ro-RO"/>
              </w:rPr>
              <w:tab/>
            </w:r>
            <w:r w:rsidR="00AD44C0" w:rsidRPr="00857CDA">
              <w:rPr>
                <w:lang w:val="ro-RO"/>
              </w:rPr>
              <w:t>Loc pentru</w:t>
            </w:r>
            <w:r w:rsidR="00AD44C0" w:rsidRPr="00857CDA">
              <w:rPr>
                <w:b/>
                <w:lang w:val="ro-RO"/>
              </w:rPr>
              <w:t xml:space="preserve"> </w:t>
            </w:r>
            <w:r w:rsidR="00AD44C0" w:rsidRPr="00857CDA">
              <w:rPr>
                <w:lang w:val="ro-RO"/>
              </w:rPr>
              <w:t>indicarea grupei de compatibilitate</w:t>
            </w:r>
            <w:r w:rsidRPr="00857CDA">
              <w:rPr>
                <w:sz w:val="18"/>
                <w:szCs w:val="18"/>
                <w:lang w:val="ro-RO"/>
              </w:rPr>
              <w:t xml:space="preserve"> </w:t>
            </w:r>
          </w:p>
        </w:tc>
      </w:tr>
      <w:tr w:rsidR="00CE0086" w:rsidRPr="007D305F" w:rsidTr="00E871C8">
        <w:trPr>
          <w:cantSplit/>
        </w:trPr>
        <w:tc>
          <w:tcPr>
            <w:tcW w:w="0" w:type="auto"/>
            <w:shd w:val="clear" w:color="auto" w:fill="auto"/>
          </w:tcPr>
          <w:p w:rsidR="00826B2C" w:rsidRPr="00857CDA" w:rsidRDefault="00826B2C" w:rsidP="00E871C8">
            <w:pPr>
              <w:spacing w:before="40" w:after="80" w:line="220" w:lineRule="exact"/>
              <w:ind w:right="115"/>
              <w:jc w:val="center"/>
              <w:textDirection w:val="tbLrV"/>
              <w:rPr>
                <w:sz w:val="18"/>
                <w:szCs w:val="18"/>
                <w:lang w:val="ro-RO"/>
              </w:rPr>
            </w:pPr>
            <w:r w:rsidRPr="00857CDA">
              <w:rPr>
                <w:sz w:val="18"/>
                <w:szCs w:val="18"/>
                <w:lang w:val="ro-RO"/>
              </w:rPr>
              <w:t>1.5</w:t>
            </w:r>
          </w:p>
        </w:tc>
        <w:tc>
          <w:tcPr>
            <w:tcW w:w="0" w:type="auto"/>
            <w:shd w:val="clear" w:color="auto" w:fill="auto"/>
          </w:tcPr>
          <w:p w:rsidR="00826B2C" w:rsidRPr="00857CDA" w:rsidRDefault="007F0D67" w:rsidP="00E871C8">
            <w:pPr>
              <w:spacing w:before="40" w:after="80" w:line="220" w:lineRule="exact"/>
              <w:ind w:right="115"/>
              <w:jc w:val="center"/>
              <w:textDirection w:val="tbLrV"/>
              <w:rPr>
                <w:sz w:val="18"/>
                <w:szCs w:val="18"/>
                <w:lang w:val="ro-RO"/>
              </w:rPr>
            </w:pPr>
            <w:r w:rsidRPr="00857CDA">
              <w:rPr>
                <w:sz w:val="18"/>
                <w:szCs w:val="18"/>
                <w:lang w:val="ro-RO"/>
              </w:rPr>
              <w:t>Diviziunea</w:t>
            </w:r>
            <w:r w:rsidR="00826B2C" w:rsidRPr="00857CDA">
              <w:rPr>
                <w:sz w:val="18"/>
                <w:szCs w:val="18"/>
                <w:lang w:val="ro-RO"/>
              </w:rPr>
              <w:t xml:space="preserve"> 1.5</w:t>
            </w:r>
          </w:p>
        </w:tc>
        <w:tc>
          <w:tcPr>
            <w:tcW w:w="0" w:type="auto"/>
            <w:shd w:val="clear" w:color="auto" w:fill="auto"/>
          </w:tcPr>
          <w:p w:rsidR="00826B2C" w:rsidRPr="00857CDA" w:rsidRDefault="00826B2C" w:rsidP="00E871C8">
            <w:pPr>
              <w:spacing w:before="40" w:after="80" w:line="220" w:lineRule="exact"/>
              <w:jc w:val="center"/>
              <w:textDirection w:val="tbLrV"/>
              <w:rPr>
                <w:sz w:val="18"/>
                <w:szCs w:val="18"/>
                <w:lang w:val="ro-RO"/>
              </w:rPr>
            </w:pPr>
            <w:r w:rsidRPr="00857CDA">
              <w:rPr>
                <w:sz w:val="18"/>
                <w:szCs w:val="18"/>
                <w:lang w:val="ro-RO"/>
              </w:rPr>
              <w:t xml:space="preserve">1.5: </w:t>
            </w:r>
            <w:r w:rsidR="007F0D67" w:rsidRPr="00857CDA">
              <w:rPr>
                <w:sz w:val="18"/>
                <w:szCs w:val="18"/>
                <w:lang w:val="ro-RO"/>
              </w:rPr>
              <w:t>negr</w:t>
            </w:r>
            <w:r w:rsidR="0021676A" w:rsidRPr="00857CDA">
              <w:rPr>
                <w:sz w:val="18"/>
                <w:szCs w:val="18"/>
                <w:lang w:val="ro-RO"/>
              </w:rPr>
              <w:t>u</w:t>
            </w:r>
          </w:p>
          <w:p w:rsidR="00826B2C" w:rsidRPr="00857CDA" w:rsidRDefault="00CE0086" w:rsidP="00E871C8">
            <w:pPr>
              <w:spacing w:before="40" w:after="80" w:line="220" w:lineRule="exact"/>
              <w:jc w:val="center"/>
              <w:textDirection w:val="tbLrV"/>
              <w:rPr>
                <w:sz w:val="18"/>
                <w:szCs w:val="18"/>
                <w:lang w:val="ro-RO"/>
              </w:rPr>
            </w:pPr>
            <w:r w:rsidRPr="00857CDA">
              <w:rPr>
                <w:sz w:val="18"/>
                <w:szCs w:val="18"/>
                <w:lang w:val="ro-RO"/>
              </w:rPr>
              <w:t>Cifrele trebuie să aibă 30 mm în înălțime și aproximativ 5 mm grosime (pentru o etichetă de 100 mm x 100 mm)</w:t>
            </w:r>
          </w:p>
        </w:tc>
        <w:tc>
          <w:tcPr>
            <w:tcW w:w="0" w:type="auto"/>
            <w:shd w:val="clear" w:color="auto" w:fill="auto"/>
          </w:tcPr>
          <w:p w:rsidR="00826B2C" w:rsidRPr="00857CDA" w:rsidRDefault="007F0D67" w:rsidP="00E871C8">
            <w:pPr>
              <w:spacing w:before="40" w:after="80" w:line="220" w:lineRule="exact"/>
              <w:ind w:right="115"/>
              <w:jc w:val="center"/>
              <w:textDirection w:val="tbLrV"/>
              <w:rPr>
                <w:sz w:val="18"/>
                <w:szCs w:val="18"/>
                <w:lang w:val="ro-RO"/>
              </w:rPr>
            </w:pPr>
            <w:r w:rsidRPr="00857CDA">
              <w:rPr>
                <w:sz w:val="18"/>
                <w:szCs w:val="18"/>
                <w:lang w:val="ro-RO"/>
              </w:rPr>
              <w:t>Portocaliu</w:t>
            </w:r>
          </w:p>
        </w:tc>
        <w:tc>
          <w:tcPr>
            <w:tcW w:w="0" w:type="auto"/>
            <w:shd w:val="clear" w:color="auto" w:fill="auto"/>
          </w:tcPr>
          <w:p w:rsidR="00826B2C" w:rsidRPr="00857CDA" w:rsidRDefault="00826B2C" w:rsidP="0021676A">
            <w:pPr>
              <w:spacing w:before="40" w:after="80" w:line="220" w:lineRule="exact"/>
              <w:ind w:right="115"/>
              <w:jc w:val="center"/>
              <w:textDirection w:val="tbLrV"/>
              <w:rPr>
                <w:sz w:val="18"/>
                <w:szCs w:val="18"/>
                <w:lang w:val="ro-RO" w:eastAsia="ru-RU"/>
              </w:rPr>
            </w:pPr>
            <w:r w:rsidRPr="00857CDA">
              <w:rPr>
                <w:sz w:val="18"/>
                <w:szCs w:val="18"/>
                <w:lang w:val="ro-RO"/>
              </w:rPr>
              <w:t xml:space="preserve">1 </w:t>
            </w:r>
            <w:r w:rsidRPr="00857CDA">
              <w:rPr>
                <w:sz w:val="18"/>
                <w:szCs w:val="18"/>
                <w:lang w:val="ro-RO"/>
              </w:rPr>
              <w:br/>
              <w:t>(</w:t>
            </w:r>
            <w:r w:rsidR="007F0D67" w:rsidRPr="00857CDA">
              <w:rPr>
                <w:sz w:val="18"/>
                <w:szCs w:val="18"/>
                <w:lang w:val="ro-RO"/>
              </w:rPr>
              <w:t>negr</w:t>
            </w:r>
            <w:r w:rsidR="0021676A"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826B2C" w:rsidP="00E871C8">
            <w:pPr>
              <w:spacing w:before="40" w:after="80" w:line="240" w:lineRule="auto"/>
              <w:ind w:right="115"/>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27" name="Picture 2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826B2C" w:rsidRPr="00857CDA" w:rsidRDefault="00AD44C0" w:rsidP="00AD44C0">
            <w:pPr>
              <w:tabs>
                <w:tab w:val="left" w:pos="368"/>
              </w:tabs>
              <w:spacing w:before="40" w:after="80" w:line="220" w:lineRule="exact"/>
              <w:ind w:left="336" w:hanging="308"/>
              <w:textDirection w:val="tbLrV"/>
              <w:rPr>
                <w:sz w:val="18"/>
                <w:szCs w:val="18"/>
                <w:vertAlign w:val="superscript"/>
                <w:lang w:val="ro-RO"/>
              </w:rPr>
            </w:pPr>
            <w:r w:rsidRPr="00857CDA">
              <w:rPr>
                <w:sz w:val="18"/>
                <w:szCs w:val="18"/>
                <w:vertAlign w:val="superscript"/>
                <w:lang w:val="ro-RO"/>
              </w:rPr>
              <w:sym w:font="Wingdings 2" w:char="F0D6"/>
            </w:r>
            <w:r w:rsidRPr="00857CDA">
              <w:rPr>
                <w:sz w:val="18"/>
                <w:szCs w:val="18"/>
                <w:vertAlign w:val="superscript"/>
                <w:lang w:val="ro-RO"/>
              </w:rPr>
              <w:tab/>
            </w:r>
            <w:r w:rsidRPr="00857CDA">
              <w:rPr>
                <w:lang w:val="ro-RO"/>
              </w:rPr>
              <w:t>Loc pentru</w:t>
            </w:r>
            <w:r w:rsidRPr="00857CDA">
              <w:rPr>
                <w:b/>
                <w:lang w:val="ro-RO"/>
              </w:rPr>
              <w:t xml:space="preserve"> </w:t>
            </w:r>
            <w:r w:rsidRPr="00857CDA">
              <w:rPr>
                <w:lang w:val="ro-RO"/>
              </w:rPr>
              <w:t>indicarea grupei de compatibilitate</w:t>
            </w:r>
          </w:p>
        </w:tc>
      </w:tr>
      <w:tr w:rsidR="00CE0086" w:rsidRPr="007D305F" w:rsidTr="00E871C8">
        <w:trPr>
          <w:cantSplit/>
          <w:trHeight w:val="1648"/>
        </w:trPr>
        <w:tc>
          <w:tcPr>
            <w:tcW w:w="0" w:type="auto"/>
            <w:shd w:val="clear" w:color="auto" w:fill="auto"/>
          </w:tcPr>
          <w:p w:rsidR="00826B2C" w:rsidRPr="00857CDA" w:rsidRDefault="00826B2C" w:rsidP="00E871C8">
            <w:pPr>
              <w:spacing w:before="40" w:after="80" w:line="220" w:lineRule="exact"/>
              <w:ind w:right="115"/>
              <w:jc w:val="center"/>
              <w:textDirection w:val="tbLrV"/>
              <w:rPr>
                <w:sz w:val="18"/>
                <w:szCs w:val="18"/>
                <w:lang w:val="ro-RO"/>
              </w:rPr>
            </w:pPr>
            <w:r w:rsidRPr="00857CDA">
              <w:rPr>
                <w:sz w:val="18"/>
                <w:szCs w:val="18"/>
                <w:lang w:val="ro-RO"/>
              </w:rPr>
              <w:t>1.6</w:t>
            </w:r>
          </w:p>
        </w:tc>
        <w:tc>
          <w:tcPr>
            <w:tcW w:w="0" w:type="auto"/>
            <w:shd w:val="clear" w:color="auto" w:fill="auto"/>
          </w:tcPr>
          <w:p w:rsidR="00826B2C" w:rsidRPr="00857CDA" w:rsidRDefault="007F0D67" w:rsidP="00E871C8">
            <w:pPr>
              <w:spacing w:before="40" w:after="80" w:line="220" w:lineRule="exact"/>
              <w:ind w:right="115"/>
              <w:jc w:val="center"/>
              <w:textDirection w:val="tbLrV"/>
              <w:rPr>
                <w:sz w:val="18"/>
                <w:szCs w:val="18"/>
                <w:lang w:val="ro-RO"/>
              </w:rPr>
            </w:pPr>
            <w:r w:rsidRPr="00857CDA">
              <w:rPr>
                <w:sz w:val="18"/>
                <w:szCs w:val="18"/>
                <w:lang w:val="ro-RO"/>
              </w:rPr>
              <w:t>Diviziunea</w:t>
            </w:r>
            <w:r w:rsidR="00826B2C" w:rsidRPr="00857CDA">
              <w:rPr>
                <w:sz w:val="18"/>
                <w:szCs w:val="18"/>
                <w:lang w:val="ro-RO"/>
              </w:rPr>
              <w:t xml:space="preserve"> 1.6</w:t>
            </w:r>
          </w:p>
        </w:tc>
        <w:tc>
          <w:tcPr>
            <w:tcW w:w="0" w:type="auto"/>
            <w:shd w:val="clear" w:color="auto" w:fill="auto"/>
          </w:tcPr>
          <w:p w:rsidR="00826B2C" w:rsidRPr="00857CDA" w:rsidRDefault="00826B2C" w:rsidP="00E871C8">
            <w:pPr>
              <w:spacing w:before="40" w:after="80" w:line="220" w:lineRule="exact"/>
              <w:ind w:right="115"/>
              <w:jc w:val="center"/>
              <w:textDirection w:val="tbLrV"/>
              <w:rPr>
                <w:sz w:val="18"/>
                <w:szCs w:val="18"/>
                <w:lang w:val="ro-RO"/>
              </w:rPr>
            </w:pPr>
            <w:r w:rsidRPr="00857CDA">
              <w:rPr>
                <w:sz w:val="18"/>
                <w:szCs w:val="18"/>
                <w:lang w:val="ro-RO"/>
              </w:rPr>
              <w:t xml:space="preserve">1.6: </w:t>
            </w:r>
            <w:r w:rsidR="007F0D67" w:rsidRPr="00857CDA">
              <w:rPr>
                <w:sz w:val="18"/>
                <w:szCs w:val="18"/>
                <w:lang w:val="ro-RO"/>
              </w:rPr>
              <w:t>negr</w:t>
            </w:r>
            <w:r w:rsidR="0021676A" w:rsidRPr="00857CDA">
              <w:rPr>
                <w:sz w:val="18"/>
                <w:szCs w:val="18"/>
                <w:lang w:val="ro-RO"/>
              </w:rPr>
              <w:t>u</w:t>
            </w:r>
          </w:p>
          <w:p w:rsidR="00826B2C" w:rsidRPr="00857CDA" w:rsidRDefault="00CE0086" w:rsidP="00E871C8">
            <w:pPr>
              <w:spacing w:before="40" w:after="80" w:line="220" w:lineRule="exact"/>
              <w:jc w:val="center"/>
              <w:textDirection w:val="tbLrV"/>
              <w:rPr>
                <w:sz w:val="18"/>
                <w:szCs w:val="18"/>
                <w:lang w:val="ro-RO"/>
              </w:rPr>
            </w:pPr>
            <w:r w:rsidRPr="00857CDA">
              <w:rPr>
                <w:sz w:val="18"/>
                <w:szCs w:val="18"/>
                <w:lang w:val="ro-RO"/>
              </w:rPr>
              <w:t>Cifrele trebuie să aibă 30 mm în înălțime și aproximativ 5 mm grosime (pentru o etichetă de 100 mm x 100 mm)</w:t>
            </w:r>
          </w:p>
        </w:tc>
        <w:tc>
          <w:tcPr>
            <w:tcW w:w="0" w:type="auto"/>
            <w:shd w:val="clear" w:color="auto" w:fill="auto"/>
          </w:tcPr>
          <w:p w:rsidR="00826B2C" w:rsidRPr="00857CDA" w:rsidRDefault="007F0D67" w:rsidP="00E871C8">
            <w:pPr>
              <w:spacing w:before="40" w:after="80" w:line="220" w:lineRule="exact"/>
              <w:ind w:right="115"/>
              <w:jc w:val="center"/>
              <w:textDirection w:val="tbLrV"/>
              <w:rPr>
                <w:sz w:val="18"/>
                <w:szCs w:val="18"/>
                <w:lang w:val="ro-RO"/>
              </w:rPr>
            </w:pPr>
            <w:r w:rsidRPr="00857CDA">
              <w:rPr>
                <w:sz w:val="18"/>
                <w:szCs w:val="18"/>
                <w:lang w:val="ro-RO"/>
              </w:rPr>
              <w:t>Portocaliu</w:t>
            </w:r>
          </w:p>
        </w:tc>
        <w:tc>
          <w:tcPr>
            <w:tcW w:w="0" w:type="auto"/>
            <w:shd w:val="clear" w:color="auto" w:fill="auto"/>
          </w:tcPr>
          <w:p w:rsidR="00826B2C" w:rsidRPr="00857CDA" w:rsidRDefault="00826B2C" w:rsidP="00E871C8">
            <w:pPr>
              <w:spacing w:before="40" w:after="80" w:line="220" w:lineRule="exact"/>
              <w:ind w:right="115"/>
              <w:jc w:val="center"/>
              <w:textDirection w:val="tbLrV"/>
              <w:rPr>
                <w:sz w:val="18"/>
                <w:szCs w:val="18"/>
                <w:lang w:val="ro-RO" w:eastAsia="ru-RU"/>
              </w:rPr>
            </w:pPr>
            <w:r w:rsidRPr="00857CDA">
              <w:rPr>
                <w:sz w:val="18"/>
                <w:szCs w:val="18"/>
                <w:lang w:val="ro-RO"/>
              </w:rPr>
              <w:t xml:space="preserve">1 </w:t>
            </w:r>
            <w:r w:rsidRPr="00857CDA">
              <w:rPr>
                <w:sz w:val="18"/>
                <w:szCs w:val="18"/>
                <w:lang w:val="ro-RO"/>
              </w:rPr>
              <w:br/>
              <w:t>(</w:t>
            </w:r>
            <w:r w:rsidR="007F0D67" w:rsidRPr="00857CDA">
              <w:rPr>
                <w:sz w:val="18"/>
                <w:szCs w:val="18"/>
                <w:lang w:val="ro-RO"/>
              </w:rPr>
              <w:t>negru</w:t>
            </w:r>
            <w:r w:rsidRPr="00857CDA">
              <w:rPr>
                <w:sz w:val="18"/>
                <w:szCs w:val="18"/>
                <w:lang w:val="ro-RO"/>
              </w:rPr>
              <w:t>)</w:t>
            </w:r>
          </w:p>
        </w:tc>
        <w:tc>
          <w:tcPr>
            <w:tcW w:w="0" w:type="auto"/>
            <w:shd w:val="clear" w:color="auto" w:fill="auto"/>
            <w:vAlign w:val="center"/>
          </w:tcPr>
          <w:p w:rsidR="00826B2C" w:rsidRPr="00857CDA" w:rsidRDefault="00826B2C" w:rsidP="00E871C8">
            <w:pPr>
              <w:spacing w:before="40" w:after="80" w:line="240" w:lineRule="auto"/>
              <w:ind w:right="115"/>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28" name="Picture 2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826B2C" w:rsidRPr="00857CDA" w:rsidRDefault="00AD44C0" w:rsidP="00AD44C0">
            <w:pPr>
              <w:spacing w:before="40" w:after="80" w:line="220" w:lineRule="exact"/>
              <w:ind w:left="336" w:right="115" w:hanging="336"/>
              <w:textDirection w:val="tbLrV"/>
              <w:rPr>
                <w:sz w:val="18"/>
                <w:szCs w:val="18"/>
                <w:lang w:val="ro-RO"/>
              </w:rPr>
            </w:pPr>
            <w:r w:rsidRPr="00857CDA">
              <w:rPr>
                <w:sz w:val="18"/>
                <w:szCs w:val="18"/>
                <w:vertAlign w:val="superscript"/>
                <w:lang w:val="ro-RO"/>
              </w:rPr>
              <w:sym w:font="Wingdings 2" w:char="F0D6"/>
            </w:r>
            <w:r w:rsidRPr="00857CDA">
              <w:rPr>
                <w:sz w:val="18"/>
                <w:szCs w:val="18"/>
                <w:vertAlign w:val="superscript"/>
                <w:lang w:val="ro-RO"/>
              </w:rPr>
              <w:tab/>
            </w:r>
            <w:r w:rsidRPr="00857CDA">
              <w:rPr>
                <w:lang w:val="ro-RO"/>
              </w:rPr>
              <w:t>Loc pentru</w:t>
            </w:r>
            <w:r w:rsidRPr="00857CDA">
              <w:rPr>
                <w:b/>
                <w:lang w:val="ro-RO"/>
              </w:rPr>
              <w:t xml:space="preserve"> </w:t>
            </w:r>
            <w:r w:rsidRPr="00857CDA">
              <w:rPr>
                <w:lang w:val="ro-RO"/>
              </w:rPr>
              <w:t>indicarea grupei de compatibilitate</w:t>
            </w:r>
          </w:p>
        </w:tc>
      </w:tr>
    </w:tbl>
    <w:p w:rsidR="00826B2C" w:rsidRPr="00857CDA" w:rsidRDefault="00826B2C" w:rsidP="00826B2C">
      <w:pPr>
        <w:pStyle w:val="SingleTxt"/>
        <w:rPr>
          <w:lang w:val="ro-RO"/>
        </w:rPr>
      </w:pPr>
    </w:p>
    <w:p w:rsidR="00826B2C" w:rsidRPr="00857CDA" w:rsidRDefault="00826B2C" w:rsidP="00826B2C">
      <w:pPr>
        <w:spacing w:line="240" w:lineRule="auto"/>
        <w:rPr>
          <w:lang w:val="ro-RO"/>
        </w:rPr>
      </w:pPr>
      <w:r w:rsidRPr="00857CDA">
        <w:rPr>
          <w:lang w:val="ro-RO"/>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0"/>
        <w:gridCol w:w="2328"/>
        <w:gridCol w:w="1879"/>
        <w:gridCol w:w="539"/>
        <w:gridCol w:w="1898"/>
        <w:gridCol w:w="2402"/>
        <w:gridCol w:w="1419"/>
        <w:gridCol w:w="1275"/>
      </w:tblGrid>
      <w:tr w:rsidR="008B7F29" w:rsidRPr="00857CDA" w:rsidTr="00AD44C0">
        <w:trPr>
          <w:cantSplit/>
        </w:trPr>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lastRenderedPageBreak/>
              <w:t>Nr. de model de etichetă</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Diviziune sau Categorie</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Semnul convențional și culoarea semnului</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Fond</w:t>
            </w:r>
          </w:p>
        </w:tc>
        <w:tc>
          <w:tcPr>
            <w:tcW w:w="1898" w:type="dxa"/>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Cifra care figurează în colțul inferior (și culoarea cifrei)</w:t>
            </w:r>
          </w:p>
        </w:tc>
        <w:tc>
          <w:tcPr>
            <w:tcW w:w="3821" w:type="dxa"/>
            <w:gridSpan w:val="2"/>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Modelul de etichetă</w:t>
            </w:r>
          </w:p>
        </w:tc>
        <w:tc>
          <w:tcPr>
            <w:tcW w:w="1275" w:type="dxa"/>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Notă</w:t>
            </w:r>
          </w:p>
        </w:tc>
      </w:tr>
      <w:tr w:rsidR="00826B2C" w:rsidRPr="00857CDA" w:rsidTr="00E871C8">
        <w:trPr>
          <w:cantSplit/>
        </w:trPr>
        <w:tc>
          <w:tcPr>
            <w:tcW w:w="0" w:type="auto"/>
            <w:gridSpan w:val="8"/>
            <w:shd w:val="clear" w:color="auto" w:fill="auto"/>
            <w:vAlign w:val="center"/>
          </w:tcPr>
          <w:p w:rsidR="00826B2C" w:rsidRPr="00857CDA" w:rsidRDefault="002B679C" w:rsidP="008B7F29">
            <w:pPr>
              <w:spacing w:before="40" w:after="80"/>
              <w:ind w:right="43"/>
              <w:jc w:val="center"/>
              <w:textDirection w:val="tbLrV"/>
              <w:rPr>
                <w:b/>
                <w:sz w:val="18"/>
                <w:szCs w:val="18"/>
                <w:lang w:val="ro-RO"/>
              </w:rPr>
            </w:pPr>
            <w:r w:rsidRPr="00857CDA">
              <w:rPr>
                <w:b/>
                <w:sz w:val="18"/>
                <w:szCs w:val="18"/>
                <w:lang w:val="ro-RO"/>
              </w:rPr>
              <w:t>Pericol</w:t>
            </w:r>
            <w:r w:rsidR="00826B2C" w:rsidRPr="00857CDA">
              <w:rPr>
                <w:b/>
                <w:sz w:val="18"/>
                <w:szCs w:val="18"/>
                <w:lang w:val="ro-RO"/>
              </w:rPr>
              <w:t xml:space="preserve"> d</w:t>
            </w:r>
            <w:r w:rsidR="008B7F29"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2: Gaz</w:t>
            </w:r>
            <w:r w:rsidR="008B7F29" w:rsidRPr="00857CDA">
              <w:rPr>
                <w:b/>
                <w:sz w:val="18"/>
                <w:szCs w:val="18"/>
                <w:lang w:val="ro-RO"/>
              </w:rPr>
              <w:t>e</w:t>
            </w:r>
          </w:p>
        </w:tc>
      </w:tr>
      <w:tr w:rsidR="008B7F29" w:rsidRPr="00857CDA" w:rsidTr="00AD44C0">
        <w:trPr>
          <w:cantSplit/>
        </w:trPr>
        <w:tc>
          <w:tcPr>
            <w:tcW w:w="0" w:type="auto"/>
            <w:shd w:val="clear" w:color="auto" w:fill="auto"/>
          </w:tcPr>
          <w:p w:rsidR="00826B2C" w:rsidRPr="00857CDA" w:rsidRDefault="00826B2C" w:rsidP="00E871C8">
            <w:pPr>
              <w:spacing w:before="40" w:after="80"/>
              <w:ind w:right="43"/>
              <w:jc w:val="center"/>
              <w:textDirection w:val="tbLrV"/>
              <w:rPr>
                <w:sz w:val="18"/>
                <w:szCs w:val="18"/>
                <w:lang w:val="ro-RO"/>
              </w:rPr>
            </w:pPr>
            <w:r w:rsidRPr="00857CDA">
              <w:rPr>
                <w:sz w:val="18"/>
                <w:szCs w:val="18"/>
                <w:lang w:val="ro-RO"/>
              </w:rPr>
              <w:t>2.1</w:t>
            </w:r>
          </w:p>
        </w:tc>
        <w:tc>
          <w:tcPr>
            <w:tcW w:w="0" w:type="auto"/>
            <w:shd w:val="clear" w:color="auto" w:fill="auto"/>
          </w:tcPr>
          <w:p w:rsidR="00826B2C" w:rsidRPr="00857CDA" w:rsidRDefault="00826B2C" w:rsidP="008B7F29">
            <w:pPr>
              <w:spacing w:before="40" w:after="80"/>
              <w:ind w:right="43"/>
              <w:jc w:val="center"/>
              <w:textDirection w:val="tbLrV"/>
              <w:rPr>
                <w:sz w:val="18"/>
                <w:szCs w:val="18"/>
                <w:lang w:val="ro-RO"/>
              </w:rPr>
            </w:pPr>
            <w:r w:rsidRPr="00857CDA">
              <w:rPr>
                <w:sz w:val="18"/>
                <w:szCs w:val="18"/>
                <w:lang w:val="ro-RO"/>
              </w:rPr>
              <w:t>Gaz</w:t>
            </w:r>
            <w:r w:rsidR="008B7F29" w:rsidRPr="00857CDA">
              <w:rPr>
                <w:sz w:val="18"/>
                <w:szCs w:val="18"/>
                <w:lang w:val="ro-RO"/>
              </w:rPr>
              <w:t>e</w:t>
            </w:r>
            <w:r w:rsidRPr="00857CDA">
              <w:rPr>
                <w:sz w:val="18"/>
                <w:szCs w:val="18"/>
                <w:lang w:val="ro-RO"/>
              </w:rPr>
              <w:t xml:space="preserve"> inflamab</w:t>
            </w:r>
            <w:r w:rsidR="008B7F29" w:rsidRPr="00857CDA">
              <w:rPr>
                <w:sz w:val="18"/>
                <w:szCs w:val="18"/>
                <w:lang w:val="ro-RO"/>
              </w:rPr>
              <w:t>i</w:t>
            </w:r>
            <w:r w:rsidRPr="00857CDA">
              <w:rPr>
                <w:sz w:val="18"/>
                <w:szCs w:val="18"/>
                <w:lang w:val="ro-RO"/>
              </w:rPr>
              <w:t>le (</w:t>
            </w:r>
            <w:r w:rsidR="008B7F29" w:rsidRPr="00857CDA">
              <w:rPr>
                <w:sz w:val="18"/>
                <w:szCs w:val="18"/>
                <w:lang w:val="ro-RO"/>
              </w:rPr>
              <w:t>cu excepția prevederii de la</w:t>
            </w:r>
            <w:r w:rsidRPr="00857CDA">
              <w:rPr>
                <w:sz w:val="18"/>
                <w:szCs w:val="18"/>
                <w:lang w:val="ro-RO"/>
              </w:rPr>
              <w:t xml:space="preserve"> 5.2.2.2.1.6 d))</w:t>
            </w:r>
          </w:p>
        </w:tc>
        <w:tc>
          <w:tcPr>
            <w:tcW w:w="0" w:type="auto"/>
            <w:shd w:val="clear" w:color="auto" w:fill="auto"/>
          </w:tcPr>
          <w:p w:rsidR="00826B2C" w:rsidRPr="00857CDA" w:rsidRDefault="00826B2C" w:rsidP="0021676A">
            <w:pPr>
              <w:spacing w:before="40" w:after="80"/>
              <w:ind w:right="43"/>
              <w:jc w:val="center"/>
              <w:textDirection w:val="tbLrV"/>
              <w:rPr>
                <w:sz w:val="18"/>
                <w:szCs w:val="18"/>
                <w:lang w:val="ro-RO"/>
              </w:rPr>
            </w:pPr>
            <w:r w:rsidRPr="00857CDA">
              <w:rPr>
                <w:sz w:val="18"/>
                <w:szCs w:val="18"/>
                <w:lang w:val="ro-RO"/>
              </w:rPr>
              <w:t>Fla</w:t>
            </w:r>
            <w:r w:rsidR="008B7F29" w:rsidRPr="00857CDA">
              <w:rPr>
                <w:sz w:val="18"/>
                <w:szCs w:val="18"/>
                <w:lang w:val="ro-RO"/>
              </w:rPr>
              <w:t>cără</w:t>
            </w:r>
            <w:r w:rsidRPr="00857CDA">
              <w:rPr>
                <w:sz w:val="18"/>
                <w:szCs w:val="18"/>
                <w:lang w:val="ro-RO"/>
              </w:rPr>
              <w:t xml:space="preserve">: </w:t>
            </w:r>
            <w:r w:rsidRPr="00857CDA">
              <w:rPr>
                <w:sz w:val="18"/>
                <w:szCs w:val="18"/>
                <w:lang w:val="ro-RO"/>
              </w:rPr>
              <w:br/>
            </w:r>
            <w:r w:rsidR="007F0D67" w:rsidRPr="00857CDA">
              <w:rPr>
                <w:sz w:val="18"/>
                <w:szCs w:val="18"/>
                <w:lang w:val="ro-RO"/>
              </w:rPr>
              <w:t>negr</w:t>
            </w:r>
            <w:r w:rsidR="0021676A" w:rsidRPr="00857CDA">
              <w:rPr>
                <w:sz w:val="18"/>
                <w:szCs w:val="18"/>
                <w:lang w:val="ro-RO"/>
              </w:rPr>
              <w:t>u</w:t>
            </w:r>
            <w:r w:rsidR="007F0D67" w:rsidRPr="00857CDA">
              <w:rPr>
                <w:sz w:val="18"/>
                <w:szCs w:val="18"/>
                <w:lang w:val="ro-RO"/>
              </w:rPr>
              <w:t xml:space="preserve"> sau alb</w:t>
            </w:r>
          </w:p>
        </w:tc>
        <w:tc>
          <w:tcPr>
            <w:tcW w:w="0" w:type="auto"/>
            <w:shd w:val="clear" w:color="auto" w:fill="auto"/>
          </w:tcPr>
          <w:p w:rsidR="00826B2C" w:rsidRPr="00857CDA" w:rsidRDefault="00826B2C" w:rsidP="008B7F29">
            <w:pPr>
              <w:spacing w:before="40" w:after="80"/>
              <w:ind w:right="43"/>
              <w:jc w:val="center"/>
              <w:textDirection w:val="tbLrV"/>
              <w:rPr>
                <w:sz w:val="18"/>
                <w:szCs w:val="18"/>
                <w:lang w:val="ro-RO"/>
              </w:rPr>
            </w:pPr>
            <w:r w:rsidRPr="00857CDA">
              <w:rPr>
                <w:sz w:val="18"/>
                <w:szCs w:val="18"/>
                <w:lang w:val="ro-RO"/>
              </w:rPr>
              <w:t>Ro</w:t>
            </w:r>
            <w:r w:rsidR="008B7F29" w:rsidRPr="00857CDA">
              <w:rPr>
                <w:sz w:val="18"/>
                <w:szCs w:val="18"/>
                <w:lang w:val="ro-RO"/>
              </w:rPr>
              <w:t>șu</w:t>
            </w:r>
          </w:p>
        </w:tc>
        <w:tc>
          <w:tcPr>
            <w:tcW w:w="1898" w:type="dxa"/>
            <w:shd w:val="clear" w:color="auto" w:fill="auto"/>
          </w:tcPr>
          <w:p w:rsidR="00826B2C" w:rsidRPr="00857CDA" w:rsidRDefault="00826B2C" w:rsidP="0021676A">
            <w:pPr>
              <w:spacing w:before="40" w:after="80"/>
              <w:ind w:right="43"/>
              <w:jc w:val="center"/>
              <w:textDirection w:val="tbLrV"/>
              <w:rPr>
                <w:sz w:val="18"/>
                <w:szCs w:val="18"/>
                <w:lang w:val="ro-RO"/>
              </w:rPr>
            </w:pPr>
            <w:r w:rsidRPr="00857CDA">
              <w:rPr>
                <w:sz w:val="18"/>
                <w:szCs w:val="18"/>
                <w:lang w:val="ro-RO"/>
              </w:rPr>
              <w:t xml:space="preserve">2 </w:t>
            </w:r>
            <w:r w:rsidRPr="00857CDA">
              <w:rPr>
                <w:sz w:val="18"/>
                <w:szCs w:val="18"/>
                <w:lang w:val="ro-RO"/>
              </w:rPr>
              <w:br/>
              <w:t>(</w:t>
            </w:r>
            <w:r w:rsidR="007F0D67" w:rsidRPr="00857CDA">
              <w:rPr>
                <w:sz w:val="18"/>
                <w:szCs w:val="18"/>
                <w:lang w:val="ro-RO"/>
              </w:rPr>
              <w:t>negr</w:t>
            </w:r>
            <w:r w:rsidR="0021676A" w:rsidRPr="00857CDA">
              <w:rPr>
                <w:sz w:val="18"/>
                <w:szCs w:val="18"/>
                <w:lang w:val="ro-RO"/>
              </w:rPr>
              <w:t>u</w:t>
            </w:r>
            <w:r w:rsidR="007F0D67" w:rsidRPr="00857CDA">
              <w:rPr>
                <w:sz w:val="18"/>
                <w:szCs w:val="18"/>
                <w:lang w:val="ro-RO"/>
              </w:rPr>
              <w:t xml:space="preserve"> sau alb</w:t>
            </w:r>
            <w:r w:rsidRPr="00857CDA">
              <w:rPr>
                <w:sz w:val="18"/>
                <w:szCs w:val="18"/>
                <w:lang w:val="ro-RO"/>
              </w:rPr>
              <w:t>)</w:t>
            </w:r>
          </w:p>
        </w:tc>
        <w:tc>
          <w:tcPr>
            <w:tcW w:w="2402" w:type="dxa"/>
            <w:shd w:val="clear" w:color="auto" w:fill="auto"/>
            <w:vAlign w:val="center"/>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29" name="Picture 2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419" w:type="dxa"/>
            <w:shd w:val="clear" w:color="auto" w:fill="auto"/>
            <w:vAlign w:val="center"/>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30" name="Picture 30"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826B2C" w:rsidRPr="00857CDA" w:rsidRDefault="00826B2C" w:rsidP="00E871C8">
            <w:pPr>
              <w:spacing w:before="40" w:after="80" w:line="220" w:lineRule="exact"/>
              <w:jc w:val="center"/>
              <w:textDirection w:val="tbLrV"/>
              <w:rPr>
                <w:sz w:val="18"/>
                <w:szCs w:val="18"/>
                <w:lang w:val="ro-RO"/>
              </w:rPr>
            </w:pPr>
            <w:r w:rsidRPr="00857CDA">
              <w:rPr>
                <w:sz w:val="18"/>
                <w:szCs w:val="18"/>
                <w:lang w:val="ro-RO"/>
              </w:rPr>
              <w:t>-</w:t>
            </w:r>
          </w:p>
        </w:tc>
      </w:tr>
      <w:tr w:rsidR="008B7F29" w:rsidRPr="00857CDA" w:rsidTr="00AD44C0">
        <w:trPr>
          <w:cantSplit/>
        </w:trPr>
        <w:tc>
          <w:tcPr>
            <w:tcW w:w="0" w:type="auto"/>
            <w:shd w:val="clear" w:color="auto" w:fill="auto"/>
          </w:tcPr>
          <w:p w:rsidR="00826B2C" w:rsidRPr="00857CDA" w:rsidRDefault="00826B2C" w:rsidP="00E871C8">
            <w:pPr>
              <w:spacing w:before="40" w:after="80"/>
              <w:ind w:right="43"/>
              <w:jc w:val="center"/>
              <w:textDirection w:val="tbLrV"/>
              <w:rPr>
                <w:sz w:val="18"/>
                <w:szCs w:val="18"/>
                <w:lang w:val="ro-RO"/>
              </w:rPr>
            </w:pPr>
            <w:r w:rsidRPr="00857CDA">
              <w:rPr>
                <w:sz w:val="18"/>
                <w:szCs w:val="18"/>
                <w:lang w:val="ro-RO"/>
              </w:rPr>
              <w:t>2.2</w:t>
            </w:r>
          </w:p>
        </w:tc>
        <w:tc>
          <w:tcPr>
            <w:tcW w:w="0" w:type="auto"/>
            <w:shd w:val="clear" w:color="auto" w:fill="auto"/>
          </w:tcPr>
          <w:p w:rsidR="00826B2C" w:rsidRPr="00857CDA" w:rsidRDefault="00826B2C" w:rsidP="008B7F29">
            <w:pPr>
              <w:spacing w:before="40" w:after="80"/>
              <w:ind w:right="43"/>
              <w:jc w:val="center"/>
              <w:textDirection w:val="tbLrV"/>
              <w:rPr>
                <w:sz w:val="18"/>
                <w:szCs w:val="18"/>
                <w:lang w:val="ro-RO"/>
              </w:rPr>
            </w:pPr>
            <w:r w:rsidRPr="00857CDA">
              <w:rPr>
                <w:sz w:val="18"/>
                <w:szCs w:val="18"/>
                <w:lang w:val="ro-RO"/>
              </w:rPr>
              <w:t>Gaz</w:t>
            </w:r>
            <w:r w:rsidR="008B7F29" w:rsidRPr="00857CDA">
              <w:rPr>
                <w:sz w:val="18"/>
                <w:szCs w:val="18"/>
                <w:lang w:val="ro-RO"/>
              </w:rPr>
              <w:t xml:space="preserve">e </w:t>
            </w:r>
            <w:r w:rsidRPr="00857CDA">
              <w:rPr>
                <w:sz w:val="18"/>
                <w:szCs w:val="18"/>
                <w:lang w:val="ro-RO"/>
              </w:rPr>
              <w:t>n</w:t>
            </w:r>
            <w:r w:rsidR="008B7F29" w:rsidRPr="00857CDA">
              <w:rPr>
                <w:sz w:val="18"/>
                <w:szCs w:val="18"/>
                <w:lang w:val="ro-RO"/>
              </w:rPr>
              <w:t>e</w:t>
            </w:r>
            <w:r w:rsidRPr="00857CDA">
              <w:rPr>
                <w:sz w:val="18"/>
                <w:szCs w:val="18"/>
                <w:lang w:val="ro-RO"/>
              </w:rPr>
              <w:t>inflamab</w:t>
            </w:r>
            <w:r w:rsidR="008B7F29" w:rsidRPr="00857CDA">
              <w:rPr>
                <w:sz w:val="18"/>
                <w:szCs w:val="18"/>
                <w:lang w:val="ro-RO"/>
              </w:rPr>
              <w:t>i</w:t>
            </w:r>
            <w:r w:rsidRPr="00857CDA">
              <w:rPr>
                <w:sz w:val="18"/>
                <w:szCs w:val="18"/>
                <w:lang w:val="ro-RO"/>
              </w:rPr>
              <w:t>le, n</w:t>
            </w:r>
            <w:r w:rsidR="008B7F29" w:rsidRPr="00857CDA">
              <w:rPr>
                <w:sz w:val="18"/>
                <w:szCs w:val="18"/>
                <w:lang w:val="ro-RO"/>
              </w:rPr>
              <w:t>e</w:t>
            </w:r>
            <w:r w:rsidRPr="00857CDA">
              <w:rPr>
                <w:sz w:val="18"/>
                <w:szCs w:val="18"/>
                <w:lang w:val="ro-RO"/>
              </w:rPr>
              <w:t>toxi</w:t>
            </w:r>
            <w:r w:rsidR="008B7F29" w:rsidRPr="00857CDA">
              <w:rPr>
                <w:sz w:val="18"/>
                <w:szCs w:val="18"/>
                <w:lang w:val="ro-RO"/>
              </w:rPr>
              <w:t>ce</w:t>
            </w:r>
          </w:p>
        </w:tc>
        <w:tc>
          <w:tcPr>
            <w:tcW w:w="0" w:type="auto"/>
            <w:shd w:val="clear" w:color="auto" w:fill="auto"/>
          </w:tcPr>
          <w:p w:rsidR="007F0D67" w:rsidRPr="00857CDA" w:rsidRDefault="008B7F29" w:rsidP="007F0D67">
            <w:pPr>
              <w:spacing w:before="40"/>
              <w:ind w:right="43"/>
              <w:jc w:val="center"/>
              <w:textDirection w:val="tbLrV"/>
              <w:rPr>
                <w:sz w:val="18"/>
                <w:szCs w:val="18"/>
                <w:lang w:val="ro-RO"/>
              </w:rPr>
            </w:pPr>
            <w:r w:rsidRPr="00857CDA">
              <w:rPr>
                <w:sz w:val="18"/>
                <w:szCs w:val="18"/>
                <w:lang w:val="ro-RO"/>
              </w:rPr>
              <w:t>Butelie de gaz</w:t>
            </w:r>
            <w:r w:rsidR="00826B2C" w:rsidRPr="00857CDA">
              <w:rPr>
                <w:sz w:val="18"/>
                <w:szCs w:val="18"/>
                <w:lang w:val="ro-RO"/>
              </w:rPr>
              <w:t xml:space="preserve">: </w:t>
            </w:r>
          </w:p>
          <w:p w:rsidR="00826B2C" w:rsidRPr="00857CDA" w:rsidRDefault="007F0D67" w:rsidP="0021676A">
            <w:pPr>
              <w:spacing w:after="80"/>
              <w:ind w:right="43"/>
              <w:jc w:val="center"/>
              <w:textDirection w:val="tbLrV"/>
              <w:rPr>
                <w:sz w:val="18"/>
                <w:szCs w:val="18"/>
                <w:lang w:val="ro-RO"/>
              </w:rPr>
            </w:pPr>
            <w:r w:rsidRPr="00857CDA">
              <w:rPr>
                <w:sz w:val="18"/>
                <w:szCs w:val="18"/>
                <w:lang w:val="ro-RO"/>
              </w:rPr>
              <w:t>negr</w:t>
            </w:r>
            <w:r w:rsidR="0021676A" w:rsidRPr="00857CDA">
              <w:rPr>
                <w:sz w:val="18"/>
                <w:szCs w:val="18"/>
                <w:lang w:val="ro-RO"/>
              </w:rPr>
              <w:t>u</w:t>
            </w:r>
            <w:r w:rsidRPr="00857CDA">
              <w:rPr>
                <w:sz w:val="18"/>
                <w:szCs w:val="18"/>
                <w:lang w:val="ro-RO"/>
              </w:rPr>
              <w:t xml:space="preserve"> sau alb</w:t>
            </w:r>
          </w:p>
        </w:tc>
        <w:tc>
          <w:tcPr>
            <w:tcW w:w="0" w:type="auto"/>
            <w:shd w:val="clear" w:color="auto" w:fill="auto"/>
          </w:tcPr>
          <w:p w:rsidR="00826B2C" w:rsidRPr="00857CDA" w:rsidRDefault="00826B2C" w:rsidP="008B7F29">
            <w:pPr>
              <w:spacing w:before="40" w:after="80"/>
              <w:ind w:right="43"/>
              <w:jc w:val="center"/>
              <w:textDirection w:val="tbLrV"/>
              <w:rPr>
                <w:sz w:val="18"/>
                <w:szCs w:val="18"/>
                <w:lang w:val="ro-RO"/>
              </w:rPr>
            </w:pPr>
            <w:r w:rsidRPr="00857CDA">
              <w:rPr>
                <w:sz w:val="18"/>
                <w:szCs w:val="18"/>
                <w:lang w:val="ro-RO"/>
              </w:rPr>
              <w:t>Ver</w:t>
            </w:r>
            <w:r w:rsidR="008B7F29" w:rsidRPr="00857CDA">
              <w:rPr>
                <w:sz w:val="18"/>
                <w:szCs w:val="18"/>
                <w:lang w:val="ro-RO"/>
              </w:rPr>
              <w:t>de</w:t>
            </w:r>
          </w:p>
        </w:tc>
        <w:tc>
          <w:tcPr>
            <w:tcW w:w="1898" w:type="dxa"/>
            <w:shd w:val="clear" w:color="auto" w:fill="auto"/>
          </w:tcPr>
          <w:p w:rsidR="00826B2C" w:rsidRPr="00857CDA" w:rsidRDefault="00826B2C" w:rsidP="0021676A">
            <w:pPr>
              <w:spacing w:before="40" w:after="80"/>
              <w:ind w:right="43"/>
              <w:jc w:val="center"/>
              <w:textDirection w:val="tbLrV"/>
              <w:rPr>
                <w:sz w:val="18"/>
                <w:szCs w:val="18"/>
                <w:lang w:val="ro-RO"/>
              </w:rPr>
            </w:pPr>
            <w:r w:rsidRPr="00857CDA">
              <w:rPr>
                <w:sz w:val="18"/>
                <w:szCs w:val="18"/>
                <w:lang w:val="ro-RO"/>
              </w:rPr>
              <w:t xml:space="preserve">2 </w:t>
            </w:r>
            <w:r w:rsidRPr="00857CDA">
              <w:rPr>
                <w:sz w:val="18"/>
                <w:szCs w:val="18"/>
                <w:lang w:val="ro-RO"/>
              </w:rPr>
              <w:br/>
              <w:t>(</w:t>
            </w:r>
            <w:r w:rsidR="00857CDA" w:rsidRPr="00857CDA">
              <w:rPr>
                <w:sz w:val="18"/>
                <w:szCs w:val="18"/>
                <w:lang w:val="ro-RO"/>
              </w:rPr>
              <w:t>negru</w:t>
            </w:r>
            <w:r w:rsidR="007F0D67" w:rsidRPr="00857CDA">
              <w:rPr>
                <w:sz w:val="18"/>
                <w:szCs w:val="18"/>
                <w:lang w:val="ro-RO"/>
              </w:rPr>
              <w:t xml:space="preserve"> sau alb</w:t>
            </w:r>
            <w:r w:rsidRPr="00857CDA">
              <w:rPr>
                <w:sz w:val="18"/>
                <w:szCs w:val="18"/>
                <w:lang w:val="ro-RO"/>
              </w:rPr>
              <w:t>)</w:t>
            </w:r>
          </w:p>
        </w:tc>
        <w:tc>
          <w:tcPr>
            <w:tcW w:w="2402" w:type="dxa"/>
            <w:shd w:val="clear" w:color="auto" w:fill="auto"/>
            <w:vAlign w:val="center"/>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34" name="Picture 34"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419" w:type="dxa"/>
            <w:shd w:val="clear" w:color="auto" w:fill="auto"/>
            <w:vAlign w:val="center"/>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36" name="Picture 36"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826B2C" w:rsidRPr="00857CDA" w:rsidRDefault="00826B2C" w:rsidP="00E871C8">
            <w:pPr>
              <w:spacing w:before="40" w:after="80"/>
              <w:ind w:right="43"/>
              <w:jc w:val="center"/>
              <w:textDirection w:val="tbLrV"/>
              <w:rPr>
                <w:sz w:val="18"/>
                <w:szCs w:val="18"/>
                <w:lang w:val="ro-RO"/>
              </w:rPr>
            </w:pPr>
            <w:r w:rsidRPr="00857CDA">
              <w:rPr>
                <w:sz w:val="18"/>
                <w:szCs w:val="18"/>
                <w:lang w:val="ro-RO"/>
              </w:rPr>
              <w:t>-</w:t>
            </w:r>
          </w:p>
        </w:tc>
      </w:tr>
      <w:tr w:rsidR="008B7F29" w:rsidRPr="00857CDA" w:rsidTr="00AD44C0">
        <w:trPr>
          <w:cantSplit/>
        </w:trPr>
        <w:tc>
          <w:tcPr>
            <w:tcW w:w="0" w:type="auto"/>
            <w:shd w:val="clear" w:color="auto" w:fill="auto"/>
          </w:tcPr>
          <w:p w:rsidR="00826B2C" w:rsidRPr="00857CDA" w:rsidRDefault="00826B2C" w:rsidP="00E871C8">
            <w:pPr>
              <w:spacing w:before="40" w:after="80"/>
              <w:ind w:right="43"/>
              <w:jc w:val="center"/>
              <w:textDirection w:val="tbLrV"/>
              <w:rPr>
                <w:sz w:val="18"/>
                <w:szCs w:val="18"/>
                <w:lang w:val="ro-RO"/>
              </w:rPr>
            </w:pPr>
            <w:r w:rsidRPr="00857CDA">
              <w:rPr>
                <w:sz w:val="18"/>
                <w:szCs w:val="18"/>
                <w:lang w:val="ro-RO"/>
              </w:rPr>
              <w:t>2.3</w:t>
            </w:r>
          </w:p>
        </w:tc>
        <w:tc>
          <w:tcPr>
            <w:tcW w:w="0" w:type="auto"/>
            <w:shd w:val="clear" w:color="auto" w:fill="auto"/>
          </w:tcPr>
          <w:p w:rsidR="00826B2C" w:rsidRPr="00857CDA" w:rsidRDefault="00826B2C" w:rsidP="007F0D67">
            <w:pPr>
              <w:spacing w:before="40" w:after="80"/>
              <w:ind w:right="43"/>
              <w:jc w:val="center"/>
              <w:textDirection w:val="tbLrV"/>
              <w:rPr>
                <w:sz w:val="18"/>
                <w:szCs w:val="18"/>
                <w:lang w:val="ro-RO"/>
              </w:rPr>
            </w:pPr>
            <w:r w:rsidRPr="00857CDA">
              <w:rPr>
                <w:sz w:val="18"/>
                <w:szCs w:val="18"/>
                <w:lang w:val="ro-RO"/>
              </w:rPr>
              <w:t>Gaz</w:t>
            </w:r>
            <w:r w:rsidR="007F0D67" w:rsidRPr="00857CDA">
              <w:rPr>
                <w:sz w:val="18"/>
                <w:szCs w:val="18"/>
                <w:lang w:val="ro-RO"/>
              </w:rPr>
              <w:t>e</w:t>
            </w:r>
            <w:r w:rsidRPr="00857CDA">
              <w:rPr>
                <w:sz w:val="18"/>
                <w:szCs w:val="18"/>
                <w:lang w:val="ro-RO"/>
              </w:rPr>
              <w:t xml:space="preserve"> toxi</w:t>
            </w:r>
            <w:r w:rsidR="007F0D67" w:rsidRPr="00857CDA">
              <w:rPr>
                <w:sz w:val="18"/>
                <w:szCs w:val="18"/>
                <w:lang w:val="ro-RO"/>
              </w:rPr>
              <w:t>ce</w:t>
            </w:r>
          </w:p>
        </w:tc>
        <w:tc>
          <w:tcPr>
            <w:tcW w:w="0" w:type="auto"/>
            <w:shd w:val="clear" w:color="auto" w:fill="auto"/>
          </w:tcPr>
          <w:p w:rsidR="00826B2C" w:rsidRPr="00857CDA" w:rsidRDefault="008B7F29" w:rsidP="0021676A">
            <w:pPr>
              <w:spacing w:before="40" w:after="80"/>
              <w:ind w:right="43"/>
              <w:jc w:val="center"/>
              <w:textDirection w:val="tbLrV"/>
              <w:rPr>
                <w:sz w:val="18"/>
                <w:szCs w:val="18"/>
                <w:lang w:val="ro-RO"/>
              </w:rPr>
            </w:pPr>
            <w:r w:rsidRPr="00857CDA">
              <w:rPr>
                <w:sz w:val="18"/>
                <w:szCs w:val="18"/>
                <w:lang w:val="ro-RO"/>
              </w:rPr>
              <w:t>Cap de mort pe două tibii</w:t>
            </w:r>
            <w:r w:rsidR="00826B2C" w:rsidRPr="00857CDA">
              <w:rPr>
                <w:sz w:val="18"/>
                <w:szCs w:val="18"/>
                <w:lang w:val="ro-RO"/>
              </w:rPr>
              <w:t xml:space="preserve">: </w:t>
            </w:r>
            <w:r w:rsidR="007F0D67" w:rsidRPr="00857CDA">
              <w:rPr>
                <w:sz w:val="18"/>
                <w:szCs w:val="18"/>
                <w:lang w:val="ro-RO"/>
              </w:rPr>
              <w:t>negr</w:t>
            </w:r>
            <w:r w:rsidR="0021676A" w:rsidRPr="00857CDA">
              <w:rPr>
                <w:sz w:val="18"/>
                <w:szCs w:val="18"/>
                <w:lang w:val="ro-RO"/>
              </w:rPr>
              <w:t>u</w:t>
            </w:r>
          </w:p>
        </w:tc>
        <w:tc>
          <w:tcPr>
            <w:tcW w:w="0" w:type="auto"/>
            <w:shd w:val="clear" w:color="auto" w:fill="auto"/>
          </w:tcPr>
          <w:p w:rsidR="00826B2C" w:rsidRPr="00857CDA" w:rsidRDefault="008B7F29" w:rsidP="00E871C8">
            <w:pPr>
              <w:spacing w:before="40" w:after="80"/>
              <w:ind w:right="43"/>
              <w:jc w:val="center"/>
              <w:textDirection w:val="tbLrV"/>
              <w:rPr>
                <w:sz w:val="18"/>
                <w:szCs w:val="18"/>
                <w:lang w:val="ro-RO"/>
              </w:rPr>
            </w:pPr>
            <w:r w:rsidRPr="00857CDA">
              <w:rPr>
                <w:sz w:val="18"/>
                <w:szCs w:val="18"/>
                <w:lang w:val="ro-RO"/>
              </w:rPr>
              <w:t>Alb</w:t>
            </w:r>
          </w:p>
        </w:tc>
        <w:tc>
          <w:tcPr>
            <w:tcW w:w="1898" w:type="dxa"/>
            <w:shd w:val="clear" w:color="auto" w:fill="auto"/>
          </w:tcPr>
          <w:p w:rsidR="00826B2C" w:rsidRPr="00857CDA" w:rsidRDefault="00826B2C" w:rsidP="0021676A">
            <w:pPr>
              <w:spacing w:before="40" w:after="80"/>
              <w:ind w:right="43"/>
              <w:jc w:val="center"/>
              <w:textDirection w:val="tbLrV"/>
              <w:rPr>
                <w:sz w:val="18"/>
                <w:szCs w:val="18"/>
                <w:lang w:val="ro-RO"/>
              </w:rPr>
            </w:pPr>
            <w:r w:rsidRPr="00857CDA">
              <w:rPr>
                <w:sz w:val="18"/>
                <w:szCs w:val="18"/>
                <w:lang w:val="ro-RO"/>
              </w:rPr>
              <w:t xml:space="preserve">2 </w:t>
            </w:r>
            <w:r w:rsidRPr="00857CDA">
              <w:rPr>
                <w:sz w:val="18"/>
                <w:szCs w:val="18"/>
                <w:lang w:val="ro-RO"/>
              </w:rPr>
              <w:br/>
              <w:t>(</w:t>
            </w:r>
            <w:r w:rsidR="007F0D67" w:rsidRPr="00857CDA">
              <w:rPr>
                <w:sz w:val="18"/>
                <w:szCs w:val="18"/>
                <w:lang w:val="ro-RO"/>
              </w:rPr>
              <w:t>negr</w:t>
            </w:r>
            <w:r w:rsidR="0021676A" w:rsidRPr="00857CDA">
              <w:rPr>
                <w:sz w:val="18"/>
                <w:szCs w:val="18"/>
                <w:lang w:val="ro-RO"/>
              </w:rPr>
              <w:t>u</w:t>
            </w:r>
            <w:r w:rsidRPr="00857CDA">
              <w:rPr>
                <w:sz w:val="18"/>
                <w:szCs w:val="18"/>
                <w:lang w:val="ro-RO"/>
              </w:rPr>
              <w:t>)</w:t>
            </w:r>
          </w:p>
        </w:tc>
        <w:tc>
          <w:tcPr>
            <w:tcW w:w="3821" w:type="dxa"/>
            <w:gridSpan w:val="2"/>
            <w:shd w:val="clear" w:color="auto" w:fill="auto"/>
          </w:tcPr>
          <w:p w:rsidR="00826B2C" w:rsidRPr="00857CDA" w:rsidRDefault="00826B2C" w:rsidP="00E871C8">
            <w:pPr>
              <w:spacing w:before="40" w:after="80" w:line="240" w:lineRule="auto"/>
              <w:ind w:right="43"/>
              <w:jc w:val="center"/>
              <w:rPr>
                <w:lang w:val="ro-RO"/>
              </w:rPr>
            </w:pPr>
            <w:r w:rsidRPr="00857CDA">
              <w:rPr>
                <w:rFonts w:eastAsia="SimSun"/>
                <w:noProof/>
                <w:lang w:val="ro-RO" w:eastAsia="ro-RO"/>
              </w:rPr>
              <w:drawing>
                <wp:inline distT="0" distB="0" distL="0" distR="0">
                  <wp:extent cx="828675" cy="828675"/>
                  <wp:effectExtent l="0" t="0" r="9525" b="9525"/>
                  <wp:docPr id="38" name="Picture 38"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826B2C" w:rsidRPr="00857CDA" w:rsidRDefault="00826B2C" w:rsidP="00E871C8">
            <w:pPr>
              <w:spacing w:before="40" w:after="80"/>
              <w:ind w:right="43"/>
              <w:jc w:val="center"/>
              <w:textDirection w:val="tbLrV"/>
              <w:rPr>
                <w:sz w:val="18"/>
                <w:szCs w:val="18"/>
                <w:lang w:val="ro-RO"/>
              </w:rPr>
            </w:pPr>
            <w:r w:rsidRPr="00857CDA">
              <w:rPr>
                <w:sz w:val="18"/>
                <w:szCs w:val="18"/>
                <w:lang w:val="ro-RO"/>
              </w:rPr>
              <w:t xml:space="preserve">- </w:t>
            </w:r>
          </w:p>
        </w:tc>
      </w:tr>
    </w:tbl>
    <w:p w:rsidR="00826B2C" w:rsidRPr="00857CDA" w:rsidRDefault="00826B2C" w:rsidP="00826B2C">
      <w:pPr>
        <w:pStyle w:val="SingleTxt"/>
        <w:rPr>
          <w:lang w:val="ro-RO"/>
        </w:rPr>
      </w:pPr>
    </w:p>
    <w:p w:rsidR="00826B2C" w:rsidRPr="00857CDA" w:rsidRDefault="00826B2C" w:rsidP="00826B2C">
      <w:pPr>
        <w:spacing w:line="240" w:lineRule="auto"/>
        <w:rPr>
          <w:lang w:val="ro-RO"/>
        </w:rPr>
      </w:pPr>
      <w:r w:rsidRPr="00857CDA">
        <w:rPr>
          <w:lang w:val="ro-RO"/>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3"/>
        <w:gridCol w:w="1485"/>
        <w:gridCol w:w="2399"/>
        <w:gridCol w:w="1333"/>
        <w:gridCol w:w="1418"/>
        <w:gridCol w:w="2100"/>
        <w:gridCol w:w="1579"/>
        <w:gridCol w:w="1133"/>
      </w:tblGrid>
      <w:tr w:rsidR="00AD44C0" w:rsidRPr="00857CDA" w:rsidTr="00E871C8">
        <w:tc>
          <w:tcPr>
            <w:tcW w:w="0" w:type="auto"/>
            <w:tcBorders>
              <w:bottom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lastRenderedPageBreak/>
              <w:t>Nr. de model de etichetă</w:t>
            </w:r>
          </w:p>
        </w:tc>
        <w:tc>
          <w:tcPr>
            <w:tcW w:w="0" w:type="auto"/>
            <w:tcBorders>
              <w:bottom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Diviziune sau Categorie</w:t>
            </w:r>
          </w:p>
        </w:tc>
        <w:tc>
          <w:tcPr>
            <w:tcW w:w="0" w:type="auto"/>
            <w:tcBorders>
              <w:bottom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Semnul convențional și culoarea semnului</w:t>
            </w:r>
          </w:p>
        </w:tc>
        <w:tc>
          <w:tcPr>
            <w:tcW w:w="1333" w:type="dxa"/>
            <w:tcBorders>
              <w:bottom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Fond</w:t>
            </w:r>
          </w:p>
        </w:tc>
        <w:tc>
          <w:tcPr>
            <w:tcW w:w="1418" w:type="dxa"/>
            <w:tcBorders>
              <w:bottom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Cifra care figurează în colțul inferior (și culoarea cifrei)</w:t>
            </w:r>
          </w:p>
        </w:tc>
        <w:tc>
          <w:tcPr>
            <w:tcW w:w="3679" w:type="dxa"/>
            <w:gridSpan w:val="2"/>
            <w:tcBorders>
              <w:bottom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Modelul de etichetă</w:t>
            </w:r>
          </w:p>
        </w:tc>
        <w:tc>
          <w:tcPr>
            <w:tcW w:w="1133" w:type="dxa"/>
            <w:tcBorders>
              <w:bottom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Notă</w:t>
            </w:r>
          </w:p>
        </w:tc>
      </w:tr>
      <w:tr w:rsidR="00826B2C" w:rsidRPr="007D305F"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8B7F29">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8B7F29"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3: Li</w:t>
            </w:r>
            <w:r w:rsidR="008B7F29" w:rsidRPr="00857CDA">
              <w:rPr>
                <w:b/>
                <w:sz w:val="18"/>
                <w:szCs w:val="18"/>
                <w:lang w:val="ro-RO"/>
              </w:rPr>
              <w:t>chide inflamabile</w:t>
            </w:r>
          </w:p>
        </w:tc>
      </w:tr>
      <w:tr w:rsidR="00826B2C" w:rsidRPr="00857CDA" w:rsidTr="00AD44C0">
        <w:tblPrEx>
          <w:tblCellMar>
            <w:left w:w="108" w:type="dxa"/>
            <w:right w:w="108" w:type="dxa"/>
          </w:tblCellMar>
          <w:tblLook w:val="04A0" w:firstRow="1" w:lastRow="0" w:firstColumn="1" w:lastColumn="0" w:noHBand="0" w:noVBand="1"/>
        </w:tblPrEx>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3</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0" w:type="auto"/>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Fla</w:t>
            </w:r>
            <w:r w:rsidR="008B7F29" w:rsidRPr="00857CDA">
              <w:rPr>
                <w:sz w:val="18"/>
                <w:szCs w:val="18"/>
                <w:lang w:val="ro-RO"/>
              </w:rPr>
              <w:t>cără</w:t>
            </w:r>
            <w:r w:rsidRPr="00857CDA">
              <w:rPr>
                <w:sz w:val="18"/>
                <w:szCs w:val="18"/>
                <w:lang w:val="ro-RO"/>
              </w:rPr>
              <w:t xml:space="preserve">: </w:t>
            </w:r>
            <w:r w:rsidRPr="00857CDA">
              <w:rPr>
                <w:sz w:val="18"/>
                <w:szCs w:val="18"/>
                <w:lang w:val="ro-RO"/>
              </w:rPr>
              <w:br/>
            </w:r>
            <w:r w:rsidR="007F0D67" w:rsidRPr="00857CDA">
              <w:rPr>
                <w:sz w:val="18"/>
                <w:szCs w:val="18"/>
                <w:lang w:val="ro-RO"/>
              </w:rPr>
              <w:t>negr</w:t>
            </w:r>
            <w:r w:rsidR="0021676A" w:rsidRPr="00857CDA">
              <w:rPr>
                <w:sz w:val="18"/>
                <w:szCs w:val="18"/>
                <w:lang w:val="ro-RO"/>
              </w:rPr>
              <w:t>u</w:t>
            </w:r>
            <w:r w:rsidR="007F0D67" w:rsidRPr="00857CDA">
              <w:rPr>
                <w:sz w:val="18"/>
                <w:szCs w:val="18"/>
                <w:lang w:val="ro-RO"/>
              </w:rPr>
              <w:t xml:space="preserve"> sau alb</w:t>
            </w:r>
          </w:p>
        </w:tc>
        <w:tc>
          <w:tcPr>
            <w:tcW w:w="1333" w:type="dxa"/>
            <w:shd w:val="clear" w:color="auto" w:fill="auto"/>
          </w:tcPr>
          <w:p w:rsidR="00826B2C" w:rsidRPr="00857CDA" w:rsidRDefault="00826B2C" w:rsidP="008B7F29">
            <w:pPr>
              <w:spacing w:before="40" w:after="80"/>
              <w:ind w:right="43"/>
              <w:jc w:val="center"/>
              <w:rPr>
                <w:sz w:val="18"/>
                <w:szCs w:val="18"/>
                <w:lang w:val="ro-RO"/>
              </w:rPr>
            </w:pPr>
            <w:r w:rsidRPr="00857CDA">
              <w:rPr>
                <w:sz w:val="18"/>
                <w:szCs w:val="18"/>
                <w:lang w:val="ro-RO"/>
              </w:rPr>
              <w:t>Ro</w:t>
            </w:r>
            <w:r w:rsidR="008B7F29" w:rsidRPr="00857CDA">
              <w:rPr>
                <w:sz w:val="18"/>
                <w:szCs w:val="18"/>
                <w:lang w:val="ro-RO"/>
              </w:rPr>
              <w:t>șu</w:t>
            </w:r>
          </w:p>
        </w:tc>
        <w:tc>
          <w:tcPr>
            <w:tcW w:w="1418" w:type="dxa"/>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 xml:space="preserve">3 </w:t>
            </w:r>
            <w:r w:rsidRPr="00857CDA">
              <w:rPr>
                <w:sz w:val="18"/>
                <w:szCs w:val="18"/>
                <w:lang w:val="ro-RO"/>
              </w:rPr>
              <w:br/>
              <w:t>(</w:t>
            </w:r>
            <w:r w:rsidR="007F0D67" w:rsidRPr="00857CDA">
              <w:rPr>
                <w:sz w:val="18"/>
                <w:szCs w:val="18"/>
                <w:lang w:val="ro-RO"/>
              </w:rPr>
              <w:t>negr</w:t>
            </w:r>
            <w:r w:rsidR="0021676A" w:rsidRPr="00857CDA">
              <w:rPr>
                <w:sz w:val="18"/>
                <w:szCs w:val="18"/>
                <w:lang w:val="ro-RO"/>
              </w:rPr>
              <w:t>u</w:t>
            </w:r>
            <w:r w:rsidR="007F0D67" w:rsidRPr="00857CDA">
              <w:rPr>
                <w:sz w:val="18"/>
                <w:szCs w:val="18"/>
                <w:lang w:val="ro-RO"/>
              </w:rPr>
              <w:t xml:space="preserve"> sau alb</w:t>
            </w:r>
            <w:r w:rsidRPr="00857CDA">
              <w:rPr>
                <w:sz w:val="18"/>
                <w:szCs w:val="18"/>
                <w:lang w:val="ro-RO"/>
              </w:rPr>
              <w:t>)</w:t>
            </w:r>
          </w:p>
        </w:tc>
        <w:tc>
          <w:tcPr>
            <w:tcW w:w="2100" w:type="dxa"/>
            <w:shd w:val="clear" w:color="auto" w:fill="auto"/>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33755" cy="833755"/>
                  <wp:effectExtent l="0" t="0" r="4445" b="4445"/>
                  <wp:docPr id="42" name="Picture 42"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p w:rsidR="00BC07F8" w:rsidRPr="00857CDA" w:rsidRDefault="00BC07F8" w:rsidP="00E871C8">
            <w:pPr>
              <w:spacing w:before="40" w:after="80" w:line="240" w:lineRule="auto"/>
              <w:ind w:right="43"/>
              <w:jc w:val="center"/>
              <w:rPr>
                <w:sz w:val="18"/>
                <w:szCs w:val="18"/>
                <w:lang w:val="ro-RO" w:eastAsia="ru-RU"/>
              </w:rPr>
            </w:pPr>
          </w:p>
        </w:tc>
        <w:tc>
          <w:tcPr>
            <w:tcW w:w="1579" w:type="dxa"/>
            <w:shd w:val="clear" w:color="auto" w:fill="auto"/>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33755" cy="833755"/>
                  <wp:effectExtent l="0" t="0" r="4445" b="4445"/>
                  <wp:docPr id="43" name="Picture 43"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826B2C" w:rsidRPr="00857CDA" w:rsidRDefault="00826B2C" w:rsidP="00E871C8">
            <w:pPr>
              <w:spacing w:before="40" w:after="80" w:line="220" w:lineRule="exact"/>
              <w:jc w:val="center"/>
              <w:textDirection w:val="tbLrV"/>
              <w:rPr>
                <w:sz w:val="18"/>
                <w:szCs w:val="18"/>
                <w:lang w:val="ro-RO"/>
              </w:rPr>
            </w:pPr>
            <w:r w:rsidRPr="00857CDA">
              <w:rPr>
                <w:sz w:val="18"/>
                <w:szCs w:val="18"/>
                <w:lang w:val="ro-RO"/>
              </w:rPr>
              <w:t>-</w:t>
            </w:r>
          </w:p>
        </w:tc>
      </w:tr>
      <w:tr w:rsidR="00826B2C" w:rsidRPr="00857CDA"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8B7F29">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8B7F29"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4.1: </w:t>
            </w:r>
            <w:r w:rsidR="008B7F29" w:rsidRPr="00857CDA">
              <w:rPr>
                <w:b/>
                <w:sz w:val="18"/>
                <w:szCs w:val="18"/>
                <w:lang w:val="ro-RO"/>
              </w:rPr>
              <w:t>Substanțe solide inflamabile, substanțe autoreactive, substanțe care polimerizează și substanțe solide explozive</w:t>
            </w:r>
          </w:p>
        </w:tc>
      </w:tr>
      <w:tr w:rsidR="00826B2C" w:rsidRPr="00857CDA" w:rsidTr="00AD44C0">
        <w:tblPrEx>
          <w:tblCellMar>
            <w:left w:w="108" w:type="dxa"/>
            <w:right w:w="108" w:type="dxa"/>
          </w:tblCellMar>
          <w:tblLook w:val="04A0" w:firstRow="1" w:lastRow="0" w:firstColumn="1" w:lastColumn="0" w:noHBand="0" w:noVBand="1"/>
        </w:tblPrEx>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4.1</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0" w:type="auto"/>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Fla</w:t>
            </w:r>
            <w:r w:rsidR="008B7F29" w:rsidRPr="00857CDA">
              <w:rPr>
                <w:sz w:val="18"/>
                <w:szCs w:val="18"/>
                <w:lang w:val="ro-RO"/>
              </w:rPr>
              <w:t>cără</w:t>
            </w:r>
            <w:r w:rsidRPr="00857CDA">
              <w:rPr>
                <w:sz w:val="18"/>
                <w:szCs w:val="18"/>
                <w:lang w:val="ro-RO"/>
              </w:rPr>
              <w:t xml:space="preserve">: </w:t>
            </w:r>
            <w:r w:rsidR="007F0D67" w:rsidRPr="00857CDA">
              <w:rPr>
                <w:sz w:val="18"/>
                <w:szCs w:val="18"/>
                <w:lang w:val="ro-RO"/>
              </w:rPr>
              <w:t>negr</w:t>
            </w:r>
            <w:r w:rsidR="0021676A" w:rsidRPr="00857CDA">
              <w:rPr>
                <w:sz w:val="18"/>
                <w:szCs w:val="18"/>
                <w:lang w:val="ro-RO"/>
              </w:rPr>
              <w:t>u</w:t>
            </w:r>
          </w:p>
        </w:tc>
        <w:tc>
          <w:tcPr>
            <w:tcW w:w="1333" w:type="dxa"/>
            <w:shd w:val="clear" w:color="auto" w:fill="auto"/>
          </w:tcPr>
          <w:p w:rsidR="00826B2C" w:rsidRPr="00857CDA" w:rsidRDefault="00BC07F8" w:rsidP="00BC07F8">
            <w:pPr>
              <w:spacing w:before="40" w:after="80"/>
              <w:ind w:right="43"/>
              <w:jc w:val="center"/>
              <w:rPr>
                <w:sz w:val="18"/>
                <w:szCs w:val="18"/>
                <w:lang w:val="ro-RO"/>
              </w:rPr>
            </w:pPr>
            <w:r w:rsidRPr="00857CDA">
              <w:rPr>
                <w:sz w:val="18"/>
                <w:lang w:val="ro-RO"/>
              </w:rPr>
              <w:t>Alb cu șapte benzi verticale roșii</w:t>
            </w:r>
          </w:p>
        </w:tc>
        <w:tc>
          <w:tcPr>
            <w:tcW w:w="1418" w:type="dxa"/>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 xml:space="preserve">4 </w:t>
            </w:r>
            <w:r w:rsidRPr="00857CDA">
              <w:rPr>
                <w:sz w:val="18"/>
                <w:szCs w:val="18"/>
                <w:lang w:val="ro-RO"/>
              </w:rPr>
              <w:br/>
              <w:t>(</w:t>
            </w:r>
            <w:r w:rsidR="007F0D67" w:rsidRPr="00857CDA">
              <w:rPr>
                <w:sz w:val="18"/>
                <w:szCs w:val="18"/>
                <w:lang w:val="ro-RO"/>
              </w:rPr>
              <w:t>negr</w:t>
            </w:r>
            <w:r w:rsidR="0021676A" w:rsidRPr="00857CDA">
              <w:rPr>
                <w:sz w:val="18"/>
                <w:szCs w:val="18"/>
                <w:lang w:val="ro-RO"/>
              </w:rPr>
              <w:t>u</w:t>
            </w:r>
            <w:r w:rsidRPr="00857CDA">
              <w:rPr>
                <w:sz w:val="18"/>
                <w:szCs w:val="18"/>
                <w:lang w:val="ro-RO"/>
              </w:rPr>
              <w:t>)</w:t>
            </w:r>
          </w:p>
        </w:tc>
        <w:tc>
          <w:tcPr>
            <w:tcW w:w="3679" w:type="dxa"/>
            <w:gridSpan w:val="2"/>
            <w:shd w:val="clear" w:color="auto" w:fill="auto"/>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43280" cy="833755"/>
                  <wp:effectExtent l="0" t="0" r="0" b="4445"/>
                  <wp:docPr id="44" name="Picture 44"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p w:rsidR="00BC07F8" w:rsidRPr="00857CDA" w:rsidRDefault="00BC07F8" w:rsidP="00E871C8">
            <w:pPr>
              <w:spacing w:before="40" w:after="80" w:line="240" w:lineRule="auto"/>
              <w:ind w:right="43"/>
              <w:jc w:val="center"/>
              <w:rPr>
                <w:sz w:val="18"/>
                <w:szCs w:val="18"/>
                <w:lang w:val="ro-RO" w:eastAsia="ru-RU"/>
              </w:rPr>
            </w:pPr>
          </w:p>
        </w:tc>
        <w:tc>
          <w:tcPr>
            <w:tcW w:w="1133" w:type="dxa"/>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r>
      <w:tr w:rsidR="00826B2C" w:rsidRPr="007D305F"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BC07F8">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BC07F8"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4.2: </w:t>
            </w:r>
            <w:r w:rsidR="00BC07F8" w:rsidRPr="00857CDA">
              <w:rPr>
                <w:b/>
                <w:sz w:val="18"/>
                <w:szCs w:val="18"/>
                <w:lang w:val="ro-RO"/>
              </w:rPr>
              <w:t>Substanțe predispuse la aprindere spontană</w:t>
            </w:r>
          </w:p>
        </w:tc>
      </w:tr>
      <w:tr w:rsidR="00826B2C" w:rsidRPr="00857CDA" w:rsidTr="00AD44C0">
        <w:tblPrEx>
          <w:tblCellMar>
            <w:left w:w="108" w:type="dxa"/>
            <w:right w:w="108" w:type="dxa"/>
          </w:tblCellMar>
          <w:tblLook w:val="04A0" w:firstRow="1" w:lastRow="0" w:firstColumn="1" w:lastColumn="0" w:noHBand="0" w:noVBand="1"/>
        </w:tblPrEx>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4.2</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0" w:type="auto"/>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Fla</w:t>
            </w:r>
            <w:r w:rsidR="008B7F29" w:rsidRPr="00857CDA">
              <w:rPr>
                <w:sz w:val="18"/>
                <w:szCs w:val="18"/>
                <w:lang w:val="ro-RO"/>
              </w:rPr>
              <w:t>cără</w:t>
            </w:r>
            <w:r w:rsidRPr="00857CDA">
              <w:rPr>
                <w:sz w:val="18"/>
                <w:szCs w:val="18"/>
                <w:lang w:val="ro-RO"/>
              </w:rPr>
              <w:t xml:space="preserve">: </w:t>
            </w:r>
            <w:r w:rsidR="007F0D67" w:rsidRPr="00857CDA">
              <w:rPr>
                <w:sz w:val="18"/>
                <w:szCs w:val="18"/>
                <w:lang w:val="ro-RO"/>
              </w:rPr>
              <w:t>negr</w:t>
            </w:r>
            <w:r w:rsidR="0021676A" w:rsidRPr="00857CDA">
              <w:rPr>
                <w:sz w:val="18"/>
                <w:szCs w:val="18"/>
                <w:lang w:val="ro-RO"/>
              </w:rPr>
              <w:t>u</w:t>
            </w:r>
          </w:p>
        </w:tc>
        <w:tc>
          <w:tcPr>
            <w:tcW w:w="1333" w:type="dxa"/>
            <w:shd w:val="clear" w:color="auto" w:fill="auto"/>
          </w:tcPr>
          <w:p w:rsidR="00826B2C" w:rsidRPr="00857CDA" w:rsidRDefault="00BC07F8" w:rsidP="00BC07F8">
            <w:pPr>
              <w:spacing w:before="40" w:after="80"/>
              <w:ind w:right="43"/>
              <w:jc w:val="center"/>
              <w:rPr>
                <w:sz w:val="18"/>
                <w:szCs w:val="18"/>
                <w:lang w:val="ro-RO"/>
              </w:rPr>
            </w:pPr>
            <w:r w:rsidRPr="00857CDA">
              <w:rPr>
                <w:sz w:val="18"/>
                <w:szCs w:val="18"/>
                <w:lang w:val="ro-RO"/>
              </w:rPr>
              <w:t>Jumătatea superioară</w:t>
            </w:r>
            <w:r w:rsidR="00826B2C" w:rsidRPr="00857CDA">
              <w:rPr>
                <w:sz w:val="18"/>
                <w:szCs w:val="18"/>
                <w:lang w:val="ro-RO"/>
              </w:rPr>
              <w:t xml:space="preserve">: </w:t>
            </w:r>
            <w:r w:rsidRPr="00857CDA">
              <w:rPr>
                <w:sz w:val="18"/>
                <w:szCs w:val="18"/>
                <w:lang w:val="ro-RO"/>
              </w:rPr>
              <w:t>alb</w:t>
            </w:r>
            <w:r w:rsidR="00826B2C" w:rsidRPr="00857CDA">
              <w:rPr>
                <w:sz w:val="18"/>
                <w:szCs w:val="18"/>
                <w:lang w:val="ro-RO"/>
              </w:rPr>
              <w:t>;</w:t>
            </w:r>
            <w:r w:rsidR="00826B2C" w:rsidRPr="00857CDA">
              <w:rPr>
                <w:sz w:val="18"/>
                <w:szCs w:val="18"/>
                <w:lang w:val="ro-RO"/>
              </w:rPr>
              <w:br/>
            </w:r>
            <w:r w:rsidRPr="00857CDA">
              <w:rPr>
                <w:sz w:val="18"/>
                <w:szCs w:val="18"/>
                <w:lang w:val="ro-RO"/>
              </w:rPr>
              <w:t>Jumătatea inferioară</w:t>
            </w:r>
            <w:r w:rsidR="00826B2C" w:rsidRPr="00857CDA">
              <w:rPr>
                <w:sz w:val="18"/>
                <w:szCs w:val="18"/>
                <w:lang w:val="ro-RO"/>
              </w:rPr>
              <w:t>:</w:t>
            </w:r>
            <w:r w:rsidR="00826B2C" w:rsidRPr="00857CDA">
              <w:rPr>
                <w:sz w:val="18"/>
                <w:szCs w:val="18"/>
                <w:lang w:val="ro-RO"/>
              </w:rPr>
              <w:br/>
              <w:t>ro</w:t>
            </w:r>
            <w:r w:rsidRPr="00857CDA">
              <w:rPr>
                <w:sz w:val="18"/>
                <w:szCs w:val="18"/>
                <w:lang w:val="ro-RO"/>
              </w:rPr>
              <w:t>șu</w:t>
            </w:r>
          </w:p>
        </w:tc>
        <w:tc>
          <w:tcPr>
            <w:tcW w:w="1418" w:type="dxa"/>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 xml:space="preserve">4 </w:t>
            </w:r>
            <w:r w:rsidRPr="00857CDA">
              <w:rPr>
                <w:sz w:val="18"/>
                <w:szCs w:val="18"/>
                <w:lang w:val="ro-RO"/>
              </w:rPr>
              <w:br/>
              <w:t>(</w:t>
            </w:r>
            <w:r w:rsidR="007F0D67" w:rsidRPr="00857CDA">
              <w:rPr>
                <w:sz w:val="18"/>
                <w:szCs w:val="18"/>
                <w:lang w:val="ro-RO"/>
              </w:rPr>
              <w:t>negr</w:t>
            </w:r>
            <w:r w:rsidR="0021676A" w:rsidRPr="00857CDA">
              <w:rPr>
                <w:sz w:val="18"/>
                <w:szCs w:val="18"/>
                <w:lang w:val="ro-RO"/>
              </w:rPr>
              <w:t>u</w:t>
            </w:r>
            <w:r w:rsidRPr="00857CDA">
              <w:rPr>
                <w:sz w:val="18"/>
                <w:szCs w:val="18"/>
                <w:lang w:val="ro-RO"/>
              </w:rPr>
              <w:t>)</w:t>
            </w:r>
          </w:p>
        </w:tc>
        <w:tc>
          <w:tcPr>
            <w:tcW w:w="3679" w:type="dxa"/>
            <w:gridSpan w:val="2"/>
            <w:shd w:val="clear" w:color="auto" w:fill="auto"/>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45" name="Picture 45"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r>
      <w:tr w:rsidR="00826B2C" w:rsidRPr="007D305F"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BC07F8">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BC07F8"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4.3: </w:t>
            </w:r>
            <w:r w:rsidR="00BC07F8" w:rsidRPr="00857CDA">
              <w:rPr>
                <w:b/>
                <w:sz w:val="18"/>
                <w:szCs w:val="18"/>
                <w:lang w:val="ro-RO"/>
              </w:rPr>
              <w:t>Substanțe care, în contact cu apa, degajă gaze inflamabile</w:t>
            </w:r>
          </w:p>
        </w:tc>
      </w:tr>
      <w:tr w:rsidR="00826B2C" w:rsidRPr="00857CDA" w:rsidTr="00E871C8">
        <w:tblPrEx>
          <w:tblCellMar>
            <w:left w:w="108" w:type="dxa"/>
            <w:right w:w="108" w:type="dxa"/>
          </w:tblCellMar>
          <w:tblLook w:val="04A0" w:firstRow="1" w:lastRow="0" w:firstColumn="1" w:lastColumn="0" w:noHBand="0" w:noVBand="1"/>
        </w:tblPrEx>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4.3</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0" w:type="auto"/>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Fla</w:t>
            </w:r>
            <w:r w:rsidR="00BC07F8" w:rsidRPr="00857CDA">
              <w:rPr>
                <w:sz w:val="18"/>
                <w:szCs w:val="18"/>
                <w:lang w:val="ro-RO"/>
              </w:rPr>
              <w:t>cără</w:t>
            </w:r>
            <w:r w:rsidRPr="00857CDA">
              <w:rPr>
                <w:sz w:val="18"/>
                <w:szCs w:val="18"/>
                <w:lang w:val="ro-RO"/>
              </w:rPr>
              <w:t xml:space="preserve">: </w:t>
            </w:r>
            <w:r w:rsidR="007F0D67" w:rsidRPr="00857CDA">
              <w:rPr>
                <w:sz w:val="18"/>
                <w:szCs w:val="18"/>
                <w:lang w:val="ro-RO"/>
              </w:rPr>
              <w:t>negr</w:t>
            </w:r>
            <w:r w:rsidR="0021676A" w:rsidRPr="00857CDA">
              <w:rPr>
                <w:sz w:val="18"/>
                <w:szCs w:val="18"/>
                <w:lang w:val="ro-RO"/>
              </w:rPr>
              <w:t>u</w:t>
            </w:r>
            <w:r w:rsidR="007F0D67" w:rsidRPr="00857CDA">
              <w:rPr>
                <w:sz w:val="18"/>
                <w:szCs w:val="18"/>
                <w:lang w:val="ro-RO"/>
              </w:rPr>
              <w:t xml:space="preserve"> sau alb</w:t>
            </w:r>
          </w:p>
        </w:tc>
        <w:tc>
          <w:tcPr>
            <w:tcW w:w="1333" w:type="dxa"/>
            <w:shd w:val="clear" w:color="auto" w:fill="auto"/>
          </w:tcPr>
          <w:p w:rsidR="00826B2C" w:rsidRPr="00857CDA" w:rsidRDefault="007F0D67" w:rsidP="00E871C8">
            <w:pPr>
              <w:spacing w:before="40" w:after="80"/>
              <w:ind w:right="43"/>
              <w:jc w:val="center"/>
              <w:rPr>
                <w:sz w:val="18"/>
                <w:szCs w:val="18"/>
                <w:lang w:val="ro-RO"/>
              </w:rPr>
            </w:pPr>
            <w:r w:rsidRPr="00857CDA">
              <w:rPr>
                <w:sz w:val="18"/>
                <w:szCs w:val="18"/>
                <w:lang w:val="ro-RO"/>
              </w:rPr>
              <w:t>Albastru</w:t>
            </w:r>
          </w:p>
        </w:tc>
        <w:tc>
          <w:tcPr>
            <w:tcW w:w="1418" w:type="dxa"/>
            <w:shd w:val="clear" w:color="auto" w:fill="auto"/>
          </w:tcPr>
          <w:p w:rsidR="00826B2C" w:rsidRPr="00857CDA" w:rsidRDefault="00826B2C" w:rsidP="0021676A">
            <w:pPr>
              <w:spacing w:before="40" w:after="80"/>
              <w:ind w:right="43"/>
              <w:jc w:val="center"/>
              <w:rPr>
                <w:sz w:val="18"/>
                <w:szCs w:val="18"/>
                <w:lang w:val="ro-RO"/>
              </w:rPr>
            </w:pPr>
            <w:r w:rsidRPr="00857CDA">
              <w:rPr>
                <w:sz w:val="18"/>
                <w:szCs w:val="18"/>
                <w:lang w:val="ro-RO"/>
              </w:rPr>
              <w:t xml:space="preserve">4 </w:t>
            </w:r>
            <w:r w:rsidRPr="00857CDA">
              <w:rPr>
                <w:sz w:val="18"/>
                <w:szCs w:val="18"/>
                <w:lang w:val="ro-RO"/>
              </w:rPr>
              <w:br/>
              <w:t>(</w:t>
            </w:r>
            <w:r w:rsidR="00857CDA" w:rsidRPr="00857CDA">
              <w:rPr>
                <w:sz w:val="18"/>
                <w:szCs w:val="18"/>
                <w:lang w:val="ro-RO"/>
              </w:rPr>
              <w:t>negru</w:t>
            </w:r>
            <w:r w:rsidR="007F0D67" w:rsidRPr="00857CDA">
              <w:rPr>
                <w:sz w:val="18"/>
                <w:szCs w:val="18"/>
                <w:lang w:val="ro-RO"/>
              </w:rPr>
              <w:t xml:space="preserve"> sau alb</w:t>
            </w:r>
            <w:r w:rsidRPr="00857CDA">
              <w:rPr>
                <w:sz w:val="18"/>
                <w:szCs w:val="18"/>
                <w:lang w:val="ro-RO"/>
              </w:rPr>
              <w:t>)</w:t>
            </w:r>
          </w:p>
        </w:tc>
        <w:tc>
          <w:tcPr>
            <w:tcW w:w="2100" w:type="dxa"/>
            <w:shd w:val="clear" w:color="auto" w:fill="auto"/>
          </w:tcPr>
          <w:p w:rsidR="00826B2C" w:rsidRPr="00857CDA" w:rsidRDefault="00826B2C" w:rsidP="007F0D67">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33755" cy="833755"/>
                  <wp:effectExtent l="0" t="0" r="4445" b="4445"/>
                  <wp:docPr id="46" name="Picture 46"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p w:rsidR="00BC07F8" w:rsidRPr="00857CDA" w:rsidRDefault="00BC07F8" w:rsidP="007F0D67">
            <w:pPr>
              <w:spacing w:before="40" w:after="80" w:line="240" w:lineRule="auto"/>
              <w:ind w:right="43"/>
              <w:jc w:val="center"/>
              <w:rPr>
                <w:sz w:val="18"/>
                <w:szCs w:val="18"/>
                <w:lang w:val="ro-RO" w:eastAsia="ru-RU"/>
              </w:rPr>
            </w:pPr>
          </w:p>
        </w:tc>
        <w:tc>
          <w:tcPr>
            <w:tcW w:w="1579" w:type="dxa"/>
            <w:shd w:val="clear" w:color="auto" w:fill="auto"/>
          </w:tcPr>
          <w:p w:rsidR="00826B2C" w:rsidRPr="00857CDA" w:rsidRDefault="00826B2C" w:rsidP="00E871C8">
            <w:pPr>
              <w:spacing w:before="40" w:after="80" w:line="240" w:lineRule="auto"/>
              <w:ind w:right="43"/>
              <w:rPr>
                <w:sz w:val="18"/>
                <w:szCs w:val="18"/>
                <w:lang w:val="ro-RO" w:eastAsia="ru-RU"/>
              </w:rPr>
            </w:pPr>
            <w:r w:rsidRPr="00857CDA">
              <w:rPr>
                <w:rFonts w:eastAsia="SimSun"/>
                <w:noProof/>
                <w:lang w:val="ro-RO" w:eastAsia="ro-RO"/>
              </w:rPr>
              <w:drawing>
                <wp:inline distT="0" distB="0" distL="0" distR="0">
                  <wp:extent cx="833755" cy="833755"/>
                  <wp:effectExtent l="0" t="0" r="4445" b="4445"/>
                  <wp:docPr id="47" name="Picture 47"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r>
    </w:tbl>
    <w:p w:rsidR="00826B2C" w:rsidRPr="00857CDA" w:rsidRDefault="00826B2C" w:rsidP="00826B2C">
      <w:pPr>
        <w:spacing w:line="240" w:lineRule="auto"/>
        <w:rPr>
          <w:lang w:val="ro-RO"/>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0"/>
        <w:gridCol w:w="1098"/>
        <w:gridCol w:w="1800"/>
        <w:gridCol w:w="1328"/>
        <w:gridCol w:w="1671"/>
        <w:gridCol w:w="1506"/>
        <w:gridCol w:w="1536"/>
        <w:gridCol w:w="2961"/>
      </w:tblGrid>
      <w:tr w:rsidR="00AD44C0" w:rsidRPr="00857CDA" w:rsidTr="00E871C8">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lastRenderedPageBreak/>
              <w:t>Nr. de model de etichetă</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Diviziune sau Categorie</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Semnul convențional și culoarea semnului</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Fond</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Cifra care figurează în colțul inferior (și culoarea cifrei)</w:t>
            </w:r>
          </w:p>
        </w:tc>
        <w:tc>
          <w:tcPr>
            <w:tcW w:w="0" w:type="auto"/>
            <w:gridSpan w:val="2"/>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Modelul de etichetă</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Notă</w:t>
            </w:r>
          </w:p>
        </w:tc>
      </w:tr>
      <w:tr w:rsidR="00826B2C" w:rsidRPr="007D305F"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BC07F8">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BC07F8"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5.1: </w:t>
            </w:r>
            <w:r w:rsidR="00BC07F8" w:rsidRPr="00857CDA">
              <w:rPr>
                <w:b/>
                <w:sz w:val="18"/>
                <w:szCs w:val="18"/>
                <w:lang w:val="ro-RO"/>
              </w:rPr>
              <w:t>Substanțe comburante (oxidante)</w:t>
            </w:r>
            <w:r w:rsidR="00826B2C" w:rsidRPr="00857CDA">
              <w:rPr>
                <w:b/>
                <w:sz w:val="18"/>
                <w:szCs w:val="18"/>
                <w:lang w:val="ro-RO"/>
              </w:rPr>
              <w:t xml:space="preserve"> </w:t>
            </w:r>
          </w:p>
        </w:tc>
      </w:tr>
      <w:tr w:rsidR="00826B2C" w:rsidRPr="00857CDA" w:rsidTr="00E871C8">
        <w:tblPrEx>
          <w:tblCellMar>
            <w:left w:w="108" w:type="dxa"/>
            <w:right w:w="108" w:type="dxa"/>
          </w:tblCellMar>
          <w:tblLook w:val="04A0" w:firstRow="1" w:lastRow="0" w:firstColumn="1" w:lastColumn="0" w:noHBand="0" w:noVBand="1"/>
        </w:tblPrEx>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5.1</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0" w:type="auto"/>
            <w:shd w:val="clear" w:color="auto" w:fill="auto"/>
          </w:tcPr>
          <w:p w:rsidR="00826B2C" w:rsidRPr="00857CDA" w:rsidRDefault="00BC07F8" w:rsidP="007F0D67">
            <w:pPr>
              <w:spacing w:before="40" w:after="80"/>
              <w:ind w:right="43"/>
              <w:jc w:val="center"/>
              <w:rPr>
                <w:sz w:val="18"/>
                <w:szCs w:val="18"/>
                <w:lang w:val="ro-RO"/>
              </w:rPr>
            </w:pPr>
            <w:r w:rsidRPr="00857CDA">
              <w:rPr>
                <w:lang w:val="ro-RO"/>
              </w:rPr>
              <w:t>flacără peste cerc</w:t>
            </w:r>
            <w:r w:rsidR="00826B2C" w:rsidRPr="00857CDA">
              <w:rPr>
                <w:sz w:val="18"/>
                <w:szCs w:val="18"/>
                <w:lang w:val="ro-RO"/>
              </w:rPr>
              <w:t xml:space="preserve">: </w:t>
            </w:r>
            <w:r w:rsidR="007F0D67" w:rsidRPr="00857CDA">
              <w:rPr>
                <w:sz w:val="18"/>
                <w:szCs w:val="18"/>
                <w:lang w:val="ro-RO"/>
              </w:rPr>
              <w:t>neagră</w:t>
            </w:r>
          </w:p>
        </w:tc>
        <w:tc>
          <w:tcPr>
            <w:tcW w:w="0" w:type="auto"/>
            <w:shd w:val="clear" w:color="auto" w:fill="auto"/>
          </w:tcPr>
          <w:p w:rsidR="00826B2C" w:rsidRPr="00857CDA" w:rsidRDefault="007F0D67" w:rsidP="00E871C8">
            <w:pPr>
              <w:spacing w:before="40" w:after="80"/>
              <w:ind w:right="43"/>
              <w:jc w:val="center"/>
              <w:rPr>
                <w:sz w:val="18"/>
                <w:szCs w:val="18"/>
                <w:lang w:val="ro-RO"/>
              </w:rPr>
            </w:pPr>
            <w:r w:rsidRPr="00857CDA">
              <w:rPr>
                <w:sz w:val="18"/>
                <w:szCs w:val="18"/>
                <w:lang w:val="ro-RO"/>
              </w:rPr>
              <w:t>Galben</w:t>
            </w:r>
          </w:p>
        </w:tc>
        <w:tc>
          <w:tcPr>
            <w:tcW w:w="0" w:type="auto"/>
            <w:shd w:val="clear" w:color="auto" w:fill="auto"/>
          </w:tcPr>
          <w:p w:rsidR="00826B2C" w:rsidRPr="00857CDA" w:rsidRDefault="00826B2C" w:rsidP="007F0D67">
            <w:pPr>
              <w:spacing w:before="40" w:after="80"/>
              <w:ind w:right="43"/>
              <w:jc w:val="center"/>
              <w:rPr>
                <w:sz w:val="18"/>
                <w:szCs w:val="18"/>
                <w:lang w:val="ro-RO" w:eastAsia="ru-RU"/>
              </w:rPr>
            </w:pPr>
            <w:r w:rsidRPr="00857CDA">
              <w:rPr>
                <w:sz w:val="18"/>
                <w:szCs w:val="18"/>
                <w:lang w:val="ro-RO"/>
              </w:rPr>
              <w:t xml:space="preserve">5.1 </w:t>
            </w:r>
            <w:r w:rsidRPr="00857CDA">
              <w:rPr>
                <w:sz w:val="18"/>
                <w:szCs w:val="18"/>
                <w:lang w:val="ro-RO"/>
              </w:rPr>
              <w:br/>
            </w:r>
            <w:r w:rsidRPr="00857CDA">
              <w:rPr>
                <w:sz w:val="18"/>
                <w:szCs w:val="18"/>
                <w:lang w:val="ro-RO" w:eastAsia="ru-RU"/>
              </w:rPr>
              <w:t>(</w:t>
            </w:r>
            <w:r w:rsidR="007F0D67" w:rsidRPr="00857CDA">
              <w:rPr>
                <w:sz w:val="18"/>
                <w:szCs w:val="18"/>
                <w:lang w:val="ro-RO" w:eastAsia="ru-RU"/>
              </w:rPr>
              <w:t>neagră</w:t>
            </w:r>
            <w:r w:rsidRPr="00857CDA">
              <w:rPr>
                <w:sz w:val="18"/>
                <w:szCs w:val="18"/>
                <w:lang w:val="ro-RO" w:eastAsia="ru-RU"/>
              </w:rPr>
              <w:t>)</w:t>
            </w:r>
          </w:p>
        </w:tc>
        <w:tc>
          <w:tcPr>
            <w:tcW w:w="0" w:type="auto"/>
            <w:gridSpan w:val="2"/>
            <w:shd w:val="clear" w:color="auto" w:fill="auto"/>
            <w:vAlign w:val="center"/>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33755" cy="833755"/>
                  <wp:effectExtent l="0" t="0" r="4445" b="4445"/>
                  <wp:docPr id="48" name="Picture 48"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p w:rsidR="00BC07F8" w:rsidRPr="00857CDA" w:rsidRDefault="00BC07F8" w:rsidP="00E871C8">
            <w:pPr>
              <w:spacing w:before="40" w:after="80" w:line="240" w:lineRule="auto"/>
              <w:ind w:right="43"/>
              <w:jc w:val="center"/>
              <w:rPr>
                <w:sz w:val="18"/>
                <w:szCs w:val="18"/>
                <w:lang w:val="ro-RO" w:eastAsia="ru-RU"/>
              </w:rPr>
            </w:pPr>
          </w:p>
        </w:tc>
        <w:tc>
          <w:tcPr>
            <w:tcW w:w="0" w:type="auto"/>
            <w:shd w:val="clear" w:color="auto" w:fill="auto"/>
          </w:tcPr>
          <w:p w:rsidR="00826B2C" w:rsidRPr="00857CDA" w:rsidRDefault="00826B2C" w:rsidP="00E871C8">
            <w:pPr>
              <w:spacing w:before="40" w:after="80" w:line="220" w:lineRule="exact"/>
              <w:jc w:val="center"/>
              <w:textDirection w:val="tbLrV"/>
              <w:rPr>
                <w:sz w:val="18"/>
                <w:szCs w:val="18"/>
                <w:lang w:val="ro-RO"/>
              </w:rPr>
            </w:pPr>
            <w:r w:rsidRPr="00857CDA">
              <w:rPr>
                <w:sz w:val="18"/>
                <w:szCs w:val="18"/>
                <w:lang w:val="ro-RO"/>
              </w:rPr>
              <w:t>-</w:t>
            </w:r>
          </w:p>
        </w:tc>
      </w:tr>
      <w:tr w:rsidR="00826B2C" w:rsidRPr="007D305F"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BC07F8">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BC07F8"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5.2: Perox</w:t>
            </w:r>
            <w:r w:rsidR="00BC07F8" w:rsidRPr="00857CDA">
              <w:rPr>
                <w:b/>
                <w:sz w:val="18"/>
                <w:szCs w:val="18"/>
                <w:lang w:val="ro-RO"/>
              </w:rPr>
              <w:t>izi</w:t>
            </w:r>
            <w:r w:rsidR="00826B2C" w:rsidRPr="00857CDA">
              <w:rPr>
                <w:b/>
                <w:sz w:val="18"/>
                <w:szCs w:val="18"/>
                <w:lang w:val="ro-RO"/>
              </w:rPr>
              <w:t xml:space="preserve"> organi</w:t>
            </w:r>
            <w:r w:rsidR="00BC07F8" w:rsidRPr="00857CDA">
              <w:rPr>
                <w:b/>
                <w:sz w:val="18"/>
                <w:szCs w:val="18"/>
                <w:lang w:val="ro-RO"/>
              </w:rPr>
              <w:t>ci</w:t>
            </w:r>
            <w:r w:rsidR="00826B2C" w:rsidRPr="00857CDA">
              <w:rPr>
                <w:b/>
                <w:sz w:val="18"/>
                <w:szCs w:val="18"/>
                <w:lang w:val="ro-RO"/>
              </w:rPr>
              <w:t xml:space="preserve"> </w:t>
            </w:r>
          </w:p>
        </w:tc>
      </w:tr>
      <w:tr w:rsidR="00826B2C" w:rsidRPr="00857CDA" w:rsidTr="00E871C8">
        <w:tblPrEx>
          <w:tblCellMar>
            <w:left w:w="108" w:type="dxa"/>
            <w:right w:w="108" w:type="dxa"/>
          </w:tblCellMar>
          <w:tblLook w:val="04A0" w:firstRow="1" w:lastRow="0" w:firstColumn="1" w:lastColumn="0" w:noHBand="0" w:noVBand="1"/>
        </w:tblPrEx>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5.2</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eastAsia="ru-RU"/>
              </w:rPr>
              <w:t>-</w:t>
            </w:r>
          </w:p>
        </w:tc>
        <w:tc>
          <w:tcPr>
            <w:tcW w:w="0" w:type="auto"/>
            <w:shd w:val="clear" w:color="auto" w:fill="auto"/>
          </w:tcPr>
          <w:p w:rsidR="00BC07F8" w:rsidRPr="00857CDA" w:rsidRDefault="00826B2C" w:rsidP="00BC07F8">
            <w:pPr>
              <w:spacing w:before="40"/>
              <w:ind w:right="43"/>
              <w:jc w:val="center"/>
              <w:rPr>
                <w:sz w:val="18"/>
                <w:szCs w:val="18"/>
                <w:lang w:val="ro-RO"/>
              </w:rPr>
            </w:pPr>
            <w:r w:rsidRPr="00857CDA">
              <w:rPr>
                <w:sz w:val="18"/>
                <w:szCs w:val="18"/>
                <w:lang w:val="ro-RO"/>
              </w:rPr>
              <w:t>Fla</w:t>
            </w:r>
            <w:r w:rsidR="00BC07F8" w:rsidRPr="00857CDA">
              <w:rPr>
                <w:sz w:val="18"/>
                <w:szCs w:val="18"/>
                <w:lang w:val="ro-RO"/>
              </w:rPr>
              <w:t>cără</w:t>
            </w:r>
            <w:r w:rsidRPr="00857CDA">
              <w:rPr>
                <w:sz w:val="18"/>
                <w:szCs w:val="18"/>
                <w:lang w:val="ro-RO"/>
              </w:rPr>
              <w:t>:</w:t>
            </w:r>
            <w:r w:rsidR="00BC07F8" w:rsidRPr="00857CDA">
              <w:rPr>
                <w:sz w:val="18"/>
                <w:szCs w:val="18"/>
                <w:lang w:val="ro-RO"/>
              </w:rPr>
              <w:t xml:space="preserve"> </w:t>
            </w:r>
          </w:p>
          <w:p w:rsidR="00826B2C" w:rsidRPr="00857CDA" w:rsidRDefault="007F0D67" w:rsidP="00D75049">
            <w:pPr>
              <w:spacing w:after="80"/>
              <w:ind w:right="43"/>
              <w:jc w:val="center"/>
              <w:rPr>
                <w:sz w:val="18"/>
                <w:szCs w:val="18"/>
                <w:lang w:val="ro-RO"/>
              </w:rPr>
            </w:pPr>
            <w:r w:rsidRPr="00857CDA">
              <w:rPr>
                <w:sz w:val="18"/>
                <w:szCs w:val="18"/>
                <w:lang w:val="ro-RO"/>
              </w:rPr>
              <w:t>negr</w:t>
            </w:r>
            <w:r w:rsidR="00D75049" w:rsidRPr="00857CDA">
              <w:rPr>
                <w:sz w:val="18"/>
                <w:szCs w:val="18"/>
                <w:lang w:val="ro-RO"/>
              </w:rPr>
              <w:t>u</w:t>
            </w:r>
            <w:r w:rsidRPr="00857CDA">
              <w:rPr>
                <w:sz w:val="18"/>
                <w:szCs w:val="18"/>
                <w:lang w:val="ro-RO"/>
              </w:rPr>
              <w:t xml:space="preserve"> sau alb</w:t>
            </w:r>
          </w:p>
        </w:tc>
        <w:tc>
          <w:tcPr>
            <w:tcW w:w="0" w:type="auto"/>
            <w:shd w:val="clear" w:color="auto" w:fill="auto"/>
          </w:tcPr>
          <w:p w:rsidR="00826B2C" w:rsidRPr="00857CDA" w:rsidRDefault="00BC07F8" w:rsidP="00BC07F8">
            <w:pPr>
              <w:spacing w:before="40" w:after="80"/>
              <w:ind w:right="43"/>
              <w:jc w:val="center"/>
              <w:rPr>
                <w:sz w:val="18"/>
                <w:szCs w:val="18"/>
                <w:lang w:val="ro-RO" w:eastAsia="ru-RU"/>
              </w:rPr>
            </w:pPr>
            <w:r w:rsidRPr="00857CDA">
              <w:rPr>
                <w:sz w:val="18"/>
                <w:szCs w:val="18"/>
                <w:lang w:val="ro-RO"/>
              </w:rPr>
              <w:t>Jumătatea superioară: roșu;</w:t>
            </w:r>
            <w:r w:rsidRPr="00857CDA">
              <w:rPr>
                <w:sz w:val="18"/>
                <w:szCs w:val="18"/>
                <w:lang w:val="ro-RO"/>
              </w:rPr>
              <w:br/>
              <w:t>Jumătatea inferioară:</w:t>
            </w:r>
            <w:r w:rsidRPr="00857CDA">
              <w:rPr>
                <w:sz w:val="18"/>
                <w:szCs w:val="18"/>
                <w:lang w:val="ro-RO"/>
              </w:rPr>
              <w:br/>
              <w:t>galben</w:t>
            </w:r>
          </w:p>
          <w:p w:rsidR="00BC07F8" w:rsidRPr="00857CDA" w:rsidRDefault="00BC07F8" w:rsidP="00BC07F8">
            <w:pPr>
              <w:spacing w:before="40" w:after="80"/>
              <w:ind w:right="43"/>
              <w:jc w:val="center"/>
              <w:rPr>
                <w:sz w:val="18"/>
                <w:szCs w:val="18"/>
                <w:lang w:val="ro-RO" w:eastAsia="ru-RU"/>
              </w:rPr>
            </w:pPr>
          </w:p>
        </w:tc>
        <w:tc>
          <w:tcPr>
            <w:tcW w:w="0" w:type="auto"/>
            <w:shd w:val="clear" w:color="auto" w:fill="auto"/>
          </w:tcPr>
          <w:p w:rsidR="00826B2C" w:rsidRPr="00857CDA" w:rsidRDefault="00826B2C" w:rsidP="00D75049">
            <w:pPr>
              <w:spacing w:before="40" w:after="80"/>
              <w:ind w:right="43"/>
              <w:jc w:val="center"/>
              <w:rPr>
                <w:sz w:val="18"/>
                <w:szCs w:val="18"/>
                <w:lang w:val="ro-RO"/>
              </w:rPr>
            </w:pPr>
            <w:r w:rsidRPr="00857CDA">
              <w:rPr>
                <w:sz w:val="18"/>
                <w:szCs w:val="18"/>
                <w:lang w:val="ro-RO"/>
              </w:rPr>
              <w:t xml:space="preserve">5.2 </w:t>
            </w:r>
            <w:r w:rsidRPr="00857CDA">
              <w:rPr>
                <w:sz w:val="18"/>
                <w:szCs w:val="18"/>
                <w:lang w:val="ro-RO"/>
              </w:rPr>
              <w:br/>
              <w:t>(</w:t>
            </w:r>
            <w:r w:rsidR="007F0D67" w:rsidRPr="00857CDA">
              <w:rPr>
                <w:sz w:val="18"/>
                <w:szCs w:val="18"/>
                <w:lang w:val="ro-RO"/>
              </w:rPr>
              <w:t>negr</w:t>
            </w:r>
            <w:r w:rsidR="00D75049"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826B2C" w:rsidP="00E871C8">
            <w:pPr>
              <w:spacing w:before="40" w:after="80" w:line="240" w:lineRule="auto"/>
              <w:jc w:val="center"/>
              <w:rPr>
                <w:sz w:val="18"/>
                <w:szCs w:val="18"/>
                <w:lang w:val="ro-RO" w:eastAsia="ru-RU"/>
              </w:rPr>
            </w:pPr>
            <w:r w:rsidRPr="00857CDA">
              <w:rPr>
                <w:rFonts w:eastAsia="SimSun"/>
                <w:noProof/>
                <w:lang w:val="ro-RO" w:eastAsia="ro-RO"/>
              </w:rPr>
              <w:drawing>
                <wp:inline distT="0" distB="0" distL="0" distR="0">
                  <wp:extent cx="814705" cy="828675"/>
                  <wp:effectExtent l="0" t="0" r="4445" b="9525"/>
                  <wp:docPr id="52" name="Picture 52"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rsidR="00826B2C" w:rsidRPr="00857CDA" w:rsidRDefault="00826B2C" w:rsidP="00E871C8">
            <w:pPr>
              <w:spacing w:before="40" w:after="80" w:line="240" w:lineRule="auto"/>
              <w:rPr>
                <w:sz w:val="16"/>
                <w:szCs w:val="16"/>
                <w:lang w:val="ro-RO" w:eastAsia="ru-RU"/>
              </w:rPr>
            </w:pPr>
            <w:r w:rsidRPr="00857CDA">
              <w:rPr>
                <w:rFonts w:eastAsia="SimSun"/>
                <w:noProof/>
                <w:lang w:val="ro-RO" w:eastAsia="ro-RO"/>
              </w:rPr>
              <w:drawing>
                <wp:inline distT="0" distB="0" distL="0" distR="0">
                  <wp:extent cx="828675" cy="828675"/>
                  <wp:effectExtent l="0" t="0" r="9525" b="9525"/>
                  <wp:docPr id="53" name="Picture 53"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r>
      <w:tr w:rsidR="00826B2C" w:rsidRPr="007D305F"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BC07F8">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BC07F8"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6.1: </w:t>
            </w:r>
            <w:r w:rsidR="00BC07F8" w:rsidRPr="00857CDA">
              <w:rPr>
                <w:b/>
                <w:sz w:val="18"/>
                <w:szCs w:val="18"/>
                <w:lang w:val="ro-RO"/>
              </w:rPr>
              <w:t>Substanțe toxice</w:t>
            </w:r>
          </w:p>
        </w:tc>
      </w:tr>
      <w:tr w:rsidR="00826B2C" w:rsidRPr="00857CDA" w:rsidTr="00AD44C0">
        <w:tblPrEx>
          <w:tblCellMar>
            <w:left w:w="108" w:type="dxa"/>
            <w:right w:w="108" w:type="dxa"/>
          </w:tblCellMar>
          <w:tblLook w:val="04A0" w:firstRow="1" w:lastRow="0" w:firstColumn="1" w:lastColumn="0" w:noHBand="0" w:noVBand="1"/>
        </w:tblPrEx>
        <w:trPr>
          <w:trHeight w:val="1783"/>
        </w:trPr>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6.1</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0" w:type="auto"/>
            <w:shd w:val="clear" w:color="auto" w:fill="auto"/>
          </w:tcPr>
          <w:p w:rsidR="00826B2C" w:rsidRPr="00857CDA" w:rsidRDefault="00BC07F8" w:rsidP="00D75049">
            <w:pPr>
              <w:spacing w:before="40" w:after="80"/>
              <w:ind w:right="43"/>
              <w:jc w:val="center"/>
              <w:rPr>
                <w:sz w:val="18"/>
                <w:szCs w:val="18"/>
                <w:lang w:val="ro-RO"/>
              </w:rPr>
            </w:pPr>
            <w:r w:rsidRPr="00857CDA">
              <w:rPr>
                <w:sz w:val="18"/>
                <w:szCs w:val="18"/>
                <w:lang w:val="ro-RO"/>
              </w:rPr>
              <w:t>Cap de mort pe două tibii</w:t>
            </w:r>
            <w:r w:rsidR="00826B2C" w:rsidRPr="00857CDA">
              <w:rPr>
                <w:sz w:val="18"/>
                <w:szCs w:val="18"/>
                <w:lang w:val="ro-RO"/>
              </w:rPr>
              <w:t xml:space="preserve">: </w:t>
            </w:r>
            <w:r w:rsidR="007F0D67" w:rsidRPr="00857CDA">
              <w:rPr>
                <w:sz w:val="18"/>
                <w:szCs w:val="18"/>
                <w:lang w:val="ro-RO"/>
              </w:rPr>
              <w:t>negr</w:t>
            </w:r>
            <w:r w:rsidR="00D75049" w:rsidRPr="00857CDA">
              <w:rPr>
                <w:sz w:val="18"/>
                <w:szCs w:val="18"/>
                <w:lang w:val="ro-RO"/>
              </w:rPr>
              <w:t>u</w:t>
            </w:r>
          </w:p>
        </w:tc>
        <w:tc>
          <w:tcPr>
            <w:tcW w:w="0" w:type="auto"/>
            <w:shd w:val="clear" w:color="auto" w:fill="auto"/>
          </w:tcPr>
          <w:p w:rsidR="00826B2C" w:rsidRPr="00857CDA" w:rsidRDefault="00BC07F8" w:rsidP="00E871C8">
            <w:pPr>
              <w:spacing w:before="40" w:after="80"/>
              <w:ind w:right="43"/>
              <w:jc w:val="center"/>
              <w:rPr>
                <w:sz w:val="18"/>
                <w:szCs w:val="18"/>
                <w:lang w:val="ro-RO"/>
              </w:rPr>
            </w:pPr>
            <w:r w:rsidRPr="00857CDA">
              <w:rPr>
                <w:sz w:val="18"/>
                <w:szCs w:val="18"/>
                <w:lang w:val="ro-RO"/>
              </w:rPr>
              <w:t>Alb</w:t>
            </w:r>
          </w:p>
        </w:tc>
        <w:tc>
          <w:tcPr>
            <w:tcW w:w="0" w:type="auto"/>
            <w:shd w:val="clear" w:color="auto" w:fill="auto"/>
          </w:tcPr>
          <w:p w:rsidR="00826B2C" w:rsidRPr="00857CDA" w:rsidRDefault="00826B2C" w:rsidP="007F0D67">
            <w:pPr>
              <w:spacing w:before="40" w:after="80"/>
              <w:ind w:right="43"/>
              <w:jc w:val="center"/>
              <w:rPr>
                <w:sz w:val="18"/>
                <w:szCs w:val="18"/>
                <w:lang w:val="ro-RO"/>
              </w:rPr>
            </w:pPr>
            <w:r w:rsidRPr="00857CDA">
              <w:rPr>
                <w:sz w:val="18"/>
                <w:szCs w:val="18"/>
                <w:lang w:val="ro-RO"/>
              </w:rPr>
              <w:t xml:space="preserve">6 </w:t>
            </w:r>
            <w:r w:rsidRPr="00857CDA">
              <w:rPr>
                <w:sz w:val="18"/>
                <w:szCs w:val="18"/>
                <w:lang w:val="ro-RO"/>
              </w:rPr>
              <w:br/>
              <w:t>(</w:t>
            </w:r>
            <w:r w:rsidR="00D75049" w:rsidRPr="00857CDA">
              <w:rPr>
                <w:sz w:val="18"/>
                <w:szCs w:val="18"/>
                <w:lang w:val="ro-RO"/>
              </w:rPr>
              <w:t>negru</w:t>
            </w:r>
            <w:r w:rsidRPr="00857CDA">
              <w:rPr>
                <w:sz w:val="18"/>
                <w:szCs w:val="18"/>
                <w:lang w:val="ro-RO"/>
              </w:rPr>
              <w:t>)</w:t>
            </w:r>
          </w:p>
        </w:tc>
        <w:tc>
          <w:tcPr>
            <w:tcW w:w="3046" w:type="dxa"/>
            <w:gridSpan w:val="2"/>
            <w:shd w:val="clear" w:color="auto" w:fill="auto"/>
            <w:vAlign w:val="center"/>
          </w:tcPr>
          <w:p w:rsidR="00826B2C" w:rsidRPr="00857CDA" w:rsidRDefault="00826B2C" w:rsidP="00E871C8">
            <w:pPr>
              <w:spacing w:before="40" w:after="80" w:line="240" w:lineRule="auto"/>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54" name="Picture 54"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r>
      <w:tr w:rsidR="00826B2C" w:rsidRPr="007D305F" w:rsidTr="00E871C8">
        <w:tblPrEx>
          <w:tblCellMar>
            <w:left w:w="108" w:type="dxa"/>
            <w:right w:w="108" w:type="dxa"/>
          </w:tblCellMar>
          <w:tblLook w:val="04A0" w:firstRow="1" w:lastRow="0" w:firstColumn="1" w:lastColumn="0" w:noHBand="0" w:noVBand="1"/>
        </w:tblPrEx>
        <w:tc>
          <w:tcPr>
            <w:tcW w:w="0" w:type="auto"/>
            <w:gridSpan w:val="8"/>
            <w:shd w:val="clear" w:color="auto" w:fill="auto"/>
          </w:tcPr>
          <w:p w:rsidR="00826B2C" w:rsidRPr="00857CDA" w:rsidRDefault="002B679C" w:rsidP="00BC07F8">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BC07F8"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6.2: </w:t>
            </w:r>
            <w:r w:rsidR="00BC07F8" w:rsidRPr="00857CDA">
              <w:rPr>
                <w:b/>
                <w:sz w:val="18"/>
                <w:szCs w:val="18"/>
                <w:lang w:val="ro-RO"/>
              </w:rPr>
              <w:t>Substanțe infecțioase</w:t>
            </w:r>
          </w:p>
        </w:tc>
      </w:tr>
      <w:tr w:rsidR="00826B2C" w:rsidRPr="007D305F" w:rsidTr="00AD44C0">
        <w:tblPrEx>
          <w:tblCellMar>
            <w:left w:w="108" w:type="dxa"/>
            <w:right w:w="108" w:type="dxa"/>
          </w:tblCellMar>
          <w:tblLook w:val="04A0" w:firstRow="1" w:lastRow="0" w:firstColumn="1" w:lastColumn="0" w:noHBand="0" w:noVBand="1"/>
        </w:tblPrEx>
        <w:trPr>
          <w:trHeight w:val="386"/>
        </w:trPr>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6.2</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0" w:type="auto"/>
            <w:shd w:val="clear" w:color="auto" w:fill="auto"/>
          </w:tcPr>
          <w:p w:rsidR="00826B2C" w:rsidRPr="00857CDA" w:rsidRDefault="004F186E" w:rsidP="00D75049">
            <w:pPr>
              <w:spacing w:before="40" w:after="80"/>
              <w:ind w:right="43"/>
              <w:jc w:val="center"/>
              <w:rPr>
                <w:sz w:val="18"/>
                <w:szCs w:val="18"/>
                <w:lang w:val="ro-RO"/>
              </w:rPr>
            </w:pPr>
            <w:r w:rsidRPr="00857CDA">
              <w:rPr>
                <w:sz w:val="18"/>
                <w:szCs w:val="18"/>
                <w:lang w:val="ro-RO"/>
              </w:rPr>
              <w:t xml:space="preserve">trei perechi de </w:t>
            </w:r>
            <w:r w:rsidR="00857CDA" w:rsidRPr="00857CDA">
              <w:rPr>
                <w:sz w:val="18"/>
                <w:szCs w:val="18"/>
                <w:lang w:val="ro-RO"/>
              </w:rPr>
              <w:t>semiluni</w:t>
            </w:r>
            <w:r w:rsidRPr="00857CDA">
              <w:rPr>
                <w:sz w:val="18"/>
                <w:szCs w:val="18"/>
                <w:lang w:val="ro-RO"/>
              </w:rPr>
              <w:t xml:space="preserve"> suprapuse peste un cerc</w:t>
            </w:r>
            <w:r w:rsidR="00826B2C" w:rsidRPr="00857CDA">
              <w:rPr>
                <w:sz w:val="18"/>
                <w:szCs w:val="18"/>
                <w:lang w:val="ro-RO"/>
              </w:rPr>
              <w:t xml:space="preserve">: </w:t>
            </w:r>
            <w:r w:rsidR="007F0D67" w:rsidRPr="00857CDA">
              <w:rPr>
                <w:sz w:val="18"/>
                <w:szCs w:val="18"/>
                <w:lang w:val="ro-RO"/>
              </w:rPr>
              <w:t>negr</w:t>
            </w:r>
            <w:r w:rsidR="00D75049" w:rsidRPr="00857CDA">
              <w:rPr>
                <w:sz w:val="18"/>
                <w:szCs w:val="18"/>
                <w:lang w:val="ro-RO"/>
              </w:rPr>
              <w:t>u</w:t>
            </w:r>
          </w:p>
        </w:tc>
        <w:tc>
          <w:tcPr>
            <w:tcW w:w="0" w:type="auto"/>
            <w:shd w:val="clear" w:color="auto" w:fill="auto"/>
          </w:tcPr>
          <w:p w:rsidR="00826B2C" w:rsidRPr="00857CDA" w:rsidRDefault="007F0D67" w:rsidP="00E871C8">
            <w:pPr>
              <w:spacing w:before="40" w:after="80"/>
              <w:ind w:right="43"/>
              <w:jc w:val="center"/>
              <w:rPr>
                <w:sz w:val="18"/>
                <w:szCs w:val="18"/>
                <w:lang w:val="ro-RO"/>
              </w:rPr>
            </w:pPr>
            <w:r w:rsidRPr="00857CDA">
              <w:rPr>
                <w:sz w:val="18"/>
                <w:szCs w:val="18"/>
                <w:lang w:val="ro-RO"/>
              </w:rPr>
              <w:t>Alb</w:t>
            </w:r>
          </w:p>
        </w:tc>
        <w:tc>
          <w:tcPr>
            <w:tcW w:w="0" w:type="auto"/>
            <w:shd w:val="clear" w:color="auto" w:fill="auto"/>
          </w:tcPr>
          <w:p w:rsidR="00826B2C" w:rsidRPr="00857CDA" w:rsidRDefault="00826B2C" w:rsidP="00D75049">
            <w:pPr>
              <w:spacing w:before="40" w:after="80"/>
              <w:ind w:right="43"/>
              <w:jc w:val="center"/>
              <w:rPr>
                <w:sz w:val="18"/>
                <w:szCs w:val="18"/>
                <w:lang w:val="ro-RO"/>
              </w:rPr>
            </w:pPr>
            <w:r w:rsidRPr="00857CDA">
              <w:rPr>
                <w:sz w:val="18"/>
                <w:szCs w:val="18"/>
                <w:lang w:val="ro-RO"/>
              </w:rPr>
              <w:t xml:space="preserve">6 </w:t>
            </w:r>
            <w:r w:rsidRPr="00857CDA">
              <w:rPr>
                <w:sz w:val="18"/>
                <w:szCs w:val="18"/>
                <w:lang w:val="ro-RO"/>
              </w:rPr>
              <w:br/>
              <w:t>(</w:t>
            </w:r>
            <w:r w:rsidR="007F0D67" w:rsidRPr="00857CDA">
              <w:rPr>
                <w:sz w:val="18"/>
                <w:szCs w:val="18"/>
                <w:lang w:val="ro-RO"/>
              </w:rPr>
              <w:t>negr</w:t>
            </w:r>
            <w:r w:rsidR="00D75049" w:rsidRPr="00857CDA">
              <w:rPr>
                <w:sz w:val="18"/>
                <w:szCs w:val="18"/>
                <w:lang w:val="ro-RO"/>
              </w:rPr>
              <w:t>u</w:t>
            </w:r>
            <w:r w:rsidRPr="00857CDA">
              <w:rPr>
                <w:sz w:val="18"/>
                <w:szCs w:val="18"/>
                <w:lang w:val="ro-RO"/>
              </w:rPr>
              <w:t>)</w:t>
            </w:r>
          </w:p>
        </w:tc>
        <w:tc>
          <w:tcPr>
            <w:tcW w:w="3046" w:type="dxa"/>
            <w:gridSpan w:val="2"/>
            <w:shd w:val="clear" w:color="auto" w:fill="auto"/>
            <w:vAlign w:val="center"/>
          </w:tcPr>
          <w:p w:rsidR="00826B2C" w:rsidRPr="00857CDA" w:rsidRDefault="00826B2C" w:rsidP="00E871C8">
            <w:pPr>
              <w:spacing w:before="40" w:after="80" w:line="240" w:lineRule="auto"/>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55" name="Picture 5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826B2C" w:rsidRPr="00857CDA" w:rsidRDefault="00BC07F8" w:rsidP="00145905">
            <w:pPr>
              <w:spacing w:before="20" w:after="20" w:line="200" w:lineRule="exact"/>
              <w:jc w:val="center"/>
              <w:rPr>
                <w:sz w:val="18"/>
                <w:szCs w:val="18"/>
                <w:lang w:val="ro-RO"/>
              </w:rPr>
            </w:pPr>
            <w:r w:rsidRPr="00857CDA">
              <w:rPr>
                <w:sz w:val="18"/>
                <w:szCs w:val="18"/>
                <w:lang w:val="ro-RO"/>
              </w:rPr>
              <w:t>Jumătatea inferioară a etichetei poate purta mențiunile: „SUBSTANŢĂ INFECŢIOASĂ” și „În cazul unei de</w:t>
            </w:r>
            <w:r w:rsidR="004F186E" w:rsidRPr="00857CDA">
              <w:rPr>
                <w:sz w:val="18"/>
                <w:szCs w:val="18"/>
                <w:lang w:val="ro-RO"/>
              </w:rPr>
              <w:t>teriorări</w:t>
            </w:r>
            <w:r w:rsidRPr="00857CDA">
              <w:rPr>
                <w:sz w:val="18"/>
                <w:szCs w:val="18"/>
                <w:lang w:val="ro-RO"/>
              </w:rPr>
              <w:t xml:space="preserve"> sau scurgeri, se va avertiza imediat </w:t>
            </w:r>
            <w:r w:rsidR="004F186E" w:rsidRPr="00857CDA">
              <w:rPr>
                <w:sz w:val="18"/>
                <w:szCs w:val="18"/>
                <w:lang w:val="ro-RO"/>
              </w:rPr>
              <w:t xml:space="preserve">autoritățile </w:t>
            </w:r>
            <w:r w:rsidRPr="00857CDA">
              <w:rPr>
                <w:sz w:val="18"/>
                <w:szCs w:val="18"/>
                <w:lang w:val="ro-RO"/>
              </w:rPr>
              <w:t xml:space="preserve">de </w:t>
            </w:r>
            <w:r w:rsidR="004F186E" w:rsidRPr="00857CDA">
              <w:rPr>
                <w:sz w:val="18"/>
                <w:szCs w:val="18"/>
                <w:lang w:val="ro-RO"/>
              </w:rPr>
              <w:t>sănătate publică</w:t>
            </w:r>
            <w:r w:rsidRPr="00857CDA">
              <w:rPr>
                <w:sz w:val="18"/>
                <w:szCs w:val="18"/>
                <w:lang w:val="ro-RO"/>
              </w:rPr>
              <w:t>”</w:t>
            </w:r>
            <w:r w:rsidR="00826B2C" w:rsidRPr="00857CDA">
              <w:rPr>
                <w:sz w:val="18"/>
                <w:szCs w:val="18"/>
                <w:lang w:val="ro-RO"/>
              </w:rPr>
              <w:t xml:space="preserve"> </w:t>
            </w:r>
            <w:r w:rsidR="004F186E" w:rsidRPr="00857CDA">
              <w:rPr>
                <w:sz w:val="18"/>
                <w:szCs w:val="18"/>
                <w:lang w:val="ro-RO"/>
              </w:rPr>
              <w:t>de culoare</w:t>
            </w:r>
            <w:r w:rsidR="00826B2C" w:rsidRPr="00857CDA">
              <w:rPr>
                <w:sz w:val="18"/>
                <w:szCs w:val="18"/>
                <w:lang w:val="ro-RO"/>
              </w:rPr>
              <w:t xml:space="preserve"> </w:t>
            </w:r>
            <w:r w:rsidR="007F0D67" w:rsidRPr="00857CDA">
              <w:rPr>
                <w:sz w:val="18"/>
                <w:szCs w:val="18"/>
                <w:lang w:val="ro-RO"/>
              </w:rPr>
              <w:t>ne</w:t>
            </w:r>
            <w:r w:rsidR="004F186E" w:rsidRPr="00857CDA">
              <w:rPr>
                <w:sz w:val="18"/>
                <w:szCs w:val="18"/>
                <w:lang w:val="ro-RO"/>
              </w:rPr>
              <w:t>a</w:t>
            </w:r>
            <w:r w:rsidR="007F0D67" w:rsidRPr="00857CDA">
              <w:rPr>
                <w:sz w:val="18"/>
                <w:szCs w:val="18"/>
                <w:lang w:val="ro-RO"/>
              </w:rPr>
              <w:t>gr</w:t>
            </w:r>
            <w:r w:rsidR="004F186E" w:rsidRPr="00857CDA">
              <w:rPr>
                <w:sz w:val="18"/>
                <w:szCs w:val="18"/>
                <w:lang w:val="ro-RO"/>
              </w:rPr>
              <w:t>ă</w:t>
            </w:r>
            <w:r w:rsidR="00826B2C" w:rsidRPr="00857CDA">
              <w:rPr>
                <w:sz w:val="18"/>
                <w:szCs w:val="18"/>
                <w:lang w:val="ro-RO"/>
              </w:rPr>
              <w:t>.</w:t>
            </w:r>
          </w:p>
        </w:tc>
      </w:tr>
    </w:tbl>
    <w:p w:rsidR="00826B2C" w:rsidRPr="00857CDA" w:rsidRDefault="00826B2C" w:rsidP="00826B2C">
      <w:pPr>
        <w:spacing w:line="240" w:lineRule="auto"/>
        <w:rPr>
          <w:lang w:val="ro-RO"/>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307"/>
        <w:gridCol w:w="1858"/>
        <w:gridCol w:w="2331"/>
        <w:gridCol w:w="1964"/>
        <w:gridCol w:w="1703"/>
        <w:gridCol w:w="2590"/>
      </w:tblGrid>
      <w:tr w:rsidR="00DE018C" w:rsidRPr="00857CDA" w:rsidTr="00E871C8">
        <w:trPr>
          <w:tblHeader/>
        </w:trPr>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lastRenderedPageBreak/>
              <w:t>Nr. de model de etichetă</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Diviziune sau Categorie</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Semnul convențional și culoarea semnului</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Fond</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Cifra care figurează în colțul inferior (și culoarea cifrei)</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Modelul de etichetă</w:t>
            </w:r>
          </w:p>
        </w:tc>
        <w:tc>
          <w:tcPr>
            <w:tcW w:w="0" w:type="auto"/>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Notă</w:t>
            </w:r>
          </w:p>
        </w:tc>
      </w:tr>
      <w:tr w:rsidR="00826B2C" w:rsidRPr="007D305F" w:rsidTr="00E871C8">
        <w:trPr>
          <w:tblHeader/>
        </w:trPr>
        <w:tc>
          <w:tcPr>
            <w:tcW w:w="0" w:type="auto"/>
            <w:gridSpan w:val="7"/>
            <w:shd w:val="clear" w:color="auto" w:fill="auto"/>
          </w:tcPr>
          <w:p w:rsidR="00826B2C" w:rsidRPr="00857CDA" w:rsidRDefault="002B679C" w:rsidP="00857CDA">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de </w:t>
            </w:r>
            <w:r w:rsidRPr="00857CDA">
              <w:rPr>
                <w:b/>
                <w:sz w:val="18"/>
                <w:szCs w:val="18"/>
                <w:lang w:val="ro-RO"/>
              </w:rPr>
              <w:t>clasa</w:t>
            </w:r>
            <w:r w:rsidR="00826B2C" w:rsidRPr="00857CDA">
              <w:rPr>
                <w:b/>
                <w:sz w:val="18"/>
                <w:szCs w:val="18"/>
                <w:lang w:val="ro-RO"/>
              </w:rPr>
              <w:t xml:space="preserve"> 7: Mat</w:t>
            </w:r>
            <w:r w:rsidR="00857CDA">
              <w:rPr>
                <w:b/>
                <w:sz w:val="18"/>
                <w:szCs w:val="18"/>
                <w:lang w:val="ro-RO"/>
              </w:rPr>
              <w:t>erii</w:t>
            </w:r>
            <w:r w:rsidR="00826B2C" w:rsidRPr="00857CDA">
              <w:rPr>
                <w:b/>
                <w:sz w:val="18"/>
                <w:szCs w:val="18"/>
                <w:lang w:val="ro-RO"/>
              </w:rPr>
              <w:t xml:space="preserve"> radioactive</w:t>
            </w:r>
          </w:p>
        </w:tc>
      </w:tr>
      <w:tr w:rsidR="00DE018C" w:rsidRPr="00857CDA" w:rsidTr="00E871C8">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7A</w:t>
            </w:r>
          </w:p>
        </w:tc>
        <w:tc>
          <w:tcPr>
            <w:tcW w:w="0" w:type="auto"/>
            <w:shd w:val="clear" w:color="auto" w:fill="auto"/>
          </w:tcPr>
          <w:p w:rsidR="00826B2C" w:rsidRPr="00857CDA" w:rsidRDefault="00826B2C" w:rsidP="00DE018C">
            <w:pPr>
              <w:spacing w:before="40" w:after="80"/>
              <w:ind w:right="43"/>
              <w:jc w:val="center"/>
              <w:rPr>
                <w:sz w:val="18"/>
                <w:szCs w:val="18"/>
                <w:lang w:val="ro-RO"/>
              </w:rPr>
            </w:pPr>
            <w:r w:rsidRPr="00857CDA">
              <w:rPr>
                <w:sz w:val="18"/>
                <w:szCs w:val="18"/>
                <w:lang w:val="ro-RO"/>
              </w:rPr>
              <w:t>Cat</w:t>
            </w:r>
            <w:r w:rsidR="00DE018C" w:rsidRPr="00857CDA">
              <w:rPr>
                <w:sz w:val="18"/>
                <w:szCs w:val="18"/>
                <w:lang w:val="ro-RO"/>
              </w:rPr>
              <w:t>e</w:t>
            </w:r>
            <w:r w:rsidRPr="00857CDA">
              <w:rPr>
                <w:sz w:val="18"/>
                <w:szCs w:val="18"/>
                <w:lang w:val="ro-RO"/>
              </w:rPr>
              <w:t>gori</w:t>
            </w:r>
            <w:r w:rsidR="007E6CD2" w:rsidRPr="00857CDA">
              <w:rPr>
                <w:sz w:val="18"/>
                <w:szCs w:val="18"/>
                <w:lang w:val="ro-RO"/>
              </w:rPr>
              <w:t>a</w:t>
            </w:r>
            <w:r w:rsidRPr="00857CDA">
              <w:rPr>
                <w:sz w:val="18"/>
                <w:szCs w:val="18"/>
                <w:lang w:val="ro-RO"/>
              </w:rPr>
              <w:t xml:space="preserve"> I – </w:t>
            </w:r>
            <w:r w:rsidR="007E6CD2" w:rsidRPr="00857CDA">
              <w:rPr>
                <w:sz w:val="18"/>
                <w:szCs w:val="18"/>
                <w:lang w:val="ro-RO"/>
              </w:rPr>
              <w:t>Alb</w:t>
            </w:r>
          </w:p>
        </w:tc>
        <w:tc>
          <w:tcPr>
            <w:tcW w:w="0" w:type="auto"/>
            <w:shd w:val="clear" w:color="auto" w:fill="auto"/>
          </w:tcPr>
          <w:p w:rsidR="00826B2C" w:rsidRPr="00857CDA" w:rsidRDefault="00826B2C" w:rsidP="00D75049">
            <w:pPr>
              <w:spacing w:before="40" w:after="80"/>
              <w:ind w:right="43"/>
              <w:jc w:val="center"/>
              <w:rPr>
                <w:sz w:val="18"/>
                <w:szCs w:val="18"/>
                <w:lang w:val="ro-RO"/>
              </w:rPr>
            </w:pPr>
            <w:r w:rsidRPr="00857CDA">
              <w:rPr>
                <w:sz w:val="18"/>
                <w:szCs w:val="18"/>
                <w:lang w:val="ro-RO"/>
              </w:rPr>
              <w:t>Tr</w:t>
            </w:r>
            <w:r w:rsidR="007E6CD2" w:rsidRPr="00857CDA">
              <w:rPr>
                <w:sz w:val="18"/>
                <w:szCs w:val="18"/>
                <w:lang w:val="ro-RO"/>
              </w:rPr>
              <w:t>ifoi</w:t>
            </w:r>
            <w:r w:rsidRPr="00857CDA">
              <w:rPr>
                <w:sz w:val="18"/>
                <w:szCs w:val="18"/>
                <w:lang w:val="ro-RO"/>
              </w:rPr>
              <w:t xml:space="preserve">: </w:t>
            </w:r>
            <w:r w:rsidR="007F0D67" w:rsidRPr="00857CDA">
              <w:rPr>
                <w:sz w:val="18"/>
                <w:szCs w:val="18"/>
                <w:lang w:val="ro-RO"/>
              </w:rPr>
              <w:t>negr</w:t>
            </w:r>
            <w:r w:rsidR="00D75049" w:rsidRPr="00857CDA">
              <w:rPr>
                <w:sz w:val="18"/>
                <w:szCs w:val="18"/>
                <w:lang w:val="ro-RO"/>
              </w:rPr>
              <w:t>u</w:t>
            </w:r>
          </w:p>
        </w:tc>
        <w:tc>
          <w:tcPr>
            <w:tcW w:w="0" w:type="auto"/>
            <w:shd w:val="clear" w:color="auto" w:fill="auto"/>
          </w:tcPr>
          <w:p w:rsidR="00826B2C" w:rsidRPr="00857CDA" w:rsidRDefault="007F0D67" w:rsidP="00E871C8">
            <w:pPr>
              <w:spacing w:before="40" w:after="80"/>
              <w:ind w:right="43"/>
              <w:jc w:val="center"/>
              <w:rPr>
                <w:sz w:val="18"/>
                <w:szCs w:val="18"/>
                <w:lang w:val="ro-RO"/>
              </w:rPr>
            </w:pPr>
            <w:r w:rsidRPr="00857CDA">
              <w:rPr>
                <w:sz w:val="18"/>
                <w:szCs w:val="18"/>
                <w:lang w:val="ro-RO"/>
              </w:rPr>
              <w:t>Alb</w:t>
            </w:r>
          </w:p>
        </w:tc>
        <w:tc>
          <w:tcPr>
            <w:tcW w:w="0" w:type="auto"/>
            <w:shd w:val="clear" w:color="auto" w:fill="auto"/>
          </w:tcPr>
          <w:p w:rsidR="00826B2C" w:rsidRPr="00857CDA" w:rsidRDefault="00826B2C" w:rsidP="00D75049">
            <w:pPr>
              <w:spacing w:before="40" w:after="80"/>
              <w:ind w:right="43"/>
              <w:jc w:val="center"/>
              <w:rPr>
                <w:sz w:val="18"/>
                <w:szCs w:val="18"/>
                <w:lang w:val="ro-RO"/>
              </w:rPr>
            </w:pPr>
            <w:r w:rsidRPr="00857CDA">
              <w:rPr>
                <w:sz w:val="18"/>
                <w:szCs w:val="18"/>
                <w:lang w:val="ro-RO"/>
              </w:rPr>
              <w:t xml:space="preserve">7 </w:t>
            </w:r>
            <w:r w:rsidRPr="00857CDA">
              <w:rPr>
                <w:sz w:val="18"/>
                <w:szCs w:val="18"/>
                <w:lang w:val="ro-RO"/>
              </w:rPr>
              <w:br/>
              <w:t>(</w:t>
            </w:r>
            <w:r w:rsidR="007F0D67" w:rsidRPr="00857CDA">
              <w:rPr>
                <w:sz w:val="18"/>
                <w:szCs w:val="18"/>
                <w:lang w:val="ro-RO"/>
              </w:rPr>
              <w:t>negr</w:t>
            </w:r>
            <w:r w:rsidR="00D75049"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443C61" w:rsidP="00E871C8">
            <w:pPr>
              <w:spacing w:before="40" w:after="80" w:line="240" w:lineRule="auto"/>
              <w:ind w:right="43"/>
              <w:jc w:val="center"/>
              <w:rPr>
                <w:sz w:val="18"/>
                <w:szCs w:val="18"/>
                <w:lang w:val="ro-RO" w:eastAsia="ru-RU"/>
              </w:rPr>
            </w:pPr>
            <w:r w:rsidRPr="00857CDA">
              <w:rPr>
                <w:noProof/>
                <w:sz w:val="18"/>
                <w:szCs w:val="18"/>
                <w:lang w:val="ro-RO" w:eastAsia="ro-RO"/>
              </w:rPr>
              <w:drawing>
                <wp:inline distT="0" distB="0" distL="0" distR="0">
                  <wp:extent cx="855879" cy="855879"/>
                  <wp:effectExtent l="19050" t="0" r="1371" b="0"/>
                  <wp:docPr id="11" name="Imagine 11" descr="D:\AUTORITATEA RUTIERA ROMANA-ARR\CEE - ONU\TRANSPORTURI\MARFURI PERICULOASE\ADR\ADR 2019\0 fisiere originale - amendamente 2019\fisirele in RO 2019\ETICHETA CLASA 7 - CATEG -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UTORITATEA RUTIERA ROMANA-ARR\CEE - ONU\TRANSPORTURI\MARFURI PERICULOASE\ADR\ADR 2019\0 fisiere originale - amendamente 2019\fisirele in RO 2019\ETICHETA CLASA 7 - CATEG - I.png"/>
                          <pic:cNvPicPr>
                            <a:picLocks noChangeAspect="1" noChangeArrowheads="1"/>
                          </pic:cNvPicPr>
                        </pic:nvPicPr>
                        <pic:blipFill>
                          <a:blip r:embed="rId56" cstate="print"/>
                          <a:srcRect/>
                          <a:stretch>
                            <a:fillRect/>
                          </a:stretch>
                        </pic:blipFill>
                        <pic:spPr bwMode="auto">
                          <a:xfrm>
                            <a:off x="0" y="0"/>
                            <a:ext cx="857565" cy="857565"/>
                          </a:xfrm>
                          <a:prstGeom prst="rect">
                            <a:avLst/>
                          </a:prstGeom>
                          <a:noFill/>
                          <a:ln w="9525">
                            <a:noFill/>
                            <a:miter lim="800000"/>
                            <a:headEnd/>
                            <a:tailEnd/>
                          </a:ln>
                        </pic:spPr>
                      </pic:pic>
                    </a:graphicData>
                  </a:graphic>
                </wp:inline>
              </w:drawing>
            </w:r>
          </w:p>
        </w:tc>
        <w:tc>
          <w:tcPr>
            <w:tcW w:w="0" w:type="auto"/>
            <w:shd w:val="clear" w:color="auto" w:fill="auto"/>
          </w:tcPr>
          <w:p w:rsidR="00826B2C" w:rsidRPr="00857CDA" w:rsidRDefault="007E6CD2" w:rsidP="00145905">
            <w:pPr>
              <w:spacing w:before="40" w:after="80" w:line="238" w:lineRule="auto"/>
              <w:ind w:right="45"/>
              <w:jc w:val="center"/>
              <w:rPr>
                <w:sz w:val="18"/>
                <w:szCs w:val="18"/>
                <w:lang w:val="ro-RO"/>
              </w:rPr>
            </w:pPr>
            <w:r w:rsidRPr="00857CDA">
              <w:rPr>
                <w:sz w:val="18"/>
                <w:szCs w:val="18"/>
                <w:lang w:val="ro-RO"/>
              </w:rPr>
              <w:t>Text (obligatoriu</w:t>
            </w:r>
            <w:r w:rsidR="00826B2C" w:rsidRPr="00857CDA">
              <w:rPr>
                <w:sz w:val="18"/>
                <w:szCs w:val="18"/>
                <w:lang w:val="ro-RO"/>
              </w:rPr>
              <w:t xml:space="preserve">), </w:t>
            </w:r>
            <w:r w:rsidR="007F0D67" w:rsidRPr="00857CDA">
              <w:rPr>
                <w:sz w:val="18"/>
                <w:szCs w:val="18"/>
                <w:lang w:val="ro-RO"/>
              </w:rPr>
              <w:t>negru</w:t>
            </w:r>
            <w:r w:rsidR="00826B2C" w:rsidRPr="00857CDA">
              <w:rPr>
                <w:sz w:val="18"/>
                <w:szCs w:val="18"/>
                <w:lang w:val="ro-RO"/>
              </w:rPr>
              <w:t xml:space="preserve"> </w:t>
            </w:r>
            <w:r w:rsidRPr="00857CDA">
              <w:rPr>
                <w:sz w:val="18"/>
                <w:szCs w:val="18"/>
                <w:lang w:val="ro-RO"/>
              </w:rPr>
              <w:t>în jumătatea inferioară a etichetei</w:t>
            </w:r>
            <w:r w:rsidR="00091658" w:rsidRPr="00857CDA">
              <w:rPr>
                <w:sz w:val="18"/>
                <w:szCs w:val="18"/>
                <w:lang w:val="ro-RO"/>
              </w:rPr>
              <w:t>:</w:t>
            </w:r>
            <w:r w:rsidR="00826B2C" w:rsidRPr="00857CDA">
              <w:rPr>
                <w:sz w:val="18"/>
                <w:szCs w:val="18"/>
                <w:lang w:val="ro-RO"/>
              </w:rPr>
              <w:br/>
            </w:r>
            <w:r w:rsidR="00247DBF" w:rsidRPr="00857CDA">
              <w:rPr>
                <w:sz w:val="18"/>
                <w:szCs w:val="18"/>
                <w:lang w:val="ro-RO"/>
              </w:rPr>
              <w:t>„</w:t>
            </w:r>
            <w:r w:rsidR="00826B2C" w:rsidRPr="00857CDA">
              <w:rPr>
                <w:sz w:val="18"/>
                <w:szCs w:val="18"/>
                <w:lang w:val="ro-RO"/>
              </w:rPr>
              <w:t>RADIOACTIV</w:t>
            </w:r>
            <w:r w:rsidR="00660131" w:rsidRPr="00857CDA">
              <w:rPr>
                <w:sz w:val="18"/>
                <w:szCs w:val="18"/>
                <w:lang w:val="ro-RO"/>
              </w:rPr>
              <w:t>”</w:t>
            </w:r>
            <w:r w:rsidR="00826B2C" w:rsidRPr="00857CDA">
              <w:rPr>
                <w:sz w:val="18"/>
                <w:szCs w:val="18"/>
                <w:lang w:val="ro-RO"/>
              </w:rPr>
              <w:br/>
            </w:r>
            <w:r w:rsidR="00443C61" w:rsidRPr="00857CDA">
              <w:rPr>
                <w:sz w:val="18"/>
                <w:szCs w:val="18"/>
                <w:lang w:val="ro-RO"/>
              </w:rPr>
              <w:t>„</w:t>
            </w:r>
            <w:r w:rsidR="00826B2C" w:rsidRPr="00857CDA">
              <w:rPr>
                <w:sz w:val="18"/>
                <w:szCs w:val="18"/>
                <w:lang w:val="ro-RO"/>
              </w:rPr>
              <w:t>CON</w:t>
            </w:r>
            <w:r w:rsidR="00DE018C" w:rsidRPr="00857CDA">
              <w:rPr>
                <w:sz w:val="18"/>
                <w:szCs w:val="18"/>
                <w:lang w:val="ro-RO"/>
              </w:rPr>
              <w:t>ȚINUT</w:t>
            </w:r>
            <w:r w:rsidR="00826B2C" w:rsidRPr="00857CDA">
              <w:rPr>
                <w:sz w:val="18"/>
                <w:szCs w:val="18"/>
                <w:lang w:val="ro-RO"/>
              </w:rPr>
              <w:t>...</w:t>
            </w:r>
            <w:r w:rsidR="00660131" w:rsidRPr="00857CDA">
              <w:rPr>
                <w:sz w:val="18"/>
                <w:szCs w:val="18"/>
                <w:lang w:val="ro-RO"/>
              </w:rPr>
              <w:t>”</w:t>
            </w:r>
            <w:r w:rsidR="00826B2C" w:rsidRPr="00857CDA">
              <w:rPr>
                <w:sz w:val="18"/>
                <w:szCs w:val="18"/>
                <w:lang w:val="ro-RO"/>
              </w:rPr>
              <w:br/>
            </w:r>
            <w:r w:rsidR="00247DBF" w:rsidRPr="00857CDA">
              <w:rPr>
                <w:sz w:val="18"/>
                <w:szCs w:val="18"/>
                <w:lang w:val="ro-RO"/>
              </w:rPr>
              <w:t>„</w:t>
            </w:r>
            <w:r w:rsidR="00826B2C" w:rsidRPr="00857CDA">
              <w:rPr>
                <w:sz w:val="18"/>
                <w:szCs w:val="18"/>
                <w:lang w:val="ro-RO"/>
              </w:rPr>
              <w:t>ACTIVIT</w:t>
            </w:r>
            <w:r w:rsidR="00DE018C" w:rsidRPr="00857CDA">
              <w:rPr>
                <w:sz w:val="18"/>
                <w:szCs w:val="18"/>
                <w:lang w:val="ro-RO"/>
              </w:rPr>
              <w:t>ATE</w:t>
            </w:r>
            <w:r w:rsidR="00826B2C" w:rsidRPr="00857CDA">
              <w:rPr>
                <w:sz w:val="18"/>
                <w:szCs w:val="18"/>
                <w:lang w:val="ro-RO"/>
              </w:rPr>
              <w:t>...</w:t>
            </w:r>
            <w:r w:rsidR="00660131" w:rsidRPr="00857CDA">
              <w:rPr>
                <w:sz w:val="18"/>
                <w:szCs w:val="18"/>
                <w:lang w:val="ro-RO"/>
              </w:rPr>
              <w:t>”</w:t>
            </w:r>
          </w:p>
          <w:p w:rsidR="00826B2C" w:rsidRPr="00857CDA" w:rsidRDefault="007E6CD2" w:rsidP="00DE018C">
            <w:pPr>
              <w:spacing w:before="40" w:after="80" w:line="238" w:lineRule="auto"/>
              <w:ind w:right="45"/>
              <w:jc w:val="center"/>
              <w:rPr>
                <w:sz w:val="18"/>
                <w:szCs w:val="18"/>
                <w:lang w:val="ro-RO"/>
              </w:rPr>
            </w:pPr>
            <w:r w:rsidRPr="00857CDA">
              <w:rPr>
                <w:sz w:val="18"/>
                <w:szCs w:val="18"/>
                <w:lang w:val="ro-RO"/>
              </w:rPr>
              <w:t>Cuvântul</w:t>
            </w:r>
            <w:r w:rsidR="00826B2C" w:rsidRPr="00857CDA">
              <w:rPr>
                <w:sz w:val="18"/>
                <w:szCs w:val="18"/>
                <w:lang w:val="ro-RO"/>
              </w:rPr>
              <w:t xml:space="preserve"> </w:t>
            </w:r>
            <w:r w:rsidR="00247DBF" w:rsidRPr="00857CDA">
              <w:rPr>
                <w:sz w:val="18"/>
                <w:szCs w:val="18"/>
                <w:lang w:val="ro-RO"/>
              </w:rPr>
              <w:t>„</w:t>
            </w:r>
            <w:r w:rsidR="00826B2C" w:rsidRPr="00857CDA">
              <w:rPr>
                <w:sz w:val="18"/>
                <w:szCs w:val="18"/>
                <w:lang w:val="ro-RO"/>
              </w:rPr>
              <w:t>RADIOACTIV</w:t>
            </w:r>
            <w:r w:rsidR="00660131" w:rsidRPr="00857CDA">
              <w:rPr>
                <w:sz w:val="18"/>
                <w:szCs w:val="18"/>
                <w:lang w:val="ro-RO"/>
              </w:rPr>
              <w:t>”</w:t>
            </w:r>
            <w:r w:rsidR="00826B2C" w:rsidRPr="00857CDA">
              <w:rPr>
                <w:sz w:val="18"/>
                <w:szCs w:val="18"/>
                <w:lang w:val="ro-RO"/>
              </w:rPr>
              <w:t xml:space="preserve"> </w:t>
            </w:r>
            <w:r w:rsidRPr="00857CDA">
              <w:rPr>
                <w:sz w:val="18"/>
                <w:szCs w:val="18"/>
                <w:lang w:val="ro-RO"/>
              </w:rPr>
              <w:t>va fi urmat de o bară verticală roșie</w:t>
            </w:r>
            <w:r w:rsidR="00826B2C" w:rsidRPr="00857CDA">
              <w:rPr>
                <w:sz w:val="18"/>
                <w:szCs w:val="18"/>
                <w:lang w:val="ro-RO"/>
              </w:rPr>
              <w:t>.</w:t>
            </w:r>
          </w:p>
        </w:tc>
      </w:tr>
      <w:tr w:rsidR="00DE018C" w:rsidRPr="00857CDA" w:rsidTr="00E871C8">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7B</w:t>
            </w:r>
          </w:p>
        </w:tc>
        <w:tc>
          <w:tcPr>
            <w:tcW w:w="0" w:type="auto"/>
            <w:shd w:val="clear" w:color="auto" w:fill="auto"/>
          </w:tcPr>
          <w:p w:rsidR="00826B2C" w:rsidRPr="00857CDA" w:rsidRDefault="007E6CD2" w:rsidP="00DE018C">
            <w:pPr>
              <w:spacing w:before="40" w:after="80"/>
              <w:ind w:right="43"/>
              <w:jc w:val="center"/>
              <w:rPr>
                <w:sz w:val="18"/>
                <w:szCs w:val="18"/>
                <w:lang w:val="ro-RO" w:eastAsia="ru-RU"/>
              </w:rPr>
            </w:pPr>
            <w:r w:rsidRPr="00857CDA">
              <w:rPr>
                <w:sz w:val="18"/>
                <w:szCs w:val="18"/>
                <w:lang w:val="ro-RO"/>
              </w:rPr>
              <w:t>Cat</w:t>
            </w:r>
            <w:r w:rsidR="00DE018C" w:rsidRPr="00857CDA">
              <w:rPr>
                <w:sz w:val="18"/>
                <w:szCs w:val="18"/>
                <w:lang w:val="ro-RO"/>
              </w:rPr>
              <w:t>e</w:t>
            </w:r>
            <w:r w:rsidRPr="00857CDA">
              <w:rPr>
                <w:sz w:val="18"/>
                <w:szCs w:val="18"/>
                <w:lang w:val="ro-RO"/>
              </w:rPr>
              <w:t>goria</w:t>
            </w:r>
            <w:r w:rsidR="00826B2C" w:rsidRPr="00857CDA">
              <w:rPr>
                <w:sz w:val="18"/>
                <w:szCs w:val="18"/>
                <w:lang w:val="ro-RO"/>
              </w:rPr>
              <w:t xml:space="preserve"> II – </w:t>
            </w:r>
            <w:r w:rsidRPr="00857CDA">
              <w:rPr>
                <w:sz w:val="18"/>
                <w:szCs w:val="18"/>
                <w:lang w:val="ro-RO"/>
              </w:rPr>
              <w:t>Galben</w:t>
            </w:r>
          </w:p>
        </w:tc>
        <w:tc>
          <w:tcPr>
            <w:tcW w:w="0" w:type="auto"/>
            <w:shd w:val="clear" w:color="auto" w:fill="auto"/>
          </w:tcPr>
          <w:p w:rsidR="00826B2C" w:rsidRPr="00857CDA" w:rsidRDefault="007E6CD2" w:rsidP="00D75049">
            <w:pPr>
              <w:spacing w:before="40" w:after="80"/>
              <w:ind w:right="43"/>
              <w:jc w:val="center"/>
              <w:rPr>
                <w:sz w:val="18"/>
                <w:szCs w:val="18"/>
                <w:lang w:val="ro-RO"/>
              </w:rPr>
            </w:pPr>
            <w:r w:rsidRPr="00857CDA">
              <w:rPr>
                <w:sz w:val="18"/>
                <w:szCs w:val="18"/>
                <w:lang w:val="ro-RO"/>
              </w:rPr>
              <w:t>Trifoi</w:t>
            </w:r>
            <w:r w:rsidR="00826B2C" w:rsidRPr="00857CDA">
              <w:rPr>
                <w:sz w:val="18"/>
                <w:szCs w:val="18"/>
                <w:lang w:val="ro-RO"/>
              </w:rPr>
              <w:t xml:space="preserve">: </w:t>
            </w:r>
            <w:r w:rsidR="007F0D67" w:rsidRPr="00857CDA">
              <w:rPr>
                <w:sz w:val="18"/>
                <w:szCs w:val="18"/>
                <w:lang w:val="ro-RO"/>
              </w:rPr>
              <w:t>negr</w:t>
            </w:r>
            <w:r w:rsidR="00D75049" w:rsidRPr="00857CDA">
              <w:rPr>
                <w:sz w:val="18"/>
                <w:szCs w:val="18"/>
                <w:lang w:val="ro-RO"/>
              </w:rPr>
              <w:t>u</w:t>
            </w:r>
          </w:p>
        </w:tc>
        <w:tc>
          <w:tcPr>
            <w:tcW w:w="0" w:type="auto"/>
            <w:shd w:val="clear" w:color="auto" w:fill="auto"/>
          </w:tcPr>
          <w:p w:rsidR="00826B2C" w:rsidRPr="00857CDA" w:rsidRDefault="007E6CD2" w:rsidP="007E6CD2">
            <w:pPr>
              <w:spacing w:before="40" w:after="80"/>
              <w:ind w:right="43"/>
              <w:jc w:val="center"/>
              <w:rPr>
                <w:sz w:val="18"/>
                <w:szCs w:val="18"/>
                <w:lang w:val="ro-RO" w:eastAsia="ru-RU"/>
              </w:rPr>
            </w:pPr>
            <w:r w:rsidRPr="00857CDA">
              <w:rPr>
                <w:sz w:val="18"/>
                <w:szCs w:val="18"/>
                <w:lang w:val="ro-RO"/>
              </w:rPr>
              <w:t>Galben cu bordură albă</w:t>
            </w:r>
            <w:r w:rsidR="00826B2C" w:rsidRPr="00857CDA">
              <w:rPr>
                <w:sz w:val="18"/>
                <w:szCs w:val="18"/>
                <w:lang w:val="ro-RO"/>
              </w:rPr>
              <w:t xml:space="preserve"> (</w:t>
            </w:r>
            <w:r w:rsidRPr="00857CDA">
              <w:rPr>
                <w:sz w:val="18"/>
                <w:szCs w:val="18"/>
                <w:lang w:val="ro-RO"/>
              </w:rPr>
              <w:t>jumătatea superioară</w:t>
            </w:r>
            <w:r w:rsidR="00826B2C" w:rsidRPr="00857CDA">
              <w:rPr>
                <w:sz w:val="18"/>
                <w:szCs w:val="18"/>
                <w:lang w:val="ro-RO"/>
              </w:rPr>
              <w:t>)</w:t>
            </w:r>
            <w:r w:rsidR="004C27AD" w:rsidRPr="00857CDA">
              <w:rPr>
                <w:sz w:val="18"/>
                <w:szCs w:val="18"/>
                <w:lang w:val="ro-RO"/>
              </w:rPr>
              <w:t xml:space="preserve"> și </w:t>
            </w:r>
            <w:r w:rsidRPr="00857CDA">
              <w:rPr>
                <w:sz w:val="18"/>
                <w:szCs w:val="18"/>
                <w:lang w:val="ro-RO"/>
              </w:rPr>
              <w:t>alb</w:t>
            </w:r>
            <w:r w:rsidR="00826B2C" w:rsidRPr="00857CDA">
              <w:rPr>
                <w:sz w:val="18"/>
                <w:szCs w:val="18"/>
                <w:lang w:val="ro-RO"/>
              </w:rPr>
              <w:t xml:space="preserve"> (</w:t>
            </w:r>
            <w:r w:rsidRPr="00857CDA">
              <w:rPr>
                <w:sz w:val="18"/>
                <w:szCs w:val="18"/>
                <w:lang w:val="ro-RO"/>
              </w:rPr>
              <w:t>jumătatea inferioară</w:t>
            </w:r>
            <w:r w:rsidR="00826B2C" w:rsidRPr="00857CDA">
              <w:rPr>
                <w:sz w:val="18"/>
                <w:szCs w:val="18"/>
                <w:lang w:val="ro-RO"/>
              </w:rPr>
              <w:t>)</w:t>
            </w:r>
          </w:p>
        </w:tc>
        <w:tc>
          <w:tcPr>
            <w:tcW w:w="0" w:type="auto"/>
            <w:shd w:val="clear" w:color="auto" w:fill="auto"/>
          </w:tcPr>
          <w:p w:rsidR="00826B2C" w:rsidRPr="00857CDA" w:rsidRDefault="00826B2C" w:rsidP="00D75049">
            <w:pPr>
              <w:spacing w:before="40" w:after="80"/>
              <w:ind w:right="43"/>
              <w:jc w:val="center"/>
              <w:rPr>
                <w:sz w:val="18"/>
                <w:szCs w:val="18"/>
                <w:lang w:val="ro-RO"/>
              </w:rPr>
            </w:pPr>
            <w:r w:rsidRPr="00857CDA">
              <w:rPr>
                <w:sz w:val="18"/>
                <w:szCs w:val="18"/>
                <w:lang w:val="ro-RO"/>
              </w:rPr>
              <w:t xml:space="preserve">7 </w:t>
            </w:r>
            <w:r w:rsidRPr="00857CDA">
              <w:rPr>
                <w:sz w:val="18"/>
                <w:szCs w:val="18"/>
                <w:lang w:val="ro-RO"/>
              </w:rPr>
              <w:br/>
              <w:t>(</w:t>
            </w:r>
            <w:r w:rsidR="00AD44C0" w:rsidRPr="00857CDA">
              <w:rPr>
                <w:sz w:val="18"/>
                <w:szCs w:val="18"/>
                <w:lang w:val="ro-RO"/>
              </w:rPr>
              <w:t>negr</w:t>
            </w:r>
            <w:r w:rsidR="00D75049"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443C61" w:rsidP="00E871C8">
            <w:pPr>
              <w:spacing w:before="40" w:after="80" w:line="240" w:lineRule="auto"/>
              <w:ind w:right="43"/>
              <w:jc w:val="center"/>
              <w:rPr>
                <w:sz w:val="18"/>
                <w:szCs w:val="18"/>
                <w:lang w:val="ro-RO" w:eastAsia="ru-RU"/>
              </w:rPr>
            </w:pPr>
            <w:r w:rsidRPr="00857CDA">
              <w:rPr>
                <w:noProof/>
                <w:sz w:val="18"/>
                <w:szCs w:val="18"/>
                <w:lang w:val="ro-RO" w:eastAsia="ro-RO"/>
              </w:rPr>
              <w:drawing>
                <wp:inline distT="0" distB="0" distL="0" distR="0">
                  <wp:extent cx="882244" cy="882244"/>
                  <wp:effectExtent l="19050" t="0" r="0" b="0"/>
                  <wp:docPr id="4" name="Imagine 12" descr="D:\AUTORITATEA RUTIERA ROMANA-ARR\CEE - ONU\TRANSPORTURI\MARFURI PERICULOASE\ADR\ADR 2019\0 fisiere originale - amendamente 2019\fisirele in RO 2019\ETICHETA CLASA 7 - CATEG -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UTORITATEA RUTIERA ROMANA-ARR\CEE - ONU\TRANSPORTURI\MARFURI PERICULOASE\ADR\ADR 2019\0 fisiere originale - amendamente 2019\fisirele in RO 2019\ETICHETA CLASA 7 - CATEG - II.png"/>
                          <pic:cNvPicPr>
                            <a:picLocks noChangeAspect="1" noChangeArrowheads="1"/>
                          </pic:cNvPicPr>
                        </pic:nvPicPr>
                        <pic:blipFill>
                          <a:blip r:embed="rId57" cstate="print"/>
                          <a:srcRect/>
                          <a:stretch>
                            <a:fillRect/>
                          </a:stretch>
                        </pic:blipFill>
                        <pic:spPr bwMode="auto">
                          <a:xfrm>
                            <a:off x="0" y="0"/>
                            <a:ext cx="883831" cy="883831"/>
                          </a:xfrm>
                          <a:prstGeom prst="rect">
                            <a:avLst/>
                          </a:prstGeom>
                          <a:noFill/>
                          <a:ln w="9525">
                            <a:noFill/>
                            <a:miter lim="800000"/>
                            <a:headEnd/>
                            <a:tailEnd/>
                          </a:ln>
                        </pic:spPr>
                      </pic:pic>
                    </a:graphicData>
                  </a:graphic>
                </wp:inline>
              </w:drawing>
            </w:r>
          </w:p>
        </w:tc>
        <w:tc>
          <w:tcPr>
            <w:tcW w:w="0" w:type="auto"/>
            <w:shd w:val="clear" w:color="auto" w:fill="auto"/>
          </w:tcPr>
          <w:p w:rsidR="00826B2C" w:rsidRPr="00857CDA" w:rsidRDefault="007E6CD2" w:rsidP="00145905">
            <w:pPr>
              <w:spacing w:before="40" w:after="80" w:line="238" w:lineRule="auto"/>
              <w:ind w:right="45"/>
              <w:jc w:val="center"/>
              <w:rPr>
                <w:sz w:val="18"/>
                <w:szCs w:val="18"/>
                <w:lang w:val="ro-RO"/>
              </w:rPr>
            </w:pPr>
            <w:r w:rsidRPr="00857CDA">
              <w:rPr>
                <w:sz w:val="18"/>
                <w:szCs w:val="18"/>
                <w:lang w:val="ro-RO"/>
              </w:rPr>
              <w:t>Text (obligatoriu), negru în jumătatea inferioară a etichetei</w:t>
            </w:r>
            <w:r w:rsidR="00091658" w:rsidRPr="00857CDA">
              <w:rPr>
                <w:sz w:val="18"/>
                <w:szCs w:val="18"/>
                <w:lang w:val="ro-RO"/>
              </w:rPr>
              <w:t>:</w:t>
            </w:r>
            <w:r w:rsidR="00826B2C" w:rsidRPr="00857CDA">
              <w:rPr>
                <w:sz w:val="18"/>
                <w:szCs w:val="18"/>
                <w:lang w:val="ro-RO"/>
              </w:rPr>
              <w:br/>
            </w:r>
            <w:r w:rsidR="00247DBF" w:rsidRPr="00857CDA">
              <w:rPr>
                <w:sz w:val="18"/>
                <w:szCs w:val="18"/>
                <w:lang w:val="ro-RO"/>
              </w:rPr>
              <w:t>„</w:t>
            </w:r>
            <w:r w:rsidR="00826B2C" w:rsidRPr="00857CDA">
              <w:rPr>
                <w:sz w:val="18"/>
                <w:szCs w:val="18"/>
                <w:lang w:val="ro-RO"/>
              </w:rPr>
              <w:t>RADIOACTIV</w:t>
            </w:r>
            <w:r w:rsidR="00660131" w:rsidRPr="00857CDA">
              <w:rPr>
                <w:sz w:val="18"/>
                <w:szCs w:val="18"/>
                <w:lang w:val="ro-RO"/>
              </w:rPr>
              <w:t>”</w:t>
            </w:r>
            <w:r w:rsidR="00826B2C" w:rsidRPr="00857CDA">
              <w:rPr>
                <w:sz w:val="18"/>
                <w:szCs w:val="18"/>
                <w:lang w:val="ro-RO"/>
              </w:rPr>
              <w:br/>
            </w:r>
            <w:r w:rsidR="00247DBF" w:rsidRPr="00857CDA">
              <w:rPr>
                <w:sz w:val="18"/>
                <w:szCs w:val="18"/>
                <w:lang w:val="ro-RO"/>
              </w:rPr>
              <w:t>„</w:t>
            </w:r>
            <w:r w:rsidR="00DE018C" w:rsidRPr="00857CDA">
              <w:rPr>
                <w:sz w:val="18"/>
                <w:szCs w:val="18"/>
                <w:lang w:val="ro-RO"/>
              </w:rPr>
              <w:t>CONȚINUT</w:t>
            </w:r>
            <w:r w:rsidR="00826B2C" w:rsidRPr="00857CDA">
              <w:rPr>
                <w:sz w:val="18"/>
                <w:szCs w:val="18"/>
                <w:lang w:val="ro-RO"/>
              </w:rPr>
              <w:t>...</w:t>
            </w:r>
            <w:r w:rsidR="00660131" w:rsidRPr="00857CDA">
              <w:rPr>
                <w:sz w:val="18"/>
                <w:szCs w:val="18"/>
                <w:lang w:val="ro-RO"/>
              </w:rPr>
              <w:t>”</w:t>
            </w:r>
            <w:r w:rsidR="00826B2C" w:rsidRPr="00857CDA">
              <w:rPr>
                <w:sz w:val="18"/>
                <w:szCs w:val="18"/>
                <w:lang w:val="ro-RO"/>
              </w:rPr>
              <w:br/>
            </w:r>
            <w:r w:rsidR="00247DBF" w:rsidRPr="00857CDA">
              <w:rPr>
                <w:sz w:val="18"/>
                <w:szCs w:val="18"/>
                <w:lang w:val="ro-RO"/>
              </w:rPr>
              <w:t>„</w:t>
            </w:r>
            <w:r w:rsidR="00826B2C" w:rsidRPr="00857CDA">
              <w:rPr>
                <w:sz w:val="18"/>
                <w:szCs w:val="18"/>
                <w:lang w:val="ro-RO"/>
              </w:rPr>
              <w:t>ACTIVIT</w:t>
            </w:r>
            <w:r w:rsidR="00DE018C" w:rsidRPr="00857CDA">
              <w:rPr>
                <w:sz w:val="18"/>
                <w:szCs w:val="18"/>
                <w:lang w:val="ro-RO"/>
              </w:rPr>
              <w:t>ATE</w:t>
            </w:r>
            <w:r w:rsidR="00826B2C" w:rsidRPr="00857CDA">
              <w:rPr>
                <w:sz w:val="18"/>
                <w:szCs w:val="18"/>
                <w:lang w:val="ro-RO"/>
              </w:rPr>
              <w:t>...</w:t>
            </w:r>
            <w:r w:rsidR="00660131" w:rsidRPr="00857CDA">
              <w:rPr>
                <w:sz w:val="18"/>
                <w:szCs w:val="18"/>
                <w:lang w:val="ro-RO"/>
              </w:rPr>
              <w:t>”</w:t>
            </w:r>
          </w:p>
          <w:p w:rsidR="00826B2C" w:rsidRPr="00857CDA" w:rsidRDefault="00902C44" w:rsidP="00145905">
            <w:pPr>
              <w:spacing w:before="40" w:after="80" w:line="238" w:lineRule="auto"/>
              <w:ind w:right="45"/>
              <w:jc w:val="center"/>
              <w:rPr>
                <w:sz w:val="18"/>
                <w:szCs w:val="18"/>
                <w:lang w:val="ro-RO"/>
              </w:rPr>
            </w:pPr>
            <w:r w:rsidRPr="00857CDA">
              <w:rPr>
                <w:sz w:val="18"/>
                <w:szCs w:val="18"/>
                <w:lang w:val="ro-RO"/>
              </w:rPr>
              <w:t>În</w:t>
            </w:r>
            <w:r w:rsidR="00DE018C" w:rsidRPr="00857CDA">
              <w:rPr>
                <w:sz w:val="18"/>
                <w:szCs w:val="18"/>
                <w:lang w:val="ro-RO"/>
              </w:rPr>
              <w:t>tr-o</w:t>
            </w:r>
            <w:r w:rsidR="00826B2C" w:rsidRPr="00857CDA">
              <w:rPr>
                <w:sz w:val="18"/>
                <w:szCs w:val="18"/>
                <w:lang w:val="ro-RO"/>
              </w:rPr>
              <w:t xml:space="preserve"> </w:t>
            </w:r>
            <w:r w:rsidR="00DE018C" w:rsidRPr="00857CDA">
              <w:rPr>
                <w:sz w:val="18"/>
                <w:szCs w:val="18"/>
                <w:lang w:val="ro-RO"/>
              </w:rPr>
              <w:t xml:space="preserve">căsuță cu bordură </w:t>
            </w:r>
            <w:r w:rsidR="007F0D67" w:rsidRPr="00857CDA">
              <w:rPr>
                <w:sz w:val="18"/>
                <w:szCs w:val="18"/>
                <w:lang w:val="ro-RO"/>
              </w:rPr>
              <w:t>ne</w:t>
            </w:r>
            <w:r w:rsidR="00DE018C" w:rsidRPr="00857CDA">
              <w:rPr>
                <w:sz w:val="18"/>
                <w:szCs w:val="18"/>
                <w:lang w:val="ro-RO"/>
              </w:rPr>
              <w:t>a</w:t>
            </w:r>
            <w:r w:rsidR="007F0D67" w:rsidRPr="00857CDA">
              <w:rPr>
                <w:sz w:val="18"/>
                <w:szCs w:val="18"/>
                <w:lang w:val="ro-RO"/>
              </w:rPr>
              <w:t>gr</w:t>
            </w:r>
            <w:r w:rsidR="00DE018C" w:rsidRPr="00857CDA">
              <w:rPr>
                <w:sz w:val="18"/>
                <w:szCs w:val="18"/>
                <w:lang w:val="ro-RO"/>
              </w:rPr>
              <w:t>ă</w:t>
            </w:r>
            <w:r w:rsidR="00091658" w:rsidRPr="00857CDA">
              <w:rPr>
                <w:sz w:val="18"/>
                <w:szCs w:val="18"/>
                <w:lang w:val="ro-RO"/>
              </w:rPr>
              <w:t>:</w:t>
            </w:r>
            <w:r w:rsidR="00826B2C" w:rsidRPr="00857CDA">
              <w:rPr>
                <w:sz w:val="18"/>
                <w:szCs w:val="18"/>
                <w:lang w:val="ro-RO"/>
              </w:rPr>
              <w:t xml:space="preserve"> </w:t>
            </w:r>
            <w:r w:rsidR="00247DBF" w:rsidRPr="00857CDA">
              <w:rPr>
                <w:sz w:val="18"/>
                <w:szCs w:val="18"/>
                <w:lang w:val="ro-RO"/>
              </w:rPr>
              <w:t>„</w:t>
            </w:r>
            <w:r w:rsidR="00DE018C" w:rsidRPr="00857CDA">
              <w:rPr>
                <w:sz w:val="18"/>
                <w:szCs w:val="18"/>
                <w:lang w:val="ro-RO"/>
              </w:rPr>
              <w:t xml:space="preserve">INDEX DE </w:t>
            </w:r>
            <w:r w:rsidR="00826B2C" w:rsidRPr="00857CDA">
              <w:rPr>
                <w:sz w:val="18"/>
                <w:szCs w:val="18"/>
                <w:lang w:val="ro-RO"/>
              </w:rPr>
              <w:t>TRANSPORT</w:t>
            </w:r>
            <w:r w:rsidR="00660131" w:rsidRPr="00857CDA">
              <w:rPr>
                <w:sz w:val="18"/>
                <w:szCs w:val="18"/>
                <w:lang w:val="ro-RO"/>
              </w:rPr>
              <w:t>”</w:t>
            </w:r>
            <w:r w:rsidR="00826B2C" w:rsidRPr="00857CDA">
              <w:rPr>
                <w:sz w:val="18"/>
                <w:szCs w:val="18"/>
                <w:lang w:val="ro-RO"/>
              </w:rPr>
              <w:t>.</w:t>
            </w:r>
          </w:p>
          <w:p w:rsidR="00826B2C" w:rsidRPr="00857CDA" w:rsidRDefault="007E6CD2" w:rsidP="00DE018C">
            <w:pPr>
              <w:spacing w:before="40" w:after="80" w:line="238" w:lineRule="auto"/>
              <w:ind w:right="45"/>
              <w:jc w:val="center"/>
              <w:rPr>
                <w:sz w:val="18"/>
                <w:szCs w:val="18"/>
                <w:lang w:val="ro-RO"/>
              </w:rPr>
            </w:pPr>
            <w:r w:rsidRPr="00857CDA">
              <w:rPr>
                <w:sz w:val="18"/>
                <w:szCs w:val="18"/>
                <w:lang w:val="ro-RO"/>
              </w:rPr>
              <w:t xml:space="preserve">Cuvântul </w:t>
            </w:r>
            <w:r w:rsidR="00247DBF" w:rsidRPr="00857CDA">
              <w:rPr>
                <w:sz w:val="18"/>
                <w:szCs w:val="18"/>
                <w:lang w:val="ro-RO"/>
              </w:rPr>
              <w:t>„</w:t>
            </w:r>
            <w:r w:rsidRPr="00857CDA">
              <w:rPr>
                <w:sz w:val="18"/>
                <w:szCs w:val="18"/>
                <w:lang w:val="ro-RO"/>
              </w:rPr>
              <w:t>RADIOACTIV” va fi urmat de două bare verticale roșii.</w:t>
            </w:r>
          </w:p>
        </w:tc>
      </w:tr>
      <w:tr w:rsidR="00DE018C" w:rsidRPr="00857CDA" w:rsidTr="00E871C8">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7C</w:t>
            </w:r>
          </w:p>
        </w:tc>
        <w:tc>
          <w:tcPr>
            <w:tcW w:w="0" w:type="auto"/>
            <w:shd w:val="clear" w:color="auto" w:fill="auto"/>
          </w:tcPr>
          <w:p w:rsidR="00826B2C" w:rsidRPr="00857CDA" w:rsidRDefault="007E6CD2" w:rsidP="00DE018C">
            <w:pPr>
              <w:spacing w:before="40" w:after="80"/>
              <w:ind w:right="43"/>
              <w:jc w:val="center"/>
              <w:rPr>
                <w:sz w:val="18"/>
                <w:szCs w:val="18"/>
                <w:lang w:val="ro-RO" w:eastAsia="ru-RU"/>
              </w:rPr>
            </w:pPr>
            <w:r w:rsidRPr="00857CDA">
              <w:rPr>
                <w:sz w:val="18"/>
                <w:szCs w:val="18"/>
                <w:lang w:val="ro-RO"/>
              </w:rPr>
              <w:t>Cat</w:t>
            </w:r>
            <w:r w:rsidR="00DE018C" w:rsidRPr="00857CDA">
              <w:rPr>
                <w:sz w:val="18"/>
                <w:szCs w:val="18"/>
                <w:lang w:val="ro-RO"/>
              </w:rPr>
              <w:t>e</w:t>
            </w:r>
            <w:r w:rsidRPr="00857CDA">
              <w:rPr>
                <w:sz w:val="18"/>
                <w:szCs w:val="18"/>
                <w:lang w:val="ro-RO"/>
              </w:rPr>
              <w:t>goria</w:t>
            </w:r>
            <w:r w:rsidR="00826B2C" w:rsidRPr="00857CDA">
              <w:rPr>
                <w:sz w:val="18"/>
                <w:szCs w:val="18"/>
                <w:lang w:val="ro-RO"/>
              </w:rPr>
              <w:t xml:space="preserve"> III – </w:t>
            </w:r>
            <w:r w:rsidRPr="00857CDA">
              <w:rPr>
                <w:sz w:val="18"/>
                <w:szCs w:val="18"/>
                <w:lang w:val="ro-RO"/>
              </w:rPr>
              <w:t>Galben</w:t>
            </w:r>
          </w:p>
        </w:tc>
        <w:tc>
          <w:tcPr>
            <w:tcW w:w="0" w:type="auto"/>
            <w:shd w:val="clear" w:color="auto" w:fill="auto"/>
          </w:tcPr>
          <w:p w:rsidR="00826B2C" w:rsidRPr="00857CDA" w:rsidRDefault="007E6CD2" w:rsidP="00D75049">
            <w:pPr>
              <w:spacing w:before="40" w:after="80"/>
              <w:ind w:right="43"/>
              <w:jc w:val="center"/>
              <w:rPr>
                <w:sz w:val="18"/>
                <w:szCs w:val="18"/>
                <w:lang w:val="ro-RO"/>
              </w:rPr>
            </w:pPr>
            <w:r w:rsidRPr="00857CDA">
              <w:rPr>
                <w:sz w:val="18"/>
                <w:szCs w:val="18"/>
                <w:lang w:val="ro-RO"/>
              </w:rPr>
              <w:t>Trifoi</w:t>
            </w:r>
            <w:r w:rsidR="00826B2C" w:rsidRPr="00857CDA">
              <w:rPr>
                <w:sz w:val="18"/>
                <w:szCs w:val="18"/>
                <w:lang w:val="ro-RO"/>
              </w:rPr>
              <w:t xml:space="preserve">: </w:t>
            </w:r>
            <w:r w:rsidR="007F0D67" w:rsidRPr="00857CDA">
              <w:rPr>
                <w:sz w:val="18"/>
                <w:szCs w:val="18"/>
                <w:lang w:val="ro-RO"/>
              </w:rPr>
              <w:t>negr</w:t>
            </w:r>
            <w:r w:rsidR="00D75049" w:rsidRPr="00857CDA">
              <w:rPr>
                <w:sz w:val="18"/>
                <w:szCs w:val="18"/>
                <w:lang w:val="ro-RO"/>
              </w:rPr>
              <w:t>u</w:t>
            </w:r>
          </w:p>
        </w:tc>
        <w:tc>
          <w:tcPr>
            <w:tcW w:w="0" w:type="auto"/>
            <w:shd w:val="clear" w:color="auto" w:fill="auto"/>
          </w:tcPr>
          <w:p w:rsidR="00826B2C" w:rsidRPr="00857CDA" w:rsidRDefault="007E6CD2" w:rsidP="00E871C8">
            <w:pPr>
              <w:spacing w:before="40" w:after="80"/>
              <w:ind w:right="43"/>
              <w:jc w:val="center"/>
              <w:rPr>
                <w:sz w:val="18"/>
                <w:szCs w:val="18"/>
                <w:lang w:val="ro-RO" w:eastAsia="ru-RU"/>
              </w:rPr>
            </w:pPr>
            <w:r w:rsidRPr="00857CDA">
              <w:rPr>
                <w:sz w:val="18"/>
                <w:szCs w:val="18"/>
                <w:lang w:val="ro-RO"/>
              </w:rPr>
              <w:t>Galben cu bordură albă (jumătatea superioară) și alb (jumătatea inferioară)</w:t>
            </w:r>
          </w:p>
        </w:tc>
        <w:tc>
          <w:tcPr>
            <w:tcW w:w="0" w:type="auto"/>
            <w:shd w:val="clear" w:color="auto" w:fill="auto"/>
          </w:tcPr>
          <w:p w:rsidR="00826B2C" w:rsidRPr="00857CDA" w:rsidRDefault="00826B2C" w:rsidP="00D75049">
            <w:pPr>
              <w:spacing w:before="40" w:after="80"/>
              <w:ind w:right="43"/>
              <w:jc w:val="center"/>
              <w:rPr>
                <w:sz w:val="18"/>
                <w:szCs w:val="18"/>
                <w:lang w:val="ro-RO"/>
              </w:rPr>
            </w:pPr>
            <w:r w:rsidRPr="00857CDA">
              <w:rPr>
                <w:sz w:val="18"/>
                <w:szCs w:val="18"/>
                <w:lang w:val="ro-RO"/>
              </w:rPr>
              <w:t xml:space="preserve">7 </w:t>
            </w:r>
            <w:r w:rsidRPr="00857CDA">
              <w:rPr>
                <w:sz w:val="18"/>
                <w:szCs w:val="18"/>
                <w:lang w:val="ro-RO"/>
              </w:rPr>
              <w:br/>
              <w:t>(</w:t>
            </w:r>
            <w:r w:rsidR="00AD44C0" w:rsidRPr="00857CDA">
              <w:rPr>
                <w:sz w:val="18"/>
                <w:szCs w:val="18"/>
                <w:lang w:val="ro-RO"/>
              </w:rPr>
              <w:t>negr</w:t>
            </w:r>
            <w:r w:rsidR="00D75049"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443C61" w:rsidP="00E871C8">
            <w:pPr>
              <w:spacing w:before="40" w:after="80" w:line="240" w:lineRule="auto"/>
              <w:ind w:right="43"/>
              <w:jc w:val="center"/>
              <w:rPr>
                <w:sz w:val="18"/>
                <w:szCs w:val="18"/>
                <w:lang w:val="ro-RO" w:eastAsia="ru-RU"/>
              </w:rPr>
            </w:pPr>
            <w:r w:rsidRPr="00857CDA">
              <w:rPr>
                <w:noProof/>
                <w:sz w:val="18"/>
                <w:szCs w:val="18"/>
                <w:lang w:val="ro-RO" w:eastAsia="ro-RO"/>
              </w:rPr>
              <w:drawing>
                <wp:inline distT="0" distB="0" distL="0" distR="0">
                  <wp:extent cx="849529" cy="849529"/>
                  <wp:effectExtent l="19050" t="0" r="7721" b="0"/>
                  <wp:docPr id="13" name="Imagine 13" descr="D:\AUTORITATEA RUTIERA ROMANA-ARR\CEE - ONU\TRANSPORTURI\MARFURI PERICULOASE\ADR\ADR 2019\0 fisiere originale - amendamente 2019\fisirele in RO 2019\ETICHETA CLASA 7 - CATEG - 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UTORITATEA RUTIERA ROMANA-ARR\CEE - ONU\TRANSPORTURI\MARFURI PERICULOASE\ADR\ADR 2019\0 fisiere originale - amendamente 2019\fisirele in RO 2019\ETICHETA CLASA 7 - CATEG - III.png"/>
                          <pic:cNvPicPr>
                            <a:picLocks noChangeAspect="1" noChangeArrowheads="1"/>
                          </pic:cNvPicPr>
                        </pic:nvPicPr>
                        <pic:blipFill>
                          <a:blip r:embed="rId58" cstate="print"/>
                          <a:srcRect/>
                          <a:stretch>
                            <a:fillRect/>
                          </a:stretch>
                        </pic:blipFill>
                        <pic:spPr bwMode="auto">
                          <a:xfrm>
                            <a:off x="0" y="0"/>
                            <a:ext cx="850305" cy="850305"/>
                          </a:xfrm>
                          <a:prstGeom prst="rect">
                            <a:avLst/>
                          </a:prstGeom>
                          <a:noFill/>
                          <a:ln w="9525">
                            <a:noFill/>
                            <a:miter lim="800000"/>
                            <a:headEnd/>
                            <a:tailEnd/>
                          </a:ln>
                        </pic:spPr>
                      </pic:pic>
                    </a:graphicData>
                  </a:graphic>
                </wp:inline>
              </w:drawing>
            </w:r>
          </w:p>
        </w:tc>
        <w:tc>
          <w:tcPr>
            <w:tcW w:w="0" w:type="auto"/>
            <w:shd w:val="clear" w:color="auto" w:fill="auto"/>
          </w:tcPr>
          <w:p w:rsidR="00826B2C" w:rsidRPr="00857CDA" w:rsidRDefault="007E6CD2" w:rsidP="00145905">
            <w:pPr>
              <w:spacing w:before="40" w:after="80" w:line="238" w:lineRule="auto"/>
              <w:ind w:right="45"/>
              <w:jc w:val="center"/>
              <w:rPr>
                <w:sz w:val="18"/>
                <w:szCs w:val="18"/>
                <w:lang w:val="ro-RO"/>
              </w:rPr>
            </w:pPr>
            <w:r w:rsidRPr="00857CDA">
              <w:rPr>
                <w:sz w:val="18"/>
                <w:szCs w:val="18"/>
                <w:lang w:val="ro-RO"/>
              </w:rPr>
              <w:t>Text (obligatoriu), negru în jumătatea inferioară a etichetei</w:t>
            </w:r>
            <w:r w:rsidR="00826B2C" w:rsidRPr="00857CDA">
              <w:rPr>
                <w:sz w:val="18"/>
                <w:szCs w:val="18"/>
                <w:lang w:val="ro-RO"/>
              </w:rPr>
              <w:t>:</w:t>
            </w:r>
            <w:r w:rsidR="00826B2C" w:rsidRPr="00857CDA">
              <w:rPr>
                <w:sz w:val="18"/>
                <w:szCs w:val="18"/>
                <w:lang w:val="ro-RO"/>
              </w:rPr>
              <w:br/>
            </w:r>
            <w:r w:rsidR="00247DBF" w:rsidRPr="00857CDA">
              <w:rPr>
                <w:sz w:val="18"/>
                <w:szCs w:val="18"/>
                <w:lang w:val="ro-RO"/>
              </w:rPr>
              <w:t>„</w:t>
            </w:r>
            <w:r w:rsidR="00826B2C" w:rsidRPr="00857CDA">
              <w:rPr>
                <w:sz w:val="18"/>
                <w:szCs w:val="18"/>
                <w:lang w:val="ro-RO"/>
              </w:rPr>
              <w:t>RADIOACTIV</w:t>
            </w:r>
            <w:r w:rsidR="00660131" w:rsidRPr="00857CDA">
              <w:rPr>
                <w:sz w:val="18"/>
                <w:szCs w:val="18"/>
                <w:lang w:val="ro-RO"/>
              </w:rPr>
              <w:t>”</w:t>
            </w:r>
            <w:r w:rsidR="00826B2C" w:rsidRPr="00857CDA">
              <w:rPr>
                <w:sz w:val="18"/>
                <w:szCs w:val="18"/>
                <w:lang w:val="ro-RO"/>
              </w:rPr>
              <w:br/>
            </w:r>
            <w:r w:rsidR="00247DBF" w:rsidRPr="00857CDA">
              <w:rPr>
                <w:sz w:val="18"/>
                <w:szCs w:val="18"/>
                <w:lang w:val="ro-RO"/>
              </w:rPr>
              <w:t>„</w:t>
            </w:r>
            <w:r w:rsidR="00826B2C" w:rsidRPr="00857CDA">
              <w:rPr>
                <w:sz w:val="18"/>
                <w:szCs w:val="18"/>
                <w:lang w:val="ro-RO"/>
              </w:rPr>
              <w:t>CON</w:t>
            </w:r>
            <w:r w:rsidR="00DE018C" w:rsidRPr="00857CDA">
              <w:rPr>
                <w:sz w:val="18"/>
                <w:szCs w:val="18"/>
                <w:lang w:val="ro-RO"/>
              </w:rPr>
              <w:t>ȚINUT</w:t>
            </w:r>
            <w:r w:rsidR="00826B2C" w:rsidRPr="00857CDA">
              <w:rPr>
                <w:sz w:val="18"/>
                <w:szCs w:val="18"/>
                <w:lang w:val="ro-RO"/>
              </w:rPr>
              <w:t xml:space="preserve">... </w:t>
            </w:r>
            <w:r w:rsidR="00660131" w:rsidRPr="00857CDA">
              <w:rPr>
                <w:sz w:val="18"/>
                <w:szCs w:val="18"/>
                <w:lang w:val="ro-RO"/>
              </w:rPr>
              <w:t>“</w:t>
            </w:r>
            <w:r w:rsidR="00826B2C" w:rsidRPr="00857CDA">
              <w:rPr>
                <w:sz w:val="18"/>
                <w:szCs w:val="18"/>
                <w:lang w:val="ro-RO"/>
              </w:rPr>
              <w:br/>
            </w:r>
            <w:r w:rsidR="00247DBF" w:rsidRPr="00857CDA">
              <w:rPr>
                <w:sz w:val="18"/>
                <w:szCs w:val="18"/>
                <w:lang w:val="ro-RO"/>
              </w:rPr>
              <w:t>„</w:t>
            </w:r>
            <w:r w:rsidR="00826B2C" w:rsidRPr="00857CDA">
              <w:rPr>
                <w:sz w:val="18"/>
                <w:szCs w:val="18"/>
                <w:lang w:val="ro-RO"/>
              </w:rPr>
              <w:t>ACTIVIT</w:t>
            </w:r>
            <w:r w:rsidR="00DE018C" w:rsidRPr="00857CDA">
              <w:rPr>
                <w:sz w:val="18"/>
                <w:szCs w:val="18"/>
                <w:lang w:val="ro-RO"/>
              </w:rPr>
              <w:t>ATE</w:t>
            </w:r>
            <w:r w:rsidR="00826B2C" w:rsidRPr="00857CDA">
              <w:rPr>
                <w:sz w:val="18"/>
                <w:szCs w:val="18"/>
                <w:lang w:val="ro-RO"/>
              </w:rPr>
              <w:t xml:space="preserve">... </w:t>
            </w:r>
            <w:r w:rsidR="00660131" w:rsidRPr="00857CDA">
              <w:rPr>
                <w:sz w:val="18"/>
                <w:szCs w:val="18"/>
                <w:lang w:val="ro-RO"/>
              </w:rPr>
              <w:t>“</w:t>
            </w:r>
          </w:p>
          <w:p w:rsidR="00826B2C" w:rsidRPr="00857CDA" w:rsidRDefault="00DE018C" w:rsidP="00145905">
            <w:pPr>
              <w:spacing w:before="40" w:after="80" w:line="238" w:lineRule="auto"/>
              <w:ind w:right="45"/>
              <w:jc w:val="center"/>
              <w:rPr>
                <w:sz w:val="18"/>
                <w:szCs w:val="18"/>
                <w:lang w:val="ro-RO"/>
              </w:rPr>
            </w:pPr>
            <w:r w:rsidRPr="00857CDA">
              <w:rPr>
                <w:sz w:val="18"/>
                <w:szCs w:val="18"/>
                <w:lang w:val="ro-RO"/>
              </w:rPr>
              <w:t>Într-o căsuță cu bordură neagră</w:t>
            </w:r>
            <w:r w:rsidR="00826B2C" w:rsidRPr="00857CDA">
              <w:rPr>
                <w:sz w:val="18"/>
                <w:szCs w:val="18"/>
                <w:lang w:val="ro-RO"/>
              </w:rPr>
              <w:t xml:space="preserve">: </w:t>
            </w:r>
            <w:r w:rsidR="00826B2C" w:rsidRPr="00857CDA">
              <w:rPr>
                <w:sz w:val="18"/>
                <w:szCs w:val="18"/>
                <w:lang w:val="ro-RO"/>
              </w:rPr>
              <w:br/>
            </w:r>
            <w:r w:rsidR="00247DBF" w:rsidRPr="00857CDA">
              <w:rPr>
                <w:sz w:val="18"/>
                <w:szCs w:val="18"/>
                <w:lang w:val="ro-RO"/>
              </w:rPr>
              <w:t>„</w:t>
            </w:r>
            <w:r w:rsidRPr="00857CDA">
              <w:rPr>
                <w:sz w:val="18"/>
                <w:szCs w:val="18"/>
                <w:lang w:val="ro-RO"/>
              </w:rPr>
              <w:t xml:space="preserve">INDEX DE </w:t>
            </w:r>
            <w:r w:rsidR="00826B2C" w:rsidRPr="00857CDA">
              <w:rPr>
                <w:sz w:val="18"/>
                <w:szCs w:val="18"/>
                <w:lang w:val="ro-RO"/>
              </w:rPr>
              <w:t>TRANSPORT</w:t>
            </w:r>
            <w:r w:rsidR="00660131" w:rsidRPr="00857CDA">
              <w:rPr>
                <w:sz w:val="18"/>
                <w:szCs w:val="18"/>
                <w:lang w:val="ro-RO"/>
              </w:rPr>
              <w:t>”</w:t>
            </w:r>
            <w:r w:rsidR="00826B2C" w:rsidRPr="00857CDA">
              <w:rPr>
                <w:sz w:val="18"/>
                <w:szCs w:val="18"/>
                <w:lang w:val="ro-RO"/>
              </w:rPr>
              <w:t>.</w:t>
            </w:r>
          </w:p>
          <w:p w:rsidR="00826B2C" w:rsidRPr="00857CDA" w:rsidRDefault="007E6CD2" w:rsidP="00DE018C">
            <w:pPr>
              <w:spacing w:before="40" w:after="80" w:line="238" w:lineRule="auto"/>
              <w:ind w:right="45"/>
              <w:jc w:val="center"/>
              <w:rPr>
                <w:sz w:val="18"/>
                <w:szCs w:val="18"/>
                <w:lang w:val="ro-RO"/>
              </w:rPr>
            </w:pPr>
            <w:r w:rsidRPr="00857CDA">
              <w:rPr>
                <w:sz w:val="18"/>
                <w:szCs w:val="18"/>
                <w:lang w:val="ro-RO"/>
              </w:rPr>
              <w:t xml:space="preserve">Cuvântul </w:t>
            </w:r>
            <w:r w:rsidR="00247DBF" w:rsidRPr="00857CDA">
              <w:rPr>
                <w:sz w:val="18"/>
                <w:szCs w:val="18"/>
                <w:lang w:val="ro-RO"/>
              </w:rPr>
              <w:t>„</w:t>
            </w:r>
            <w:r w:rsidRPr="00857CDA">
              <w:rPr>
                <w:sz w:val="18"/>
                <w:szCs w:val="18"/>
                <w:lang w:val="ro-RO"/>
              </w:rPr>
              <w:t>RADIOACTIV” va fi urmat de trei bare verticale roșii</w:t>
            </w:r>
            <w:r w:rsidR="00826B2C" w:rsidRPr="00857CDA">
              <w:rPr>
                <w:sz w:val="18"/>
                <w:szCs w:val="18"/>
                <w:lang w:val="ro-RO"/>
              </w:rPr>
              <w:t>.</w:t>
            </w:r>
          </w:p>
        </w:tc>
      </w:tr>
    </w:tbl>
    <w:p w:rsidR="00826B2C" w:rsidRPr="00857CDA" w:rsidRDefault="00826B2C" w:rsidP="00826B2C">
      <w:pPr>
        <w:spacing w:line="240" w:lineRule="auto"/>
        <w:rPr>
          <w:lang w:val="ro-RO"/>
        </w:rPr>
      </w:pPr>
    </w:p>
    <w:p w:rsidR="00826B2C" w:rsidRPr="00857CDA" w:rsidRDefault="00826B2C" w:rsidP="00826B2C">
      <w:pPr>
        <w:spacing w:line="240" w:lineRule="auto"/>
        <w:rPr>
          <w:lang w:val="ro-RO"/>
        </w:rPr>
      </w:pPr>
      <w:r w:rsidRPr="00857CDA">
        <w:rPr>
          <w:lang w:val="ro-RO"/>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157"/>
        <w:gridCol w:w="3369"/>
        <w:gridCol w:w="2402"/>
        <w:gridCol w:w="1118"/>
        <w:gridCol w:w="1602"/>
        <w:gridCol w:w="2318"/>
      </w:tblGrid>
      <w:tr w:rsidR="00A56E80" w:rsidRPr="00857CDA" w:rsidTr="00E871C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lastRenderedPageBreak/>
              <w:t>Nr. de model de etichetă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Diviziune sau Categorie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Semnul convențional și culoarea semnului</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Cifra care figurează în colțul inferior (și culoarea cifrei)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Modelul de etichetă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44C0" w:rsidRPr="00857CDA" w:rsidRDefault="00AD44C0" w:rsidP="00AD44C0">
            <w:pPr>
              <w:spacing w:before="80" w:after="80" w:line="160" w:lineRule="exact"/>
              <w:ind w:right="43"/>
              <w:jc w:val="center"/>
              <w:textDirection w:val="tbLrV"/>
              <w:rPr>
                <w:b/>
                <w:sz w:val="18"/>
                <w:szCs w:val="18"/>
                <w:lang w:val="ro-RO"/>
              </w:rPr>
            </w:pPr>
            <w:r w:rsidRPr="00857CDA">
              <w:rPr>
                <w:b/>
                <w:sz w:val="18"/>
                <w:szCs w:val="18"/>
                <w:lang w:val="ro-RO"/>
              </w:rPr>
              <w:t>Notă</w:t>
            </w:r>
          </w:p>
        </w:tc>
      </w:tr>
      <w:tr w:rsidR="00826B2C" w:rsidRPr="007D305F" w:rsidTr="00E871C8">
        <w:trPr>
          <w:tblHeader/>
        </w:trPr>
        <w:tc>
          <w:tcPr>
            <w:tcW w:w="0" w:type="auto"/>
            <w:gridSpan w:val="7"/>
            <w:shd w:val="clear" w:color="auto" w:fill="auto"/>
          </w:tcPr>
          <w:p w:rsidR="00826B2C" w:rsidRPr="00857CDA" w:rsidRDefault="002B679C" w:rsidP="00C754DF">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C754DF"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7: </w:t>
            </w:r>
            <w:r w:rsidR="00C754DF" w:rsidRPr="00857CDA">
              <w:rPr>
                <w:b/>
                <w:sz w:val="18"/>
                <w:szCs w:val="18"/>
                <w:lang w:val="ro-RO"/>
              </w:rPr>
              <w:t>Materiale radioactive</w:t>
            </w:r>
          </w:p>
        </w:tc>
      </w:tr>
      <w:tr w:rsidR="00A56E80" w:rsidRPr="007D305F" w:rsidTr="00E871C8">
        <w:tc>
          <w:tcPr>
            <w:tcW w:w="0" w:type="auto"/>
            <w:shd w:val="clear" w:color="auto" w:fill="auto"/>
          </w:tcPr>
          <w:p w:rsidR="00826B2C" w:rsidRPr="00857CDA" w:rsidRDefault="00826B2C" w:rsidP="00145905">
            <w:pPr>
              <w:spacing w:before="80" w:after="80"/>
              <w:ind w:right="43"/>
              <w:jc w:val="center"/>
              <w:rPr>
                <w:sz w:val="18"/>
                <w:szCs w:val="18"/>
                <w:lang w:val="ro-RO"/>
              </w:rPr>
            </w:pPr>
            <w:r w:rsidRPr="00857CDA">
              <w:rPr>
                <w:sz w:val="18"/>
                <w:szCs w:val="18"/>
                <w:lang w:val="ro-RO"/>
              </w:rPr>
              <w:t>7E</w:t>
            </w:r>
          </w:p>
        </w:tc>
        <w:tc>
          <w:tcPr>
            <w:tcW w:w="0" w:type="auto"/>
            <w:shd w:val="clear" w:color="auto" w:fill="auto"/>
          </w:tcPr>
          <w:p w:rsidR="00826B2C" w:rsidRPr="00857CDA" w:rsidRDefault="00A200A7" w:rsidP="00E871C8">
            <w:pPr>
              <w:spacing w:before="80" w:after="80"/>
              <w:ind w:right="43"/>
              <w:jc w:val="center"/>
              <w:rPr>
                <w:sz w:val="18"/>
                <w:szCs w:val="18"/>
                <w:lang w:val="ro-RO"/>
              </w:rPr>
            </w:pPr>
            <w:r w:rsidRPr="00857CDA">
              <w:rPr>
                <w:lang w:val="ro-RO"/>
              </w:rPr>
              <w:t>Materiale fisil</w:t>
            </w:r>
            <w:r w:rsidRPr="00857CDA">
              <w:rPr>
                <w:sz w:val="18"/>
                <w:szCs w:val="18"/>
                <w:lang w:val="ro-RO"/>
              </w:rPr>
              <w:t>e</w:t>
            </w:r>
          </w:p>
        </w:tc>
        <w:tc>
          <w:tcPr>
            <w:tcW w:w="3369" w:type="dxa"/>
            <w:shd w:val="clear" w:color="auto" w:fill="auto"/>
          </w:tcPr>
          <w:p w:rsidR="00826B2C" w:rsidRPr="00857CDA" w:rsidRDefault="00826B2C" w:rsidP="00E871C8">
            <w:pPr>
              <w:spacing w:before="80" w:after="80"/>
              <w:ind w:right="43"/>
              <w:jc w:val="center"/>
              <w:rPr>
                <w:sz w:val="18"/>
                <w:szCs w:val="18"/>
                <w:lang w:val="ro-RO"/>
              </w:rPr>
            </w:pPr>
            <w:r w:rsidRPr="00857CDA">
              <w:rPr>
                <w:sz w:val="18"/>
                <w:szCs w:val="18"/>
                <w:lang w:val="ro-RO"/>
              </w:rPr>
              <w:t>-</w:t>
            </w:r>
          </w:p>
        </w:tc>
        <w:tc>
          <w:tcPr>
            <w:tcW w:w="2402" w:type="dxa"/>
            <w:shd w:val="clear" w:color="auto" w:fill="auto"/>
          </w:tcPr>
          <w:p w:rsidR="00826B2C" w:rsidRPr="00857CDA" w:rsidRDefault="00AD44C0" w:rsidP="00E871C8">
            <w:pPr>
              <w:spacing w:before="80" w:after="80"/>
              <w:ind w:right="43"/>
              <w:jc w:val="center"/>
              <w:rPr>
                <w:sz w:val="18"/>
                <w:szCs w:val="18"/>
                <w:lang w:val="ro-RO"/>
              </w:rPr>
            </w:pPr>
            <w:r w:rsidRPr="00857CDA">
              <w:rPr>
                <w:sz w:val="18"/>
                <w:szCs w:val="18"/>
                <w:lang w:val="ro-RO"/>
              </w:rPr>
              <w:t>Alb</w:t>
            </w:r>
          </w:p>
        </w:tc>
        <w:tc>
          <w:tcPr>
            <w:tcW w:w="1118" w:type="dxa"/>
            <w:shd w:val="clear" w:color="auto" w:fill="auto"/>
          </w:tcPr>
          <w:p w:rsidR="00826B2C" w:rsidRPr="00857CDA" w:rsidRDefault="00826B2C" w:rsidP="00D75049">
            <w:pPr>
              <w:spacing w:before="80" w:after="80"/>
              <w:ind w:right="43"/>
              <w:jc w:val="center"/>
              <w:rPr>
                <w:sz w:val="18"/>
                <w:szCs w:val="18"/>
                <w:lang w:val="ro-RO"/>
              </w:rPr>
            </w:pPr>
            <w:r w:rsidRPr="00857CDA">
              <w:rPr>
                <w:sz w:val="18"/>
                <w:szCs w:val="18"/>
                <w:lang w:val="ro-RO"/>
              </w:rPr>
              <w:t>7</w:t>
            </w:r>
            <w:r w:rsidRPr="00857CDA">
              <w:rPr>
                <w:sz w:val="18"/>
                <w:szCs w:val="18"/>
                <w:lang w:val="ro-RO"/>
              </w:rPr>
              <w:br/>
              <w:t>(</w:t>
            </w:r>
            <w:r w:rsidR="00AD44C0" w:rsidRPr="00857CDA">
              <w:rPr>
                <w:sz w:val="18"/>
                <w:szCs w:val="18"/>
                <w:lang w:val="ro-RO"/>
              </w:rPr>
              <w:t>negr</w:t>
            </w:r>
            <w:r w:rsidR="00D75049"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E460E9" w:rsidP="00E871C8">
            <w:pPr>
              <w:spacing w:before="80" w:after="80" w:line="240" w:lineRule="auto"/>
              <w:ind w:right="43"/>
              <w:jc w:val="center"/>
              <w:rPr>
                <w:sz w:val="18"/>
                <w:szCs w:val="18"/>
                <w:lang w:val="ro-RO" w:eastAsia="ru-RU"/>
              </w:rPr>
            </w:pPr>
            <w:r w:rsidRPr="00857CDA">
              <w:rPr>
                <w:noProof/>
                <w:sz w:val="18"/>
                <w:szCs w:val="18"/>
                <w:lang w:val="ro-RO" w:eastAsia="ro-RO"/>
              </w:rPr>
              <w:drawing>
                <wp:inline distT="0" distB="0" distL="0" distR="0">
                  <wp:extent cx="806907" cy="806907"/>
                  <wp:effectExtent l="19050" t="0" r="0" b="0"/>
                  <wp:docPr id="10" name="Imagine 10" descr="D:\AUTORITATEA RUTIERA ROMANA-ARR\CEE - ONU\TRANSPORTURI\MARFURI PERICULOASE\ADR\ADR 2019\0 fisiere originale - amendamente 2019\fisirele in RO 2019\ETICHETA CLASA 7 - FI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UTORITATEA RUTIERA ROMANA-ARR\CEE - ONU\TRANSPORTURI\MARFURI PERICULOASE\ADR\ADR 2019\0 fisiere originale - amendamente 2019\fisirele in RO 2019\ETICHETA CLASA 7 - FISIL.png"/>
                          <pic:cNvPicPr>
                            <a:picLocks noChangeAspect="1" noChangeArrowheads="1"/>
                          </pic:cNvPicPr>
                        </pic:nvPicPr>
                        <pic:blipFill>
                          <a:blip r:embed="rId59" cstate="print"/>
                          <a:srcRect/>
                          <a:stretch>
                            <a:fillRect/>
                          </a:stretch>
                        </pic:blipFill>
                        <pic:spPr bwMode="auto">
                          <a:xfrm>
                            <a:off x="0" y="0"/>
                            <a:ext cx="814301" cy="814301"/>
                          </a:xfrm>
                          <a:prstGeom prst="rect">
                            <a:avLst/>
                          </a:prstGeom>
                          <a:noFill/>
                          <a:ln w="9525">
                            <a:noFill/>
                            <a:miter lim="800000"/>
                            <a:headEnd/>
                            <a:tailEnd/>
                          </a:ln>
                        </pic:spPr>
                      </pic:pic>
                    </a:graphicData>
                  </a:graphic>
                </wp:inline>
              </w:drawing>
            </w:r>
          </w:p>
        </w:tc>
        <w:tc>
          <w:tcPr>
            <w:tcW w:w="0" w:type="auto"/>
            <w:shd w:val="clear" w:color="auto" w:fill="auto"/>
          </w:tcPr>
          <w:p w:rsidR="00826B2C" w:rsidRPr="00857CDA" w:rsidRDefault="00A200A7" w:rsidP="00DE018C">
            <w:pPr>
              <w:spacing w:before="80" w:after="80" w:line="238" w:lineRule="auto"/>
              <w:ind w:right="45"/>
              <w:jc w:val="center"/>
              <w:rPr>
                <w:sz w:val="18"/>
                <w:szCs w:val="18"/>
                <w:lang w:val="ro-RO"/>
              </w:rPr>
            </w:pPr>
            <w:r w:rsidRPr="00857CDA">
              <w:rPr>
                <w:sz w:val="18"/>
                <w:szCs w:val="18"/>
                <w:lang w:val="ro-RO"/>
              </w:rPr>
              <w:t>Text (obligatoriu), negru în jumătatea superioară a etichetei</w:t>
            </w:r>
            <w:r w:rsidR="00091658" w:rsidRPr="00857CDA">
              <w:rPr>
                <w:sz w:val="18"/>
                <w:szCs w:val="18"/>
                <w:lang w:val="ro-RO"/>
              </w:rPr>
              <w:t>:</w:t>
            </w:r>
            <w:r w:rsidR="00826B2C" w:rsidRPr="00857CDA">
              <w:rPr>
                <w:sz w:val="18"/>
                <w:szCs w:val="18"/>
                <w:lang w:val="ro-RO"/>
              </w:rPr>
              <w:t xml:space="preserve"> </w:t>
            </w:r>
            <w:r w:rsidR="00247DBF" w:rsidRPr="00857CDA">
              <w:rPr>
                <w:sz w:val="18"/>
                <w:szCs w:val="18"/>
                <w:lang w:val="ro-RO"/>
              </w:rPr>
              <w:t>„</w:t>
            </w:r>
            <w:r w:rsidR="00826B2C" w:rsidRPr="00857CDA">
              <w:rPr>
                <w:sz w:val="18"/>
                <w:szCs w:val="18"/>
                <w:lang w:val="ro-RO"/>
              </w:rPr>
              <w:t>FISIL</w:t>
            </w:r>
            <w:r w:rsidR="00660131" w:rsidRPr="00857CDA">
              <w:rPr>
                <w:sz w:val="18"/>
                <w:szCs w:val="18"/>
                <w:lang w:val="ro-RO"/>
              </w:rPr>
              <w:t>”</w:t>
            </w:r>
          </w:p>
          <w:p w:rsidR="00826B2C" w:rsidRPr="00857CDA" w:rsidRDefault="00A200A7" w:rsidP="00DE018C">
            <w:pPr>
              <w:spacing w:before="80" w:after="80" w:line="238" w:lineRule="auto"/>
              <w:ind w:right="45"/>
              <w:jc w:val="center"/>
              <w:rPr>
                <w:sz w:val="18"/>
                <w:szCs w:val="18"/>
                <w:lang w:val="ro-RO"/>
              </w:rPr>
            </w:pPr>
            <w:r w:rsidRPr="00857CDA">
              <w:rPr>
                <w:sz w:val="18"/>
                <w:szCs w:val="18"/>
                <w:lang w:val="ro-RO"/>
              </w:rPr>
              <w:t>Într-o căsuță cu bordură neagră, în partea inferioară a etichetei</w:t>
            </w:r>
            <w:r w:rsidR="00091658" w:rsidRPr="00857CDA">
              <w:rPr>
                <w:sz w:val="18"/>
                <w:szCs w:val="18"/>
                <w:lang w:val="ro-RO"/>
              </w:rPr>
              <w:t>:</w:t>
            </w:r>
            <w:r w:rsidR="00826B2C" w:rsidRPr="00857CDA">
              <w:rPr>
                <w:sz w:val="18"/>
                <w:szCs w:val="18"/>
                <w:lang w:val="ro-RO"/>
              </w:rPr>
              <w:t xml:space="preserve"> </w:t>
            </w:r>
            <w:r w:rsidR="00247DBF" w:rsidRPr="00857CDA">
              <w:rPr>
                <w:sz w:val="18"/>
                <w:szCs w:val="18"/>
                <w:lang w:val="ro-RO"/>
              </w:rPr>
              <w:t>„</w:t>
            </w:r>
            <w:r w:rsidR="00276784" w:rsidRPr="00857CDA">
              <w:rPr>
                <w:sz w:val="18"/>
                <w:szCs w:val="18"/>
                <w:lang w:val="ro-RO"/>
              </w:rPr>
              <w:t>INDICE DE SECURITATE LA CRITICITATE</w:t>
            </w:r>
            <w:r w:rsidR="00660131" w:rsidRPr="00857CDA">
              <w:rPr>
                <w:sz w:val="18"/>
                <w:szCs w:val="18"/>
                <w:lang w:val="ro-RO"/>
              </w:rPr>
              <w:t>”</w:t>
            </w:r>
          </w:p>
        </w:tc>
      </w:tr>
      <w:tr w:rsidR="00826B2C" w:rsidRPr="007D305F" w:rsidTr="00E871C8">
        <w:tc>
          <w:tcPr>
            <w:tcW w:w="0" w:type="auto"/>
            <w:gridSpan w:val="7"/>
            <w:shd w:val="clear" w:color="auto" w:fill="auto"/>
          </w:tcPr>
          <w:p w:rsidR="00826B2C" w:rsidRPr="00857CDA" w:rsidRDefault="002B679C" w:rsidP="00C754DF">
            <w:pPr>
              <w:spacing w:before="8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C754DF"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8: </w:t>
            </w:r>
            <w:r w:rsidR="00C754DF" w:rsidRPr="00857CDA">
              <w:rPr>
                <w:b/>
                <w:sz w:val="18"/>
                <w:szCs w:val="18"/>
                <w:lang w:val="ro-RO"/>
              </w:rPr>
              <w:t>Substanțe corosive</w:t>
            </w:r>
          </w:p>
        </w:tc>
      </w:tr>
      <w:tr w:rsidR="00A56E80" w:rsidRPr="00857CDA" w:rsidTr="00E871C8">
        <w:tc>
          <w:tcPr>
            <w:tcW w:w="0" w:type="auto"/>
            <w:shd w:val="clear" w:color="auto" w:fill="auto"/>
          </w:tcPr>
          <w:p w:rsidR="00826B2C" w:rsidRPr="00857CDA" w:rsidRDefault="00826B2C" w:rsidP="00145905">
            <w:pPr>
              <w:spacing w:before="80" w:after="80"/>
              <w:ind w:right="43"/>
              <w:jc w:val="center"/>
              <w:rPr>
                <w:sz w:val="18"/>
                <w:szCs w:val="18"/>
                <w:lang w:val="ro-RO"/>
              </w:rPr>
            </w:pPr>
            <w:r w:rsidRPr="00857CDA">
              <w:rPr>
                <w:sz w:val="18"/>
                <w:szCs w:val="18"/>
                <w:lang w:val="ro-RO"/>
              </w:rPr>
              <w:t>8</w:t>
            </w:r>
          </w:p>
        </w:tc>
        <w:tc>
          <w:tcPr>
            <w:tcW w:w="0" w:type="auto"/>
            <w:shd w:val="clear" w:color="auto" w:fill="auto"/>
          </w:tcPr>
          <w:p w:rsidR="00826B2C" w:rsidRPr="00857CDA" w:rsidRDefault="00826B2C" w:rsidP="00E871C8">
            <w:pPr>
              <w:spacing w:before="80" w:after="80"/>
              <w:ind w:right="43"/>
              <w:jc w:val="center"/>
              <w:rPr>
                <w:sz w:val="18"/>
                <w:szCs w:val="18"/>
                <w:lang w:val="ro-RO"/>
              </w:rPr>
            </w:pPr>
            <w:r w:rsidRPr="00857CDA">
              <w:rPr>
                <w:sz w:val="18"/>
                <w:szCs w:val="18"/>
                <w:lang w:val="ro-RO"/>
              </w:rPr>
              <w:t>-</w:t>
            </w:r>
          </w:p>
        </w:tc>
        <w:tc>
          <w:tcPr>
            <w:tcW w:w="3369" w:type="dxa"/>
            <w:shd w:val="clear" w:color="auto" w:fill="auto"/>
          </w:tcPr>
          <w:p w:rsidR="00826B2C" w:rsidRPr="00857CDA" w:rsidRDefault="00826B2C" w:rsidP="003F2B2B">
            <w:pPr>
              <w:spacing w:before="80" w:after="80"/>
              <w:ind w:right="43"/>
              <w:jc w:val="center"/>
              <w:rPr>
                <w:sz w:val="18"/>
                <w:szCs w:val="18"/>
                <w:lang w:val="ro-RO"/>
              </w:rPr>
            </w:pPr>
            <w:r w:rsidRPr="00857CDA">
              <w:rPr>
                <w:sz w:val="18"/>
                <w:szCs w:val="18"/>
                <w:lang w:val="ro-RO"/>
              </w:rPr>
              <w:t>Li</w:t>
            </w:r>
            <w:r w:rsidR="003F2B2B" w:rsidRPr="00857CDA">
              <w:rPr>
                <w:sz w:val="18"/>
                <w:szCs w:val="18"/>
                <w:lang w:val="ro-RO"/>
              </w:rPr>
              <w:t xml:space="preserve">chide, </w:t>
            </w:r>
            <w:r w:rsidRPr="00857CDA">
              <w:rPr>
                <w:sz w:val="18"/>
                <w:szCs w:val="18"/>
                <w:lang w:val="ro-RO"/>
              </w:rPr>
              <w:t>v</w:t>
            </w:r>
            <w:r w:rsidR="003F2B2B" w:rsidRPr="00857CDA">
              <w:rPr>
                <w:sz w:val="18"/>
                <w:szCs w:val="18"/>
                <w:lang w:val="ro-RO"/>
              </w:rPr>
              <w:t>ă</w:t>
            </w:r>
            <w:r w:rsidRPr="00857CDA">
              <w:rPr>
                <w:sz w:val="18"/>
                <w:szCs w:val="18"/>
                <w:lang w:val="ro-RO"/>
              </w:rPr>
              <w:t>rs</w:t>
            </w:r>
            <w:r w:rsidR="003F2B2B" w:rsidRPr="00857CDA">
              <w:rPr>
                <w:sz w:val="18"/>
                <w:szCs w:val="18"/>
                <w:lang w:val="ro-RO"/>
              </w:rPr>
              <w:t>ate</w:t>
            </w:r>
            <w:r w:rsidRPr="00857CDA">
              <w:rPr>
                <w:sz w:val="18"/>
                <w:szCs w:val="18"/>
                <w:lang w:val="ro-RO"/>
              </w:rPr>
              <w:t xml:space="preserve"> d</w:t>
            </w:r>
            <w:r w:rsidR="003F2B2B" w:rsidRPr="00857CDA">
              <w:rPr>
                <w:sz w:val="18"/>
                <w:szCs w:val="18"/>
                <w:lang w:val="ro-RO"/>
              </w:rPr>
              <w:t>in</w:t>
            </w:r>
            <w:r w:rsidRPr="00857CDA">
              <w:rPr>
                <w:sz w:val="18"/>
                <w:szCs w:val="18"/>
                <w:lang w:val="ro-RO"/>
              </w:rPr>
              <w:t xml:space="preserve"> d</w:t>
            </w:r>
            <w:r w:rsidR="003F2B2B" w:rsidRPr="00857CDA">
              <w:rPr>
                <w:sz w:val="18"/>
                <w:szCs w:val="18"/>
                <w:lang w:val="ro-RO"/>
              </w:rPr>
              <w:t>o</w:t>
            </w:r>
            <w:r w:rsidRPr="00857CDA">
              <w:rPr>
                <w:sz w:val="18"/>
                <w:szCs w:val="18"/>
                <w:lang w:val="ro-RO"/>
              </w:rPr>
              <w:t>u</w:t>
            </w:r>
            <w:r w:rsidR="003F2B2B" w:rsidRPr="00857CDA">
              <w:rPr>
                <w:sz w:val="18"/>
                <w:szCs w:val="18"/>
                <w:lang w:val="ro-RO"/>
              </w:rPr>
              <w:t>ă</w:t>
            </w:r>
            <w:r w:rsidRPr="00857CDA">
              <w:rPr>
                <w:sz w:val="18"/>
                <w:szCs w:val="18"/>
                <w:lang w:val="ro-RO"/>
              </w:rPr>
              <w:t xml:space="preserve"> </w:t>
            </w:r>
            <w:r w:rsidR="003F2B2B" w:rsidRPr="00857CDA">
              <w:rPr>
                <w:sz w:val="18"/>
                <w:szCs w:val="18"/>
                <w:lang w:val="ro-RO"/>
              </w:rPr>
              <w:t>eprubete de sticlă</w:t>
            </w:r>
            <w:r w:rsidR="004C27AD" w:rsidRPr="00857CDA">
              <w:rPr>
                <w:sz w:val="18"/>
                <w:szCs w:val="18"/>
                <w:lang w:val="ro-RO"/>
              </w:rPr>
              <w:t xml:space="preserve"> și </w:t>
            </w:r>
            <w:r w:rsidR="003F2B2B" w:rsidRPr="00857CDA">
              <w:rPr>
                <w:sz w:val="18"/>
                <w:szCs w:val="18"/>
                <w:lang w:val="ro-RO"/>
              </w:rPr>
              <w:t>care atacă o mână și un metal</w:t>
            </w:r>
            <w:r w:rsidRPr="00857CDA">
              <w:rPr>
                <w:sz w:val="18"/>
                <w:szCs w:val="18"/>
                <w:lang w:val="ro-RO"/>
              </w:rPr>
              <w:t xml:space="preserve">: </w:t>
            </w:r>
            <w:r w:rsidR="007F0D67" w:rsidRPr="00857CDA">
              <w:rPr>
                <w:sz w:val="18"/>
                <w:szCs w:val="18"/>
                <w:lang w:val="ro-RO"/>
              </w:rPr>
              <w:t>negru</w:t>
            </w:r>
          </w:p>
        </w:tc>
        <w:tc>
          <w:tcPr>
            <w:tcW w:w="2402" w:type="dxa"/>
            <w:shd w:val="clear" w:color="auto" w:fill="auto"/>
          </w:tcPr>
          <w:p w:rsidR="00826B2C" w:rsidRPr="00857CDA" w:rsidRDefault="00AD44C0" w:rsidP="003F2B2B">
            <w:pPr>
              <w:spacing w:before="80" w:after="80"/>
              <w:ind w:right="43"/>
              <w:jc w:val="center"/>
              <w:rPr>
                <w:sz w:val="18"/>
                <w:szCs w:val="18"/>
                <w:lang w:val="ro-RO" w:eastAsia="ru-RU"/>
              </w:rPr>
            </w:pPr>
            <w:r w:rsidRPr="00857CDA">
              <w:rPr>
                <w:sz w:val="18"/>
                <w:szCs w:val="18"/>
                <w:lang w:val="ro-RO"/>
              </w:rPr>
              <w:t>Alb</w:t>
            </w:r>
            <w:r w:rsidR="00826B2C" w:rsidRPr="00857CDA">
              <w:rPr>
                <w:sz w:val="18"/>
                <w:szCs w:val="18"/>
                <w:lang w:val="ro-RO"/>
              </w:rPr>
              <w:t xml:space="preserve"> (</w:t>
            </w:r>
            <w:r w:rsidR="003F2B2B" w:rsidRPr="00857CDA">
              <w:rPr>
                <w:sz w:val="18"/>
                <w:szCs w:val="18"/>
                <w:lang w:val="ro-RO"/>
              </w:rPr>
              <w:t>jumătatea superioară</w:t>
            </w:r>
            <w:r w:rsidR="00826B2C" w:rsidRPr="00857CDA">
              <w:rPr>
                <w:sz w:val="18"/>
                <w:szCs w:val="18"/>
                <w:lang w:val="ro-RO"/>
              </w:rPr>
              <w:t xml:space="preserve">) </w:t>
            </w:r>
            <w:r w:rsidR="00826B2C" w:rsidRPr="00857CDA">
              <w:rPr>
                <w:sz w:val="18"/>
                <w:szCs w:val="18"/>
                <w:lang w:val="ro-RO"/>
              </w:rPr>
              <w:br/>
            </w:r>
            <w:r w:rsidR="00E02ACF" w:rsidRPr="00857CDA">
              <w:rPr>
                <w:sz w:val="18"/>
                <w:szCs w:val="18"/>
                <w:lang w:val="ro-RO"/>
              </w:rPr>
              <w:t xml:space="preserve">și </w:t>
            </w:r>
            <w:r w:rsidR="007F0D67" w:rsidRPr="00857CDA">
              <w:rPr>
                <w:sz w:val="18"/>
                <w:szCs w:val="18"/>
                <w:lang w:val="ro-RO"/>
              </w:rPr>
              <w:t>negru</w:t>
            </w:r>
            <w:r w:rsidR="00826B2C" w:rsidRPr="00857CDA">
              <w:rPr>
                <w:sz w:val="18"/>
                <w:szCs w:val="18"/>
                <w:lang w:val="ro-RO"/>
              </w:rPr>
              <w:t xml:space="preserve"> </w:t>
            </w:r>
            <w:r w:rsidR="003F2B2B" w:rsidRPr="00857CDA">
              <w:rPr>
                <w:sz w:val="18"/>
                <w:szCs w:val="18"/>
                <w:lang w:val="ro-RO"/>
              </w:rPr>
              <w:t>cu bordură albă</w:t>
            </w:r>
            <w:r w:rsidR="00826B2C" w:rsidRPr="00857CDA">
              <w:rPr>
                <w:sz w:val="18"/>
                <w:szCs w:val="18"/>
                <w:lang w:val="ro-RO"/>
              </w:rPr>
              <w:t xml:space="preserve"> (</w:t>
            </w:r>
            <w:r w:rsidR="003F2B2B" w:rsidRPr="00857CDA">
              <w:rPr>
                <w:sz w:val="18"/>
                <w:szCs w:val="18"/>
                <w:lang w:val="ro-RO"/>
              </w:rPr>
              <w:t>jumătatea inferioară</w:t>
            </w:r>
            <w:r w:rsidR="00826B2C" w:rsidRPr="00857CDA">
              <w:rPr>
                <w:sz w:val="18"/>
                <w:szCs w:val="18"/>
                <w:lang w:val="ro-RO"/>
              </w:rPr>
              <w:t>)</w:t>
            </w:r>
          </w:p>
        </w:tc>
        <w:tc>
          <w:tcPr>
            <w:tcW w:w="0" w:type="auto"/>
            <w:shd w:val="clear" w:color="auto" w:fill="auto"/>
          </w:tcPr>
          <w:p w:rsidR="00826B2C" w:rsidRPr="00857CDA" w:rsidRDefault="00826B2C" w:rsidP="00D75049">
            <w:pPr>
              <w:spacing w:before="80" w:after="80"/>
              <w:ind w:right="43"/>
              <w:jc w:val="center"/>
              <w:rPr>
                <w:sz w:val="18"/>
                <w:szCs w:val="18"/>
                <w:lang w:val="ro-RO"/>
              </w:rPr>
            </w:pPr>
            <w:r w:rsidRPr="00857CDA">
              <w:rPr>
                <w:sz w:val="18"/>
                <w:szCs w:val="18"/>
                <w:lang w:val="ro-RO"/>
              </w:rPr>
              <w:t xml:space="preserve">8 </w:t>
            </w:r>
            <w:r w:rsidRPr="00857CDA">
              <w:rPr>
                <w:sz w:val="18"/>
                <w:szCs w:val="18"/>
                <w:lang w:val="ro-RO"/>
              </w:rPr>
              <w:br/>
              <w:t>(</w:t>
            </w:r>
            <w:r w:rsidR="00AD44C0" w:rsidRPr="00857CDA">
              <w:rPr>
                <w:sz w:val="18"/>
                <w:szCs w:val="18"/>
                <w:lang w:val="ro-RO"/>
              </w:rPr>
              <w:t>alb</w:t>
            </w:r>
            <w:r w:rsidRPr="00857CDA">
              <w:rPr>
                <w:sz w:val="18"/>
                <w:szCs w:val="18"/>
                <w:lang w:val="ro-RO"/>
              </w:rPr>
              <w:t>)</w:t>
            </w:r>
          </w:p>
        </w:tc>
        <w:tc>
          <w:tcPr>
            <w:tcW w:w="0" w:type="auto"/>
            <w:shd w:val="clear" w:color="auto" w:fill="auto"/>
            <w:vAlign w:val="center"/>
          </w:tcPr>
          <w:p w:rsidR="00826B2C" w:rsidRPr="00857CDA" w:rsidRDefault="00826B2C" w:rsidP="00E871C8">
            <w:pPr>
              <w:spacing w:before="8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28675" cy="828675"/>
                  <wp:effectExtent l="0" t="0" r="9525" b="9525"/>
                  <wp:docPr id="60"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826B2C" w:rsidRPr="00857CDA" w:rsidRDefault="00826B2C" w:rsidP="00E871C8">
            <w:pPr>
              <w:spacing w:before="80" w:after="80"/>
              <w:ind w:right="43"/>
              <w:jc w:val="center"/>
              <w:rPr>
                <w:sz w:val="18"/>
                <w:szCs w:val="18"/>
                <w:lang w:val="ro-RO"/>
              </w:rPr>
            </w:pPr>
            <w:r w:rsidRPr="00857CDA">
              <w:rPr>
                <w:sz w:val="18"/>
                <w:szCs w:val="18"/>
                <w:lang w:val="ro-RO"/>
              </w:rPr>
              <w:t>-</w:t>
            </w:r>
          </w:p>
        </w:tc>
      </w:tr>
      <w:tr w:rsidR="00826B2C" w:rsidRPr="007D305F" w:rsidTr="00E871C8">
        <w:tc>
          <w:tcPr>
            <w:tcW w:w="0" w:type="auto"/>
            <w:gridSpan w:val="7"/>
            <w:shd w:val="clear" w:color="auto" w:fill="auto"/>
          </w:tcPr>
          <w:p w:rsidR="00826B2C" w:rsidRPr="00857CDA" w:rsidRDefault="002B679C" w:rsidP="00C754DF">
            <w:pPr>
              <w:spacing w:before="40" w:after="80"/>
              <w:ind w:right="43"/>
              <w:jc w:val="center"/>
              <w:rPr>
                <w:b/>
                <w:sz w:val="18"/>
                <w:szCs w:val="18"/>
                <w:lang w:val="ro-RO"/>
              </w:rPr>
            </w:pPr>
            <w:r w:rsidRPr="00857CDA">
              <w:rPr>
                <w:b/>
                <w:sz w:val="18"/>
                <w:szCs w:val="18"/>
                <w:lang w:val="ro-RO"/>
              </w:rPr>
              <w:t>Pericol</w:t>
            </w:r>
            <w:r w:rsidR="00826B2C" w:rsidRPr="00857CDA">
              <w:rPr>
                <w:b/>
                <w:sz w:val="18"/>
                <w:szCs w:val="18"/>
                <w:lang w:val="ro-RO"/>
              </w:rPr>
              <w:t xml:space="preserve"> d</w:t>
            </w:r>
            <w:r w:rsidR="00C754DF" w:rsidRPr="00857CDA">
              <w:rPr>
                <w:b/>
                <w:sz w:val="18"/>
                <w:szCs w:val="18"/>
                <w:lang w:val="ro-RO"/>
              </w:rPr>
              <w:t>in</w:t>
            </w:r>
            <w:r w:rsidR="00826B2C" w:rsidRPr="00857CDA">
              <w:rPr>
                <w:b/>
                <w:sz w:val="18"/>
                <w:szCs w:val="18"/>
                <w:lang w:val="ro-RO"/>
              </w:rPr>
              <w:t xml:space="preserve"> </w:t>
            </w:r>
            <w:r w:rsidRPr="00857CDA">
              <w:rPr>
                <w:b/>
                <w:sz w:val="18"/>
                <w:szCs w:val="18"/>
                <w:lang w:val="ro-RO"/>
              </w:rPr>
              <w:t>clasa</w:t>
            </w:r>
            <w:r w:rsidR="00826B2C" w:rsidRPr="00857CDA">
              <w:rPr>
                <w:b/>
                <w:sz w:val="18"/>
                <w:szCs w:val="18"/>
                <w:lang w:val="ro-RO"/>
              </w:rPr>
              <w:t xml:space="preserve"> 9: </w:t>
            </w:r>
            <w:r w:rsidR="00C754DF" w:rsidRPr="00857CDA">
              <w:rPr>
                <w:b/>
                <w:sz w:val="18"/>
                <w:szCs w:val="18"/>
                <w:lang w:val="ro-RO"/>
              </w:rPr>
              <w:t>Substanțe și obiecte periculoase diverse</w:t>
            </w:r>
          </w:p>
        </w:tc>
      </w:tr>
      <w:tr w:rsidR="00A56E80" w:rsidRPr="00857CDA" w:rsidTr="00E871C8">
        <w:tc>
          <w:tcPr>
            <w:tcW w:w="0" w:type="auto"/>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9</w:t>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c>
          <w:tcPr>
            <w:tcW w:w="3369" w:type="dxa"/>
            <w:shd w:val="clear" w:color="auto" w:fill="auto"/>
          </w:tcPr>
          <w:p w:rsidR="00826B2C" w:rsidRPr="00857CDA" w:rsidRDefault="003F2B2B" w:rsidP="003F2B2B">
            <w:pPr>
              <w:spacing w:before="40" w:after="80"/>
              <w:ind w:right="43"/>
              <w:jc w:val="center"/>
              <w:rPr>
                <w:sz w:val="18"/>
                <w:szCs w:val="18"/>
                <w:lang w:val="ro-RO"/>
              </w:rPr>
            </w:pPr>
            <w:r w:rsidRPr="00857CDA">
              <w:rPr>
                <w:lang w:val="ro-RO"/>
              </w:rPr>
              <w:t>7 benzi verticale în jumătatea</w:t>
            </w:r>
            <w:r w:rsidRPr="00857CDA">
              <w:rPr>
                <w:sz w:val="18"/>
                <w:szCs w:val="18"/>
                <w:lang w:val="ro-RO"/>
              </w:rPr>
              <w:t xml:space="preserve"> </w:t>
            </w:r>
            <w:r w:rsidR="00826B2C" w:rsidRPr="00857CDA">
              <w:rPr>
                <w:sz w:val="18"/>
                <w:szCs w:val="18"/>
                <w:lang w:val="ro-RO"/>
              </w:rPr>
              <w:t>sup</w:t>
            </w:r>
            <w:r w:rsidRPr="00857CDA">
              <w:rPr>
                <w:sz w:val="18"/>
                <w:szCs w:val="18"/>
                <w:lang w:val="ro-RO"/>
              </w:rPr>
              <w:t>e</w:t>
            </w:r>
            <w:r w:rsidR="00826B2C" w:rsidRPr="00857CDA">
              <w:rPr>
                <w:sz w:val="18"/>
                <w:szCs w:val="18"/>
                <w:lang w:val="ro-RO"/>
              </w:rPr>
              <w:t>ri</w:t>
            </w:r>
            <w:r w:rsidRPr="00857CDA">
              <w:rPr>
                <w:sz w:val="18"/>
                <w:szCs w:val="18"/>
                <w:lang w:val="ro-RO"/>
              </w:rPr>
              <w:t>oa</w:t>
            </w:r>
            <w:r w:rsidR="00826B2C" w:rsidRPr="00857CDA">
              <w:rPr>
                <w:sz w:val="18"/>
                <w:szCs w:val="18"/>
                <w:lang w:val="ro-RO"/>
              </w:rPr>
              <w:t>r</w:t>
            </w:r>
            <w:r w:rsidRPr="00857CDA">
              <w:rPr>
                <w:sz w:val="18"/>
                <w:szCs w:val="18"/>
                <w:lang w:val="ro-RO"/>
              </w:rPr>
              <w:t>ă</w:t>
            </w:r>
            <w:r w:rsidR="00826B2C" w:rsidRPr="00857CDA">
              <w:rPr>
                <w:sz w:val="18"/>
                <w:szCs w:val="18"/>
                <w:lang w:val="ro-RO"/>
              </w:rPr>
              <w:t xml:space="preserve">: </w:t>
            </w:r>
            <w:r w:rsidR="007F0D67" w:rsidRPr="00857CDA">
              <w:rPr>
                <w:sz w:val="18"/>
                <w:szCs w:val="18"/>
                <w:lang w:val="ro-RO"/>
              </w:rPr>
              <w:t>negru</w:t>
            </w:r>
          </w:p>
        </w:tc>
        <w:tc>
          <w:tcPr>
            <w:tcW w:w="2402" w:type="dxa"/>
            <w:shd w:val="clear" w:color="auto" w:fill="auto"/>
          </w:tcPr>
          <w:p w:rsidR="00826B2C" w:rsidRPr="00857CDA" w:rsidRDefault="00AD44C0" w:rsidP="00E871C8">
            <w:pPr>
              <w:spacing w:before="40" w:after="80"/>
              <w:ind w:right="43"/>
              <w:jc w:val="center"/>
              <w:rPr>
                <w:sz w:val="18"/>
                <w:szCs w:val="18"/>
                <w:lang w:val="ro-RO"/>
              </w:rPr>
            </w:pPr>
            <w:r w:rsidRPr="00857CDA">
              <w:rPr>
                <w:sz w:val="18"/>
                <w:szCs w:val="18"/>
                <w:lang w:val="ro-RO"/>
              </w:rPr>
              <w:t>Alb</w:t>
            </w:r>
          </w:p>
        </w:tc>
        <w:tc>
          <w:tcPr>
            <w:tcW w:w="0" w:type="auto"/>
            <w:shd w:val="clear" w:color="auto" w:fill="auto"/>
          </w:tcPr>
          <w:p w:rsidR="00826B2C" w:rsidRPr="00857CDA" w:rsidRDefault="00826B2C" w:rsidP="00D75049">
            <w:pPr>
              <w:spacing w:before="40" w:after="80"/>
              <w:ind w:right="43"/>
              <w:jc w:val="center"/>
              <w:rPr>
                <w:sz w:val="18"/>
                <w:szCs w:val="18"/>
                <w:lang w:val="ro-RO"/>
              </w:rPr>
            </w:pPr>
            <w:r w:rsidRPr="00857CDA">
              <w:rPr>
                <w:sz w:val="18"/>
                <w:szCs w:val="18"/>
                <w:lang w:val="ro-RO"/>
              </w:rPr>
              <w:t xml:space="preserve">9 </w:t>
            </w:r>
            <w:r w:rsidR="00AD44C0" w:rsidRPr="00857CDA">
              <w:rPr>
                <w:sz w:val="18"/>
                <w:szCs w:val="18"/>
                <w:lang w:val="ro-RO"/>
              </w:rPr>
              <w:t>subliniată</w:t>
            </w:r>
            <w:r w:rsidRPr="00857CDA">
              <w:rPr>
                <w:sz w:val="18"/>
                <w:szCs w:val="18"/>
                <w:lang w:val="ro-RO"/>
              </w:rPr>
              <w:t xml:space="preserve"> </w:t>
            </w:r>
            <w:r w:rsidRPr="00857CDA">
              <w:rPr>
                <w:sz w:val="18"/>
                <w:szCs w:val="18"/>
                <w:lang w:val="ro-RO"/>
              </w:rPr>
              <w:br/>
              <w:t>(</w:t>
            </w:r>
            <w:r w:rsidR="007F0D67" w:rsidRPr="00857CDA">
              <w:rPr>
                <w:sz w:val="18"/>
                <w:szCs w:val="18"/>
                <w:lang w:val="ro-RO"/>
              </w:rPr>
              <w:t>negr</w:t>
            </w:r>
            <w:r w:rsidR="00D75049" w:rsidRPr="00857CDA">
              <w:rPr>
                <w:sz w:val="18"/>
                <w:szCs w:val="18"/>
                <w:lang w:val="ro-RO"/>
              </w:rPr>
              <w:t>u</w:t>
            </w:r>
            <w:r w:rsidRPr="00857CDA">
              <w:rPr>
                <w:sz w:val="18"/>
                <w:szCs w:val="18"/>
                <w:lang w:val="ro-RO"/>
              </w:rPr>
              <w:t>)</w:t>
            </w:r>
          </w:p>
        </w:tc>
        <w:tc>
          <w:tcPr>
            <w:tcW w:w="0" w:type="auto"/>
            <w:shd w:val="clear" w:color="auto" w:fill="auto"/>
            <w:vAlign w:val="center"/>
          </w:tcPr>
          <w:p w:rsidR="00826B2C" w:rsidRPr="00857CDA" w:rsidRDefault="00826B2C" w:rsidP="00E871C8">
            <w:pPr>
              <w:spacing w:before="40" w:after="80" w:line="240" w:lineRule="auto"/>
              <w:ind w:right="43"/>
              <w:jc w:val="center"/>
              <w:rPr>
                <w:sz w:val="18"/>
                <w:szCs w:val="18"/>
                <w:lang w:val="ro-RO" w:eastAsia="ru-RU"/>
              </w:rPr>
            </w:pPr>
            <w:r w:rsidRPr="00857CDA">
              <w:rPr>
                <w:rFonts w:eastAsia="SimSun"/>
                <w:noProof/>
                <w:lang w:val="ro-RO" w:eastAsia="ro-RO"/>
              </w:rPr>
              <w:drawing>
                <wp:inline distT="0" distB="0" distL="0" distR="0">
                  <wp:extent cx="828675" cy="833755"/>
                  <wp:effectExtent l="0" t="0" r="9525" b="4445"/>
                  <wp:docPr id="61"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r>
      <w:tr w:rsidR="00A56E80" w:rsidRPr="00857CDA" w:rsidTr="00E871C8">
        <w:tc>
          <w:tcPr>
            <w:tcW w:w="0" w:type="auto"/>
            <w:tcBorders>
              <w:top w:val="single" w:sz="4" w:space="0" w:color="auto"/>
              <w:left w:val="single" w:sz="4" w:space="0" w:color="auto"/>
              <w:bottom w:val="single" w:sz="4" w:space="0" w:color="auto"/>
              <w:right w:val="single" w:sz="4" w:space="0" w:color="auto"/>
            </w:tcBorders>
            <w:shd w:val="clear" w:color="auto" w:fill="auto"/>
          </w:tcPr>
          <w:p w:rsidR="00826B2C" w:rsidRPr="00857CDA" w:rsidRDefault="00826B2C" w:rsidP="00145905">
            <w:pPr>
              <w:spacing w:before="40" w:after="80"/>
              <w:ind w:right="43"/>
              <w:jc w:val="center"/>
              <w:rPr>
                <w:sz w:val="18"/>
                <w:szCs w:val="18"/>
                <w:lang w:val="ro-RO"/>
              </w:rPr>
            </w:pPr>
            <w:r w:rsidRPr="00857CDA">
              <w:rPr>
                <w:sz w:val="18"/>
                <w:szCs w:val="18"/>
                <w:lang w:val="ro-RO"/>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B2C" w:rsidRPr="00857CDA" w:rsidRDefault="00826B2C" w:rsidP="00E871C8">
            <w:pPr>
              <w:spacing w:before="40" w:after="80"/>
              <w:ind w:right="43"/>
              <w:jc w:val="center"/>
              <w:rPr>
                <w:sz w:val="18"/>
                <w:szCs w:val="18"/>
                <w:lang w:val="ro-RO" w:eastAsia="ru-RU"/>
              </w:rPr>
            </w:pPr>
            <w:r w:rsidRPr="00857CDA">
              <w:rPr>
                <w:sz w:val="18"/>
                <w:szCs w:val="18"/>
                <w:lang w:val="ro-RO"/>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826B2C" w:rsidRPr="00857CDA" w:rsidRDefault="003F2B2B" w:rsidP="003F2B2B">
            <w:pPr>
              <w:spacing w:before="40" w:after="80"/>
              <w:ind w:right="43"/>
              <w:jc w:val="center"/>
              <w:rPr>
                <w:sz w:val="18"/>
                <w:szCs w:val="18"/>
                <w:lang w:val="ro-RO"/>
              </w:rPr>
            </w:pPr>
            <w:r w:rsidRPr="00857CDA">
              <w:rPr>
                <w:lang w:val="ro-RO"/>
              </w:rPr>
              <w:t>7 benzi verticale în jumătatea</w:t>
            </w:r>
            <w:r w:rsidRPr="00857CDA">
              <w:rPr>
                <w:sz w:val="18"/>
                <w:szCs w:val="18"/>
                <w:lang w:val="ro-RO"/>
              </w:rPr>
              <w:t xml:space="preserve"> superioară</w:t>
            </w:r>
            <w:r w:rsidR="00826B2C" w:rsidRPr="00857CDA">
              <w:rPr>
                <w:sz w:val="18"/>
                <w:szCs w:val="18"/>
                <w:lang w:val="ro-RO"/>
              </w:rPr>
              <w:t xml:space="preserve">: </w:t>
            </w:r>
            <w:r w:rsidR="007F0D67" w:rsidRPr="00857CDA">
              <w:rPr>
                <w:sz w:val="18"/>
                <w:szCs w:val="18"/>
                <w:lang w:val="ro-RO"/>
              </w:rPr>
              <w:t>negru</w:t>
            </w:r>
            <w:r w:rsidR="00826B2C" w:rsidRPr="00857CDA">
              <w:rPr>
                <w:sz w:val="18"/>
                <w:szCs w:val="18"/>
                <w:lang w:val="ro-RO"/>
              </w:rPr>
              <w:t xml:space="preserve">; </w:t>
            </w:r>
            <w:r w:rsidR="00826B2C" w:rsidRPr="00857CDA">
              <w:rPr>
                <w:sz w:val="18"/>
                <w:szCs w:val="18"/>
                <w:lang w:val="ro-RO"/>
              </w:rPr>
              <w:br/>
            </w:r>
            <w:r w:rsidRPr="00857CDA">
              <w:rPr>
                <w:sz w:val="18"/>
                <w:szCs w:val="18"/>
                <w:lang w:val="ro-RO"/>
              </w:rPr>
              <w:t xml:space="preserve">În jumătatea inferioară </w:t>
            </w:r>
            <w:r w:rsidR="00826B2C" w:rsidRPr="00857CDA">
              <w:rPr>
                <w:sz w:val="18"/>
                <w:szCs w:val="18"/>
                <w:lang w:val="ro-RO"/>
              </w:rPr>
              <w:t xml:space="preserve">un </w:t>
            </w:r>
            <w:r w:rsidRPr="00857CDA">
              <w:rPr>
                <w:sz w:val="18"/>
                <w:szCs w:val="18"/>
                <w:lang w:val="ro-RO"/>
              </w:rPr>
              <w:t xml:space="preserve">grup de </w:t>
            </w:r>
            <w:r w:rsidR="00826B2C" w:rsidRPr="00857CDA">
              <w:rPr>
                <w:sz w:val="18"/>
                <w:szCs w:val="18"/>
                <w:lang w:val="ro-RO"/>
              </w:rPr>
              <w:t>pile</w:t>
            </w:r>
            <w:r w:rsidR="004C27AD" w:rsidRPr="00857CDA">
              <w:rPr>
                <w:sz w:val="18"/>
                <w:szCs w:val="18"/>
                <w:lang w:val="ro-RO"/>
              </w:rPr>
              <w:t xml:space="preserve"> și </w:t>
            </w:r>
            <w:r w:rsidR="00826B2C" w:rsidRPr="00857CDA">
              <w:rPr>
                <w:sz w:val="18"/>
                <w:szCs w:val="18"/>
                <w:lang w:val="ro-RO"/>
              </w:rPr>
              <w:t>bateri</w:t>
            </w:r>
            <w:r w:rsidRPr="00857CDA">
              <w:rPr>
                <w:sz w:val="18"/>
                <w:szCs w:val="18"/>
                <w:lang w:val="ro-RO"/>
              </w:rPr>
              <w:t>i, din care una deteriorată</w:t>
            </w:r>
            <w:r w:rsidR="00826B2C" w:rsidRPr="00857CDA">
              <w:rPr>
                <w:sz w:val="18"/>
                <w:szCs w:val="18"/>
                <w:lang w:val="ro-RO"/>
              </w:rPr>
              <w:t xml:space="preserve">, </w:t>
            </w:r>
            <w:r w:rsidRPr="00857CDA">
              <w:rPr>
                <w:sz w:val="18"/>
                <w:szCs w:val="18"/>
                <w:lang w:val="ro-RO"/>
              </w:rPr>
              <w:t>cu o flacără</w:t>
            </w:r>
            <w:r w:rsidR="00826B2C" w:rsidRPr="00857CDA">
              <w:rPr>
                <w:sz w:val="18"/>
                <w:szCs w:val="18"/>
                <w:lang w:val="ro-RO"/>
              </w:rPr>
              <w:t xml:space="preserve">: </w:t>
            </w:r>
            <w:r w:rsidR="007F0D67" w:rsidRPr="00857CDA">
              <w:rPr>
                <w:sz w:val="18"/>
                <w:szCs w:val="18"/>
                <w:lang w:val="ro-RO"/>
              </w:rPr>
              <w:t>negru</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826B2C" w:rsidRPr="00857CDA" w:rsidRDefault="00AD44C0" w:rsidP="00E871C8">
            <w:pPr>
              <w:spacing w:before="40" w:after="80"/>
              <w:ind w:right="43"/>
              <w:jc w:val="center"/>
              <w:rPr>
                <w:sz w:val="18"/>
                <w:szCs w:val="18"/>
                <w:lang w:val="ro-RO"/>
              </w:rPr>
            </w:pPr>
            <w:r w:rsidRPr="00857CDA">
              <w:rPr>
                <w:sz w:val="18"/>
                <w:szCs w:val="18"/>
                <w:lang w:val="ro-RO"/>
              </w:rPr>
              <w:t>Alb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B2C" w:rsidRPr="00857CDA" w:rsidRDefault="00AD44C0" w:rsidP="00D75049">
            <w:pPr>
              <w:spacing w:before="40" w:after="80"/>
              <w:ind w:right="43"/>
              <w:jc w:val="center"/>
              <w:rPr>
                <w:sz w:val="18"/>
                <w:szCs w:val="18"/>
                <w:lang w:val="ro-RO"/>
              </w:rPr>
            </w:pPr>
            <w:r w:rsidRPr="00857CDA">
              <w:rPr>
                <w:sz w:val="18"/>
                <w:szCs w:val="18"/>
                <w:lang w:val="ro-RO"/>
              </w:rPr>
              <w:t>9 s</w:t>
            </w:r>
            <w:r w:rsidR="00826B2C" w:rsidRPr="00857CDA">
              <w:rPr>
                <w:sz w:val="18"/>
                <w:szCs w:val="18"/>
                <w:lang w:val="ro-RO"/>
              </w:rPr>
              <w:t>u</w:t>
            </w:r>
            <w:r w:rsidRPr="00857CDA">
              <w:rPr>
                <w:sz w:val="18"/>
                <w:szCs w:val="18"/>
                <w:lang w:val="ro-RO"/>
              </w:rPr>
              <w:t>b</w:t>
            </w:r>
            <w:r w:rsidR="00826B2C" w:rsidRPr="00857CDA">
              <w:rPr>
                <w:sz w:val="18"/>
                <w:szCs w:val="18"/>
                <w:lang w:val="ro-RO"/>
              </w:rPr>
              <w:t>lin</w:t>
            </w:r>
            <w:r w:rsidRPr="00857CDA">
              <w:rPr>
                <w:sz w:val="18"/>
                <w:szCs w:val="18"/>
                <w:lang w:val="ro-RO"/>
              </w:rPr>
              <w:t>iată</w:t>
            </w:r>
            <w:r w:rsidR="00826B2C" w:rsidRPr="00857CDA">
              <w:rPr>
                <w:sz w:val="18"/>
                <w:szCs w:val="18"/>
                <w:lang w:val="ro-RO"/>
              </w:rPr>
              <w:t xml:space="preserve"> </w:t>
            </w:r>
            <w:r w:rsidR="00826B2C" w:rsidRPr="00857CDA">
              <w:rPr>
                <w:sz w:val="18"/>
                <w:szCs w:val="18"/>
                <w:lang w:val="ro-RO"/>
              </w:rPr>
              <w:br/>
              <w:t>(</w:t>
            </w:r>
            <w:r w:rsidR="007F0D67" w:rsidRPr="00857CDA">
              <w:rPr>
                <w:sz w:val="18"/>
                <w:szCs w:val="18"/>
                <w:lang w:val="ro-RO"/>
              </w:rPr>
              <w:t>negr</w:t>
            </w:r>
            <w:r w:rsidR="00D75049" w:rsidRPr="00857CDA">
              <w:rPr>
                <w:sz w:val="18"/>
                <w:szCs w:val="18"/>
                <w:lang w:val="ro-RO"/>
              </w:rPr>
              <w:t>u</w:t>
            </w:r>
            <w:r w:rsidR="00826B2C" w:rsidRPr="00857CDA">
              <w:rPr>
                <w:sz w:val="18"/>
                <w:szCs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6B2C" w:rsidRPr="00857CDA" w:rsidRDefault="00826B2C" w:rsidP="00E871C8">
            <w:pPr>
              <w:spacing w:before="40" w:after="80" w:line="240" w:lineRule="auto"/>
              <w:ind w:right="43"/>
              <w:jc w:val="center"/>
              <w:rPr>
                <w:sz w:val="18"/>
                <w:szCs w:val="18"/>
                <w:lang w:val="ro-RO" w:eastAsia="en-GB"/>
              </w:rPr>
            </w:pPr>
            <w:r w:rsidRPr="00857CDA">
              <w:rPr>
                <w:rFonts w:eastAsia="SimSun"/>
                <w:noProof/>
                <w:lang w:val="ro-RO" w:eastAsia="ro-RO"/>
              </w:rPr>
              <w:drawing>
                <wp:inline distT="0" distB="0" distL="0" distR="0">
                  <wp:extent cx="828675" cy="828675"/>
                  <wp:effectExtent l="0" t="0" r="9525" b="9525"/>
                  <wp:docPr id="6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6B2C" w:rsidRPr="00857CDA" w:rsidRDefault="00826B2C" w:rsidP="00E871C8">
            <w:pPr>
              <w:spacing w:before="40" w:after="80"/>
              <w:ind w:right="43"/>
              <w:jc w:val="center"/>
              <w:rPr>
                <w:sz w:val="18"/>
                <w:szCs w:val="18"/>
                <w:lang w:val="ro-RO"/>
              </w:rPr>
            </w:pPr>
            <w:r w:rsidRPr="00857CDA">
              <w:rPr>
                <w:sz w:val="18"/>
                <w:szCs w:val="18"/>
                <w:lang w:val="ro-RO"/>
              </w:rPr>
              <w:t>-</w:t>
            </w:r>
          </w:p>
        </w:tc>
      </w:tr>
    </w:tbl>
    <w:p w:rsidR="00826B2C" w:rsidRPr="00857CDA" w:rsidRDefault="00660131">
      <w:pPr>
        <w:rPr>
          <w:lang w:val="ro-RO"/>
        </w:rPr>
      </w:pPr>
      <w:r w:rsidRPr="00857CDA">
        <w:rPr>
          <w:iCs/>
          <w:lang w:val="ro-RO"/>
        </w:rPr>
        <w:t>“</w:t>
      </w:r>
      <w:r w:rsidR="00826B2C" w:rsidRPr="00857CDA">
        <w:rPr>
          <w:iCs/>
          <w:lang w:val="ro-RO"/>
        </w:rPr>
        <w:t>.</w:t>
      </w:r>
    </w:p>
    <w:p w:rsidR="00D53F01" w:rsidRPr="00857CDA" w:rsidRDefault="00D53F01" w:rsidP="00D53F01">
      <w:pPr>
        <w:pStyle w:val="SingleTxtG"/>
        <w:rPr>
          <w:i/>
          <w:lang w:val="ro-RO"/>
        </w:rPr>
      </w:pPr>
    </w:p>
    <w:p w:rsidR="00196C06" w:rsidRPr="00857CDA" w:rsidRDefault="00196C06" w:rsidP="00196C06">
      <w:pPr>
        <w:rPr>
          <w:lang w:val="ro-RO"/>
        </w:rPr>
        <w:sectPr w:rsidR="00196C06" w:rsidRPr="00857CDA" w:rsidSect="006201FD">
          <w:headerReference w:type="even" r:id="rId63"/>
          <w:headerReference w:type="default" r:id="rId64"/>
          <w:footerReference w:type="even" r:id="rId65"/>
          <w:footerReference w:type="default" r:id="rId66"/>
          <w:headerReference w:type="first" r:id="rId67"/>
          <w:endnotePr>
            <w:numFmt w:val="decimal"/>
          </w:endnotePr>
          <w:pgSz w:w="16840" w:h="11907" w:orient="landscape" w:code="9"/>
          <w:pgMar w:top="1134" w:right="1701" w:bottom="1134" w:left="2268" w:header="567" w:footer="567" w:gutter="0"/>
          <w:cols w:space="720"/>
          <w:docGrid w:linePitch="272"/>
        </w:sectPr>
      </w:pPr>
    </w:p>
    <w:p w:rsidR="00196C06" w:rsidRPr="00857CDA" w:rsidRDefault="00196C06" w:rsidP="00196C06">
      <w:pPr>
        <w:pStyle w:val="H1G"/>
        <w:spacing w:before="0"/>
        <w:rPr>
          <w:lang w:val="ro-RO"/>
        </w:rPr>
      </w:pPr>
      <w:r w:rsidRPr="00857CDA">
        <w:rPr>
          <w:lang w:val="ro-RO"/>
        </w:rPr>
        <w:lastRenderedPageBreak/>
        <w:tab/>
      </w:r>
      <w:r w:rsidRPr="00857CDA">
        <w:rPr>
          <w:lang w:val="ro-RO"/>
        </w:rPr>
        <w:tab/>
      </w:r>
      <w:r w:rsidR="00902C44" w:rsidRPr="00857CDA">
        <w:rPr>
          <w:lang w:val="ro-RO"/>
        </w:rPr>
        <w:t>Capitolul</w:t>
      </w:r>
      <w:r w:rsidRPr="00857CDA">
        <w:rPr>
          <w:lang w:val="ro-RO"/>
        </w:rPr>
        <w:t xml:space="preserve"> 5.3</w:t>
      </w:r>
    </w:p>
    <w:p w:rsidR="005860E1" w:rsidRPr="00857CDA" w:rsidRDefault="00902C44" w:rsidP="005860E1">
      <w:pPr>
        <w:pStyle w:val="SingleTxtG"/>
        <w:rPr>
          <w:iCs/>
          <w:lang w:val="ro-RO"/>
        </w:rPr>
      </w:pPr>
      <w:r w:rsidRPr="00857CDA">
        <w:rPr>
          <w:iCs/>
          <w:lang w:val="ro-RO"/>
        </w:rPr>
        <w:t xml:space="preserve">În </w:t>
      </w:r>
      <w:r w:rsidR="005860E1" w:rsidRPr="00857CDA">
        <w:rPr>
          <w:iCs/>
          <w:lang w:val="ro-RO"/>
        </w:rPr>
        <w:t>tit</w:t>
      </w:r>
      <w:r w:rsidR="008B450F" w:rsidRPr="00857CDA">
        <w:rPr>
          <w:iCs/>
          <w:lang w:val="ro-RO"/>
        </w:rPr>
        <w:t>lul</w:t>
      </w:r>
      <w:r w:rsidR="005860E1" w:rsidRPr="00857CDA">
        <w:rPr>
          <w:iCs/>
          <w:lang w:val="ro-RO"/>
        </w:rPr>
        <w:t xml:space="preserve"> </w:t>
      </w:r>
      <w:r w:rsidRPr="00857CDA">
        <w:rPr>
          <w:iCs/>
          <w:lang w:val="ro-RO"/>
        </w:rPr>
        <w:t>Capitolul</w:t>
      </w:r>
      <w:r w:rsidR="008B450F" w:rsidRPr="00857CDA">
        <w:rPr>
          <w:iCs/>
          <w:lang w:val="ro-RO"/>
        </w:rPr>
        <w:t>ui</w:t>
      </w:r>
      <w:r w:rsidR="005860E1" w:rsidRPr="00857CDA">
        <w:rPr>
          <w:iCs/>
          <w:lang w:val="ro-RO"/>
        </w:rPr>
        <w:t xml:space="preserve"> 5.3, </w:t>
      </w:r>
      <w:r w:rsidR="00991390" w:rsidRPr="00857CDA">
        <w:rPr>
          <w:iCs/>
          <w:lang w:val="ro-RO"/>
        </w:rPr>
        <w:t>după</w:t>
      </w:r>
      <w:r w:rsidR="005860E1" w:rsidRPr="00857CDA">
        <w:rPr>
          <w:iCs/>
          <w:lang w:val="ro-RO"/>
        </w:rPr>
        <w:t xml:space="preserve"> </w:t>
      </w:r>
      <w:r w:rsidR="00920FAB" w:rsidRPr="00857CDA">
        <w:rPr>
          <w:lang w:val="ro-RO"/>
        </w:rPr>
        <w:t>„</w:t>
      </w:r>
      <w:r w:rsidR="005860E1" w:rsidRPr="00857CDA">
        <w:rPr>
          <w:iCs/>
          <w:lang w:val="ro-RO"/>
        </w:rPr>
        <w:t>CONT</w:t>
      </w:r>
      <w:r w:rsidR="008B450F" w:rsidRPr="00857CDA">
        <w:rPr>
          <w:iCs/>
          <w:lang w:val="ro-RO"/>
        </w:rPr>
        <w:t>AINERELOR</w:t>
      </w:r>
      <w:r w:rsidR="005860E1" w:rsidRPr="00857CDA">
        <w:rPr>
          <w:iCs/>
          <w:lang w:val="ro-RO"/>
        </w:rPr>
        <w:t>,</w:t>
      </w:r>
      <w:r w:rsidR="00660131" w:rsidRPr="00857CDA">
        <w:rPr>
          <w:iCs/>
          <w:lang w:val="ro-RO"/>
        </w:rPr>
        <w:t>”</w:t>
      </w:r>
      <w:r w:rsidR="005860E1" w:rsidRPr="00857CDA">
        <w:rPr>
          <w:iCs/>
          <w:lang w:val="ro-RO"/>
        </w:rPr>
        <w:t xml:space="preserve"> </w:t>
      </w:r>
      <w:r w:rsidRPr="00857CDA">
        <w:rPr>
          <w:iCs/>
          <w:lang w:val="ro-RO"/>
        </w:rPr>
        <w:t>se adaugă</w:t>
      </w:r>
      <w:r w:rsidR="005860E1" w:rsidRPr="00857CDA">
        <w:rPr>
          <w:iCs/>
          <w:lang w:val="ro-RO"/>
        </w:rPr>
        <w:t xml:space="preserve"> </w:t>
      </w:r>
      <w:r w:rsidR="00920FAB" w:rsidRPr="00857CDA">
        <w:rPr>
          <w:lang w:val="ro-RO"/>
        </w:rPr>
        <w:t>„</w:t>
      </w:r>
      <w:r w:rsidR="005860E1" w:rsidRPr="00857CDA">
        <w:rPr>
          <w:iCs/>
          <w:lang w:val="ro-RO"/>
        </w:rPr>
        <w:t>CONT</w:t>
      </w:r>
      <w:r w:rsidR="008B450F" w:rsidRPr="00857CDA">
        <w:rPr>
          <w:iCs/>
          <w:lang w:val="ro-RO"/>
        </w:rPr>
        <w:t>AINERELOR PENTRU VRAC</w:t>
      </w:r>
      <w:r w:rsidR="005860E1" w:rsidRPr="00857CDA">
        <w:rPr>
          <w:iCs/>
          <w:lang w:val="ro-RO"/>
        </w:rPr>
        <w:t>,</w:t>
      </w:r>
      <w:r w:rsidR="00660131" w:rsidRPr="00857CDA">
        <w:rPr>
          <w:iCs/>
          <w:lang w:val="ro-RO"/>
        </w:rPr>
        <w:t>”</w:t>
      </w:r>
      <w:r w:rsidR="005860E1" w:rsidRPr="00857CDA">
        <w:rPr>
          <w:iCs/>
          <w:lang w:val="ro-RO"/>
        </w:rPr>
        <w:t>.</w:t>
      </w:r>
    </w:p>
    <w:p w:rsidR="005860E1" w:rsidRPr="00857CDA" w:rsidRDefault="005860E1" w:rsidP="005860E1">
      <w:pPr>
        <w:pStyle w:val="SingleTxtG"/>
        <w:rPr>
          <w:iCs/>
          <w:lang w:val="ro-RO"/>
        </w:rPr>
      </w:pPr>
      <w:r w:rsidRPr="00857CDA">
        <w:rPr>
          <w:iCs/>
          <w:lang w:val="ro-RO"/>
        </w:rPr>
        <w:t>5.3</w:t>
      </w:r>
      <w:r w:rsidRPr="00857CDA">
        <w:rPr>
          <w:iCs/>
          <w:lang w:val="ro-RO"/>
        </w:rPr>
        <w:tab/>
      </w:r>
      <w:r w:rsidR="00991390" w:rsidRPr="00857CDA">
        <w:rPr>
          <w:iCs/>
          <w:lang w:val="ro-RO"/>
        </w:rPr>
        <w:t>După</w:t>
      </w:r>
      <w:r w:rsidRPr="00857CDA">
        <w:rPr>
          <w:iCs/>
          <w:lang w:val="ro-RO"/>
        </w:rPr>
        <w:t xml:space="preserve"> tit</w:t>
      </w:r>
      <w:r w:rsidR="008B450F" w:rsidRPr="00857CDA">
        <w:rPr>
          <w:iCs/>
          <w:lang w:val="ro-RO"/>
        </w:rPr>
        <w:t>lu</w:t>
      </w:r>
      <w:r w:rsidRPr="00857CDA">
        <w:rPr>
          <w:iCs/>
          <w:lang w:val="ro-RO"/>
        </w:rPr>
        <w:t xml:space="preserve">, </w:t>
      </w:r>
      <w:r w:rsidR="00920FAB" w:rsidRPr="00857CDA">
        <w:rPr>
          <w:iCs/>
          <w:lang w:val="ro-RO"/>
        </w:rPr>
        <w:t xml:space="preserve">se </w:t>
      </w:r>
      <w:r w:rsidRPr="00857CDA">
        <w:rPr>
          <w:iCs/>
          <w:lang w:val="ro-RO"/>
        </w:rPr>
        <w:t>renum</w:t>
      </w:r>
      <w:r w:rsidR="008B450F" w:rsidRPr="00857CDA">
        <w:rPr>
          <w:iCs/>
          <w:lang w:val="ro-RO"/>
        </w:rPr>
        <w:t>e</w:t>
      </w:r>
      <w:r w:rsidRPr="00857CDA">
        <w:rPr>
          <w:iCs/>
          <w:lang w:val="ro-RO"/>
        </w:rPr>
        <w:t>rote</w:t>
      </w:r>
      <w:r w:rsidR="008B450F" w:rsidRPr="00857CDA">
        <w:rPr>
          <w:iCs/>
          <w:lang w:val="ro-RO"/>
        </w:rPr>
        <w:t>ază</w:t>
      </w:r>
      <w:r w:rsidRPr="00857CDA">
        <w:rPr>
          <w:iCs/>
          <w:lang w:val="ro-RO"/>
        </w:rPr>
        <w:t xml:space="preserve"> Nota exist</w:t>
      </w:r>
      <w:r w:rsidR="008B450F" w:rsidRPr="00857CDA">
        <w:rPr>
          <w:iCs/>
          <w:lang w:val="ro-RO"/>
        </w:rPr>
        <w:t>entă ca fiind</w:t>
      </w:r>
      <w:r w:rsidRPr="00857CDA">
        <w:rPr>
          <w:iCs/>
          <w:lang w:val="ro-RO"/>
        </w:rPr>
        <w:t xml:space="preserve"> Nota 1</w:t>
      </w:r>
      <w:r w:rsidR="004C27AD" w:rsidRPr="00857CDA">
        <w:rPr>
          <w:iCs/>
          <w:lang w:val="ro-RO"/>
        </w:rPr>
        <w:t xml:space="preserve"> și </w:t>
      </w:r>
      <w:r w:rsidR="00991390" w:rsidRPr="00857CDA">
        <w:rPr>
          <w:iCs/>
          <w:lang w:val="ro-RO"/>
        </w:rPr>
        <w:t>după</w:t>
      </w:r>
      <w:r w:rsidRPr="00857CDA">
        <w:rPr>
          <w:iCs/>
          <w:lang w:val="ro-RO"/>
        </w:rPr>
        <w:t xml:space="preserve"> </w:t>
      </w:r>
      <w:r w:rsidR="00920FAB" w:rsidRPr="00857CDA">
        <w:rPr>
          <w:lang w:val="ro-RO"/>
        </w:rPr>
        <w:t>„</w:t>
      </w:r>
      <w:r w:rsidRPr="00857CDA">
        <w:rPr>
          <w:iCs/>
          <w:lang w:val="ro-RO"/>
        </w:rPr>
        <w:t>cont</w:t>
      </w:r>
      <w:r w:rsidR="008B450F" w:rsidRPr="00857CDA">
        <w:rPr>
          <w:iCs/>
          <w:lang w:val="ro-RO"/>
        </w:rPr>
        <w:t>ainerelor</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920FAB" w:rsidRPr="00857CDA">
        <w:rPr>
          <w:lang w:val="ro-RO"/>
        </w:rPr>
        <w:t>„</w:t>
      </w:r>
      <w:r w:rsidRPr="00857CDA">
        <w:rPr>
          <w:iCs/>
          <w:lang w:val="ro-RO"/>
        </w:rPr>
        <w:t>cont</w:t>
      </w:r>
      <w:r w:rsidR="008B450F" w:rsidRPr="00857CDA">
        <w:rPr>
          <w:iCs/>
          <w:lang w:val="ro-RO"/>
        </w:rPr>
        <w:t>ainerelor pentru vrac</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8B450F" w:rsidRPr="00857CDA">
        <w:rPr>
          <w:iCs/>
          <w:lang w:val="ro-RO"/>
        </w:rPr>
        <w:t>o</w:t>
      </w:r>
      <w:r w:rsidRPr="00857CDA">
        <w:rPr>
          <w:iCs/>
          <w:lang w:val="ro-RO"/>
        </w:rPr>
        <w:t xml:space="preserve"> nou</w:t>
      </w:r>
      <w:r w:rsidR="008B450F" w:rsidRPr="00857CDA">
        <w:rPr>
          <w:iCs/>
          <w:lang w:val="ro-RO"/>
        </w:rPr>
        <w:t>ă notă -</w:t>
      </w:r>
      <w:r w:rsidRPr="00857CDA">
        <w:rPr>
          <w:iCs/>
          <w:lang w:val="ro-RO"/>
        </w:rPr>
        <w:t xml:space="preserve"> Nota 2</w:t>
      </w:r>
      <w:r w:rsidR="002B679C" w:rsidRPr="00857CDA">
        <w:rPr>
          <w:iCs/>
          <w:lang w:val="ro-RO"/>
        </w:rPr>
        <w:t>, după cum urmează</w:t>
      </w:r>
      <w:r w:rsidRPr="00857CDA">
        <w:rPr>
          <w:iCs/>
          <w:lang w:val="ro-RO"/>
        </w:rPr>
        <w:t>:</w:t>
      </w:r>
    </w:p>
    <w:p w:rsidR="00116ECE" w:rsidRPr="00857CDA" w:rsidRDefault="00920FAB" w:rsidP="00116ECE">
      <w:pPr>
        <w:pStyle w:val="SingleTxtG"/>
        <w:rPr>
          <w:iCs/>
          <w:lang w:val="ro-RO"/>
        </w:rPr>
      </w:pPr>
      <w:r w:rsidRPr="00857CDA">
        <w:rPr>
          <w:lang w:val="ro-RO"/>
        </w:rPr>
        <w:t>„</w:t>
      </w:r>
      <w:r w:rsidR="008B450F" w:rsidRPr="00857CDA">
        <w:rPr>
          <w:b/>
          <w:i/>
          <w:iCs/>
          <w:lang w:val="ro-RO"/>
        </w:rPr>
        <w:t xml:space="preserve">NOTA </w:t>
      </w:r>
      <w:r w:rsidR="00116ECE" w:rsidRPr="00857CDA">
        <w:rPr>
          <w:b/>
          <w:i/>
          <w:iCs/>
          <w:lang w:val="ro-RO"/>
        </w:rPr>
        <w:t>2</w:t>
      </w:r>
      <w:r w:rsidR="00091658" w:rsidRPr="00857CDA">
        <w:rPr>
          <w:lang w:val="ro-RO"/>
        </w:rPr>
        <w:t>:</w:t>
      </w:r>
      <w:r w:rsidR="00116ECE" w:rsidRPr="00857CDA">
        <w:rPr>
          <w:i/>
          <w:iCs/>
          <w:lang w:val="ro-RO"/>
        </w:rPr>
        <w:tab/>
      </w:r>
      <w:r w:rsidR="008B450F" w:rsidRPr="00857CDA">
        <w:rPr>
          <w:i/>
          <w:lang w:val="ro-RO"/>
        </w:rPr>
        <w:t>În conformitate cu GHS, pe timpul transportului, o pictogramă GHS  care nu este prevăzută de ADR nu ar trebui să apară decât ca parte a unei etichete complete GHS și nu independent (a se vedea GHS, 1.4.10.4.4).</w:t>
      </w:r>
      <w:r w:rsidR="00660131" w:rsidRPr="00857CDA">
        <w:rPr>
          <w:lang w:val="ro-RO"/>
        </w:rPr>
        <w:t>”</w:t>
      </w:r>
      <w:r w:rsidR="00116ECE" w:rsidRPr="00857CDA">
        <w:rPr>
          <w:iCs/>
          <w:lang w:val="ro-RO"/>
        </w:rPr>
        <w:t>.</w:t>
      </w:r>
    </w:p>
    <w:p w:rsidR="005953EF" w:rsidRPr="00857CDA" w:rsidRDefault="005953EF" w:rsidP="005953EF">
      <w:pPr>
        <w:pStyle w:val="SingleTxtG"/>
        <w:rPr>
          <w:iCs/>
          <w:lang w:val="ro-RO"/>
        </w:rPr>
      </w:pPr>
      <w:r w:rsidRPr="00857CDA">
        <w:rPr>
          <w:iCs/>
          <w:lang w:val="ro-RO"/>
        </w:rPr>
        <w:t>5.3.1.1.1</w:t>
      </w:r>
      <w:r w:rsidRPr="00857CDA">
        <w:rPr>
          <w:iCs/>
          <w:lang w:val="ro-RO"/>
        </w:rPr>
        <w:tab/>
      </w:r>
      <w:r w:rsidR="00902C44" w:rsidRPr="00857CDA">
        <w:rPr>
          <w:iCs/>
          <w:lang w:val="ro-RO"/>
        </w:rPr>
        <w:t xml:space="preserve">În </w:t>
      </w:r>
      <w:r w:rsidR="003634AA" w:rsidRPr="00857CDA">
        <w:rPr>
          <w:iCs/>
          <w:lang w:val="ro-RO"/>
        </w:rPr>
        <w:t>prima frază</w:t>
      </w:r>
      <w:r w:rsidRPr="00857CDA">
        <w:rPr>
          <w:iCs/>
          <w:lang w:val="ro-RO"/>
        </w:rPr>
        <w:t xml:space="preserve">, </w:t>
      </w:r>
      <w:r w:rsidR="00991390" w:rsidRPr="00857CDA">
        <w:rPr>
          <w:iCs/>
          <w:lang w:val="ro-RO"/>
        </w:rPr>
        <w:t>după</w:t>
      </w:r>
      <w:r w:rsidRPr="00857CDA">
        <w:rPr>
          <w:iCs/>
          <w:lang w:val="ro-RO"/>
        </w:rPr>
        <w:t xml:space="preserve"> </w:t>
      </w:r>
      <w:r w:rsidR="00920FAB" w:rsidRPr="00857CDA">
        <w:rPr>
          <w:lang w:val="ro-RO"/>
        </w:rPr>
        <w:t>„</w:t>
      </w:r>
      <w:r w:rsidRPr="00857CDA">
        <w:rPr>
          <w:iCs/>
          <w:lang w:val="ro-RO"/>
        </w:rPr>
        <w:t>cont</w:t>
      </w:r>
      <w:r w:rsidR="007D3C5A" w:rsidRPr="00857CDA">
        <w:rPr>
          <w:iCs/>
          <w:lang w:val="ro-RO"/>
        </w:rPr>
        <w:t>ainerelor</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920FAB" w:rsidRPr="00857CDA">
        <w:rPr>
          <w:lang w:val="ro-RO"/>
        </w:rPr>
        <w:t>„</w:t>
      </w:r>
      <w:r w:rsidRPr="00857CDA">
        <w:rPr>
          <w:iCs/>
          <w:lang w:val="ro-RO"/>
        </w:rPr>
        <w:t>cont</w:t>
      </w:r>
      <w:r w:rsidR="007D3C5A" w:rsidRPr="00857CDA">
        <w:rPr>
          <w:iCs/>
          <w:lang w:val="ro-RO"/>
        </w:rPr>
        <w:t>ainerelor</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Pr="00857CDA">
        <w:rPr>
          <w:iCs/>
          <w:lang w:val="ro-RO"/>
        </w:rPr>
        <w:t xml:space="preserve">. </w:t>
      </w:r>
      <w:r w:rsidR="00902C44" w:rsidRPr="00857CDA">
        <w:rPr>
          <w:iCs/>
          <w:lang w:val="ro-RO"/>
        </w:rPr>
        <w:t xml:space="preserve">În </w:t>
      </w:r>
      <w:r w:rsidR="00970E20" w:rsidRPr="00857CDA">
        <w:rPr>
          <w:iCs/>
          <w:lang w:val="ro-RO"/>
        </w:rPr>
        <w:t>a doua frază</w:t>
      </w:r>
      <w:r w:rsidRPr="00857CDA">
        <w:rPr>
          <w:iCs/>
          <w:lang w:val="ro-RO"/>
        </w:rPr>
        <w:t xml:space="preserve">, </w:t>
      </w:r>
      <w:r w:rsidR="00991390" w:rsidRPr="00857CDA">
        <w:rPr>
          <w:iCs/>
          <w:lang w:val="ro-RO"/>
        </w:rPr>
        <w:t>după</w:t>
      </w:r>
      <w:r w:rsidRPr="00857CDA">
        <w:rPr>
          <w:iCs/>
          <w:lang w:val="ro-RO"/>
        </w:rPr>
        <w:t xml:space="preserve"> </w:t>
      </w:r>
      <w:r w:rsidR="00FE5FC3" w:rsidRPr="00857CDA">
        <w:rPr>
          <w:lang w:val="ro-RO"/>
        </w:rPr>
        <w:t>„</w:t>
      </w:r>
      <w:r w:rsidRPr="00857CDA">
        <w:rPr>
          <w:iCs/>
          <w:lang w:val="ro-RO"/>
        </w:rPr>
        <w:t>cont</w:t>
      </w:r>
      <w:r w:rsidR="007D3C5A" w:rsidRPr="00857CDA">
        <w:rPr>
          <w:iCs/>
          <w:lang w:val="ro-RO"/>
        </w:rPr>
        <w:t>ainer</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FE5FC3" w:rsidRPr="00857CDA">
        <w:rPr>
          <w:lang w:val="ro-RO"/>
        </w:rPr>
        <w:t>„</w:t>
      </w:r>
      <w:r w:rsidRPr="00857CDA">
        <w:rPr>
          <w:iCs/>
          <w:lang w:val="ro-RO"/>
        </w:rPr>
        <w:t>cont</w:t>
      </w:r>
      <w:r w:rsidR="007D3C5A" w:rsidRPr="00857CDA">
        <w:rPr>
          <w:iCs/>
          <w:lang w:val="ro-RO"/>
        </w:rPr>
        <w:t>ainer</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Pr="00857CDA">
        <w:rPr>
          <w:iCs/>
          <w:lang w:val="ro-RO"/>
        </w:rPr>
        <w:t>.</w:t>
      </w:r>
    </w:p>
    <w:p w:rsidR="000B1500" w:rsidRPr="00857CDA" w:rsidRDefault="000B1500" w:rsidP="005631C7">
      <w:pPr>
        <w:pStyle w:val="SingleTxtG"/>
        <w:rPr>
          <w:lang w:val="ro-RO"/>
        </w:rPr>
      </w:pPr>
      <w:r w:rsidRPr="00857CDA">
        <w:rPr>
          <w:lang w:val="ro-RO"/>
        </w:rPr>
        <w:t>5.3.1.1.1</w:t>
      </w:r>
      <w:r w:rsidRPr="00857CDA">
        <w:rPr>
          <w:lang w:val="ro-RO"/>
        </w:rPr>
        <w:tab/>
      </w:r>
      <w:r w:rsidR="007D3C5A" w:rsidRPr="00857CDA">
        <w:rPr>
          <w:lang w:val="ro-RO"/>
        </w:rPr>
        <w:t>L</w:t>
      </w:r>
      <w:r w:rsidRPr="00857CDA">
        <w:rPr>
          <w:lang w:val="ro-RO"/>
        </w:rPr>
        <w:t xml:space="preserve">a </w:t>
      </w:r>
      <w:r w:rsidR="007D3C5A" w:rsidRPr="00857CDA">
        <w:rPr>
          <w:lang w:val="ro-RO"/>
        </w:rPr>
        <w:t>s</w:t>
      </w:r>
      <w:r w:rsidRPr="00857CDA">
        <w:rPr>
          <w:lang w:val="ro-RO"/>
        </w:rPr>
        <w:t>f</w:t>
      </w:r>
      <w:r w:rsidR="007D3C5A" w:rsidRPr="00857CDA">
        <w:rPr>
          <w:lang w:val="ro-RO"/>
        </w:rPr>
        <w:t>ârșit</w:t>
      </w:r>
      <w:r w:rsidRPr="00857CDA">
        <w:rPr>
          <w:lang w:val="ro-RO"/>
        </w:rPr>
        <w:t xml:space="preserve">, </w:t>
      </w:r>
      <w:r w:rsidR="00902C44" w:rsidRPr="00857CDA">
        <w:rPr>
          <w:lang w:val="ro-RO"/>
        </w:rPr>
        <w:t>se adaugă</w:t>
      </w:r>
      <w:r w:rsidR="00091658" w:rsidRPr="00857CDA">
        <w:rPr>
          <w:lang w:val="ro-RO"/>
        </w:rPr>
        <w:t>:</w:t>
      </w:r>
      <w:r w:rsidRPr="00857CDA">
        <w:rPr>
          <w:lang w:val="ro-RO"/>
        </w:rPr>
        <w:t xml:space="preserve"> </w:t>
      </w:r>
      <w:r w:rsidR="00FE5FC3" w:rsidRPr="00857CDA">
        <w:rPr>
          <w:lang w:val="ro-RO"/>
        </w:rPr>
        <w:t>„</w:t>
      </w:r>
      <w:r w:rsidR="007D3C5A" w:rsidRPr="00857CDA">
        <w:rPr>
          <w:lang w:val="ro-RO"/>
        </w:rPr>
        <w:t xml:space="preserve">Plăcile-etichetă trebuie să rezistente la intemperii și trebuie să asigure </w:t>
      </w:r>
      <w:r w:rsidR="005631C7" w:rsidRPr="00857CDA">
        <w:rPr>
          <w:lang w:val="ro-RO"/>
        </w:rPr>
        <w:t>placardarea</w:t>
      </w:r>
      <w:r w:rsidR="007D3C5A" w:rsidRPr="00857CDA">
        <w:rPr>
          <w:lang w:val="ro-RO"/>
        </w:rPr>
        <w:t xml:space="preserve"> pe între</w:t>
      </w:r>
      <w:r w:rsidR="005631C7" w:rsidRPr="00857CDA">
        <w:rPr>
          <w:lang w:val="ro-RO"/>
        </w:rPr>
        <w:t>aga durată a transportului</w:t>
      </w:r>
      <w:r w:rsidRPr="00857CDA">
        <w:rPr>
          <w:lang w:val="ro-RO"/>
        </w:rPr>
        <w:t>.</w:t>
      </w:r>
      <w:r w:rsidR="00660131" w:rsidRPr="00857CDA">
        <w:rPr>
          <w:lang w:val="ro-RO"/>
        </w:rPr>
        <w:t>”</w:t>
      </w:r>
      <w:r w:rsidRPr="00857CDA">
        <w:rPr>
          <w:lang w:val="ro-RO"/>
        </w:rPr>
        <w:t>.</w:t>
      </w:r>
    </w:p>
    <w:p w:rsidR="005860E1" w:rsidRPr="00857CDA" w:rsidRDefault="005860E1" w:rsidP="005860E1">
      <w:pPr>
        <w:pStyle w:val="SingleTxtG"/>
        <w:rPr>
          <w:iCs/>
          <w:lang w:val="ro-RO"/>
        </w:rPr>
      </w:pPr>
      <w:r w:rsidRPr="00857CDA">
        <w:rPr>
          <w:iCs/>
          <w:lang w:val="ro-RO"/>
        </w:rPr>
        <w:t>5.3.1.1.3</w:t>
      </w:r>
      <w:r w:rsidRPr="00857CDA">
        <w:rPr>
          <w:iCs/>
          <w:lang w:val="ro-RO"/>
        </w:rPr>
        <w:tab/>
      </w:r>
      <w:r w:rsidR="00902C44" w:rsidRPr="00857CDA">
        <w:rPr>
          <w:iCs/>
          <w:lang w:val="ro-RO"/>
        </w:rPr>
        <w:t xml:space="preserve">În </w:t>
      </w:r>
      <w:r w:rsidR="00857CDA" w:rsidRPr="00857CDA">
        <w:rPr>
          <w:iCs/>
          <w:lang w:val="ro-RO"/>
        </w:rPr>
        <w:t>primul</w:t>
      </w:r>
      <w:r w:rsidRPr="00857CDA">
        <w:rPr>
          <w:iCs/>
          <w:lang w:val="ro-RO"/>
        </w:rPr>
        <w:t xml:space="preserve"> </w:t>
      </w:r>
      <w:r w:rsidR="00970E20" w:rsidRPr="00857CDA">
        <w:rPr>
          <w:iCs/>
          <w:lang w:val="ro-RO"/>
        </w:rPr>
        <w:t>paragraf</w:t>
      </w:r>
      <w:r w:rsidRPr="00857CDA">
        <w:rPr>
          <w:iCs/>
          <w:lang w:val="ro-RO"/>
        </w:rPr>
        <w:t xml:space="preserve">, </w:t>
      </w:r>
      <w:r w:rsidR="005631C7" w:rsidRPr="00857CDA">
        <w:rPr>
          <w:iCs/>
          <w:lang w:val="ro-RO"/>
        </w:rPr>
        <w:t>s</w:t>
      </w:r>
      <w:r w:rsidR="00902C44" w:rsidRPr="00857CDA">
        <w:rPr>
          <w:iCs/>
          <w:lang w:val="ro-RO"/>
        </w:rPr>
        <w:t>e modifică</w:t>
      </w:r>
      <w:r w:rsidRPr="00857CDA">
        <w:rPr>
          <w:iCs/>
          <w:lang w:val="ro-RO"/>
        </w:rPr>
        <w:t xml:space="preserve"> </w:t>
      </w:r>
      <w:r w:rsidR="00FE5FC3" w:rsidRPr="00857CDA">
        <w:rPr>
          <w:lang w:val="ro-RO"/>
        </w:rPr>
        <w:t>„</w:t>
      </w:r>
      <w:r w:rsidR="002B679C" w:rsidRPr="00857CDA">
        <w:rPr>
          <w:iCs/>
          <w:lang w:val="ro-RO"/>
        </w:rPr>
        <w:t>risc</w:t>
      </w:r>
      <w:r w:rsidR="00660131" w:rsidRPr="00857CDA">
        <w:rPr>
          <w:iCs/>
          <w:lang w:val="ro-RO"/>
        </w:rPr>
        <w:t>”</w:t>
      </w:r>
      <w:r w:rsidR="00902C44" w:rsidRPr="00857CDA">
        <w:rPr>
          <w:iCs/>
          <w:lang w:val="ro-RO"/>
        </w:rPr>
        <w:t xml:space="preserve"> cu </w:t>
      </w:r>
      <w:r w:rsidR="00FE5FC3" w:rsidRPr="00857CDA">
        <w:rPr>
          <w:lang w:val="ro-RO"/>
        </w:rPr>
        <w:t>„</w:t>
      </w:r>
      <w:r w:rsidR="002B679C" w:rsidRPr="00857CDA">
        <w:rPr>
          <w:iCs/>
          <w:lang w:val="ro-RO"/>
        </w:rPr>
        <w:t>pericol</w:t>
      </w:r>
      <w:r w:rsidR="00660131" w:rsidRPr="00857CDA">
        <w:rPr>
          <w:iCs/>
          <w:lang w:val="ro-RO"/>
        </w:rPr>
        <w:t>”</w:t>
      </w:r>
      <w:r w:rsidRPr="00857CDA">
        <w:rPr>
          <w:iCs/>
          <w:lang w:val="ro-RO"/>
        </w:rPr>
        <w:t>.</w:t>
      </w:r>
    </w:p>
    <w:p w:rsidR="0061335E" w:rsidRPr="00857CDA" w:rsidRDefault="0061335E" w:rsidP="005860E1">
      <w:pPr>
        <w:pStyle w:val="SingleTxtG"/>
        <w:rPr>
          <w:iCs/>
          <w:lang w:val="ro-RO"/>
        </w:rPr>
      </w:pPr>
      <w:r w:rsidRPr="00857CDA">
        <w:rPr>
          <w:iCs/>
          <w:lang w:val="ro-RO"/>
        </w:rPr>
        <w:t>5.3.1.1.5</w:t>
      </w:r>
      <w:r w:rsidRPr="00857CDA">
        <w:rPr>
          <w:iCs/>
          <w:lang w:val="ro-RO"/>
        </w:rPr>
        <w:tab/>
      </w:r>
      <w:r w:rsidR="007D305F" w:rsidRPr="007D305F">
        <w:rPr>
          <w:iCs/>
          <w:lang w:val="ro-RO"/>
        </w:rPr>
        <w:t>Se modifică „risc” cu „pericol” (de două ori) și „riscul” cu „pericolul”.</w:t>
      </w:r>
    </w:p>
    <w:p w:rsidR="005759BC" w:rsidRPr="00857CDA" w:rsidRDefault="0061335E" w:rsidP="005759BC">
      <w:pPr>
        <w:pStyle w:val="SingleTxtG"/>
        <w:rPr>
          <w:iCs/>
          <w:lang w:val="ro-RO"/>
        </w:rPr>
      </w:pPr>
      <w:r w:rsidRPr="00857CDA">
        <w:rPr>
          <w:iCs/>
          <w:lang w:val="ro-RO"/>
        </w:rPr>
        <w:t>5.3.1.2</w:t>
      </w:r>
      <w:r w:rsidRPr="00857CDA">
        <w:rPr>
          <w:iCs/>
          <w:lang w:val="ro-RO"/>
        </w:rPr>
        <w:tab/>
      </w:r>
      <w:r w:rsidRPr="00857CDA">
        <w:rPr>
          <w:iCs/>
          <w:lang w:val="ro-RO"/>
        </w:rPr>
        <w:tab/>
      </w:r>
      <w:r w:rsidR="00902C44" w:rsidRPr="00857CDA">
        <w:rPr>
          <w:iCs/>
          <w:lang w:val="ro-RO"/>
        </w:rPr>
        <w:t xml:space="preserve">În </w:t>
      </w:r>
      <w:r w:rsidRPr="00857CDA">
        <w:rPr>
          <w:iCs/>
          <w:lang w:val="ro-RO"/>
        </w:rPr>
        <w:t>ti</w:t>
      </w:r>
      <w:r w:rsidR="0085155E" w:rsidRPr="00857CDA">
        <w:rPr>
          <w:iCs/>
          <w:lang w:val="ro-RO"/>
        </w:rPr>
        <w:t>tlu</w:t>
      </w:r>
      <w:r w:rsidRPr="00857CDA">
        <w:rPr>
          <w:iCs/>
          <w:lang w:val="ro-RO"/>
        </w:rPr>
        <w:t xml:space="preserve">, </w:t>
      </w:r>
      <w:r w:rsidR="00991390" w:rsidRPr="00857CDA">
        <w:rPr>
          <w:iCs/>
          <w:lang w:val="ro-RO"/>
        </w:rPr>
        <w:t>după</w:t>
      </w:r>
      <w:r w:rsidR="005759BC" w:rsidRPr="00857CDA">
        <w:rPr>
          <w:iCs/>
          <w:lang w:val="ro-RO"/>
        </w:rPr>
        <w:t xml:space="preserve"> </w:t>
      </w:r>
      <w:r w:rsidR="00FE5FC3" w:rsidRPr="00857CDA">
        <w:rPr>
          <w:lang w:val="ro-RO"/>
        </w:rPr>
        <w:t>„</w:t>
      </w:r>
      <w:r w:rsidR="005759BC" w:rsidRPr="00857CDA">
        <w:rPr>
          <w:iCs/>
          <w:lang w:val="ro-RO"/>
        </w:rPr>
        <w:t>cont</w:t>
      </w:r>
      <w:r w:rsidR="0085155E" w:rsidRPr="00857CDA">
        <w:rPr>
          <w:iCs/>
          <w:lang w:val="ro-RO"/>
        </w:rPr>
        <w:t>ainerelor</w:t>
      </w:r>
      <w:r w:rsidR="005759BC" w:rsidRPr="00857CDA">
        <w:rPr>
          <w:iCs/>
          <w:lang w:val="ro-RO"/>
        </w:rPr>
        <w:t>,</w:t>
      </w:r>
      <w:r w:rsidR="00660131" w:rsidRPr="00857CDA">
        <w:rPr>
          <w:iCs/>
          <w:lang w:val="ro-RO"/>
        </w:rPr>
        <w:t>”</w:t>
      </w:r>
      <w:r w:rsidR="005759BC" w:rsidRPr="00857CDA">
        <w:rPr>
          <w:iCs/>
          <w:lang w:val="ro-RO"/>
        </w:rPr>
        <w:t xml:space="preserve"> </w:t>
      </w:r>
      <w:r w:rsidR="00902C44" w:rsidRPr="00857CDA">
        <w:rPr>
          <w:iCs/>
          <w:lang w:val="ro-RO"/>
        </w:rPr>
        <w:t>se adaugă</w:t>
      </w:r>
      <w:r w:rsidR="005759BC" w:rsidRPr="00857CDA">
        <w:rPr>
          <w:iCs/>
          <w:lang w:val="ro-RO"/>
        </w:rPr>
        <w:t xml:space="preserve"> </w:t>
      </w:r>
      <w:r w:rsidR="00FE5FC3" w:rsidRPr="00857CDA">
        <w:rPr>
          <w:lang w:val="ro-RO"/>
        </w:rPr>
        <w:t>„</w:t>
      </w:r>
      <w:r w:rsidR="005759BC" w:rsidRPr="00857CDA">
        <w:rPr>
          <w:iCs/>
          <w:lang w:val="ro-RO"/>
        </w:rPr>
        <w:t>cont</w:t>
      </w:r>
      <w:r w:rsidR="0085155E" w:rsidRPr="00857CDA">
        <w:rPr>
          <w:iCs/>
          <w:lang w:val="ro-RO"/>
        </w:rPr>
        <w:t>ainerelor</w:t>
      </w:r>
      <w:r w:rsidR="005759BC" w:rsidRPr="00857CDA">
        <w:rPr>
          <w:iCs/>
          <w:lang w:val="ro-RO"/>
        </w:rPr>
        <w:t xml:space="preserve"> </w:t>
      </w:r>
      <w:r w:rsidR="00991390" w:rsidRPr="00857CDA">
        <w:rPr>
          <w:iCs/>
          <w:lang w:val="ro-RO"/>
        </w:rPr>
        <w:t>pentru</w:t>
      </w:r>
      <w:r w:rsidR="005759BC" w:rsidRPr="00857CDA">
        <w:rPr>
          <w:iCs/>
          <w:lang w:val="ro-RO"/>
        </w:rPr>
        <w:t xml:space="preserve"> vrac,</w:t>
      </w:r>
      <w:r w:rsidR="00660131" w:rsidRPr="00857CDA">
        <w:rPr>
          <w:iCs/>
          <w:lang w:val="ro-RO"/>
        </w:rPr>
        <w:t>”</w:t>
      </w:r>
      <w:r w:rsidR="005759BC" w:rsidRPr="00857CDA">
        <w:rPr>
          <w:iCs/>
          <w:lang w:val="ro-RO"/>
        </w:rPr>
        <w:t xml:space="preserve">. </w:t>
      </w:r>
      <w:r w:rsidR="00902C44" w:rsidRPr="00857CDA">
        <w:rPr>
          <w:iCs/>
          <w:lang w:val="ro-RO"/>
        </w:rPr>
        <w:t>În</w:t>
      </w:r>
      <w:r w:rsidR="005759BC" w:rsidRPr="00857CDA">
        <w:rPr>
          <w:iCs/>
          <w:lang w:val="ro-RO"/>
        </w:rPr>
        <w:t xml:space="preserve"> </w:t>
      </w:r>
      <w:r w:rsidR="00970E20" w:rsidRPr="00857CDA">
        <w:rPr>
          <w:iCs/>
          <w:lang w:val="ro-RO"/>
        </w:rPr>
        <w:t>paragraf</w:t>
      </w:r>
      <w:r w:rsidR="0085155E" w:rsidRPr="00857CDA">
        <w:rPr>
          <w:iCs/>
          <w:lang w:val="ro-RO"/>
        </w:rPr>
        <w:t>ul de</w:t>
      </w:r>
      <w:r w:rsidR="005759BC" w:rsidRPr="00857CDA">
        <w:rPr>
          <w:iCs/>
          <w:lang w:val="ro-RO"/>
        </w:rPr>
        <w:t xml:space="preserve"> </w:t>
      </w:r>
      <w:r w:rsidR="00991390" w:rsidRPr="00857CDA">
        <w:rPr>
          <w:iCs/>
          <w:lang w:val="ro-RO"/>
        </w:rPr>
        <w:t>după</w:t>
      </w:r>
      <w:r w:rsidR="005759BC" w:rsidRPr="00857CDA">
        <w:rPr>
          <w:iCs/>
          <w:lang w:val="ro-RO"/>
        </w:rPr>
        <w:t xml:space="preserve"> </w:t>
      </w:r>
      <w:r w:rsidR="000F2EF4" w:rsidRPr="00857CDA">
        <w:rPr>
          <w:i/>
          <w:iCs/>
          <w:lang w:val="ro-RO"/>
        </w:rPr>
        <w:t>NOTĂ</w:t>
      </w:r>
      <w:r w:rsidR="005759BC" w:rsidRPr="00857CDA">
        <w:rPr>
          <w:iCs/>
          <w:lang w:val="ro-RO"/>
        </w:rPr>
        <w:t xml:space="preserve">, la </w:t>
      </w:r>
      <w:r w:rsidR="0085155E" w:rsidRPr="00857CDA">
        <w:rPr>
          <w:iCs/>
          <w:lang w:val="ro-RO"/>
        </w:rPr>
        <w:t>s</w:t>
      </w:r>
      <w:r w:rsidR="005759BC" w:rsidRPr="00857CDA">
        <w:rPr>
          <w:iCs/>
          <w:lang w:val="ro-RO"/>
        </w:rPr>
        <w:t>f</w:t>
      </w:r>
      <w:r w:rsidR="0085155E" w:rsidRPr="00857CDA">
        <w:rPr>
          <w:iCs/>
          <w:lang w:val="ro-RO"/>
        </w:rPr>
        <w:t>ârșit</w:t>
      </w:r>
      <w:r w:rsidR="005759BC" w:rsidRPr="00857CDA">
        <w:rPr>
          <w:iCs/>
          <w:lang w:val="ro-RO"/>
        </w:rPr>
        <w:t xml:space="preserve">, </w:t>
      </w:r>
      <w:r w:rsidR="00902C44" w:rsidRPr="00857CDA">
        <w:rPr>
          <w:iCs/>
          <w:lang w:val="ro-RO"/>
        </w:rPr>
        <w:t>se adaugă</w:t>
      </w:r>
      <w:r w:rsidR="005759BC" w:rsidRPr="00857CDA">
        <w:rPr>
          <w:iCs/>
          <w:lang w:val="ro-RO"/>
        </w:rPr>
        <w:t xml:space="preserve"> </w:t>
      </w:r>
      <w:r w:rsidR="00FE5FC3" w:rsidRPr="00857CDA">
        <w:rPr>
          <w:lang w:val="ro-RO"/>
        </w:rPr>
        <w:t>„</w:t>
      </w:r>
      <w:r w:rsidR="004C27AD" w:rsidRPr="00857CDA">
        <w:rPr>
          <w:iCs/>
          <w:lang w:val="ro-RO"/>
        </w:rPr>
        <w:t xml:space="preserve">și </w:t>
      </w:r>
      <w:r w:rsidR="0085155E" w:rsidRPr="00857CDA">
        <w:rPr>
          <w:iCs/>
          <w:lang w:val="ro-RO"/>
        </w:rPr>
        <w:t xml:space="preserve">pe două părți laterale </w:t>
      </w:r>
      <w:r w:rsidR="000F2EF4" w:rsidRPr="00857CDA">
        <w:rPr>
          <w:iCs/>
          <w:lang w:val="ro-RO"/>
        </w:rPr>
        <w:t>ale</w:t>
      </w:r>
      <w:r w:rsidR="005759BC" w:rsidRPr="00857CDA">
        <w:rPr>
          <w:iCs/>
          <w:lang w:val="ro-RO"/>
        </w:rPr>
        <w:t xml:space="preserve"> cont</w:t>
      </w:r>
      <w:r w:rsidR="000F2EF4" w:rsidRPr="00857CDA">
        <w:rPr>
          <w:iCs/>
          <w:lang w:val="ro-RO"/>
        </w:rPr>
        <w:t xml:space="preserve">ainerului </w:t>
      </w:r>
      <w:r w:rsidR="00991390" w:rsidRPr="00857CDA">
        <w:rPr>
          <w:iCs/>
          <w:lang w:val="ro-RO"/>
        </w:rPr>
        <w:t>pentru</w:t>
      </w:r>
      <w:r w:rsidR="005759BC" w:rsidRPr="00857CDA">
        <w:rPr>
          <w:iCs/>
          <w:lang w:val="ro-RO"/>
        </w:rPr>
        <w:t xml:space="preserve"> vrac</w:t>
      </w:r>
      <w:r w:rsidR="00660131" w:rsidRPr="00857CDA">
        <w:rPr>
          <w:iCs/>
          <w:lang w:val="ro-RO"/>
        </w:rPr>
        <w:t>”</w:t>
      </w:r>
      <w:r w:rsidR="005759BC" w:rsidRPr="00857CDA">
        <w:rPr>
          <w:iCs/>
          <w:lang w:val="ro-RO"/>
        </w:rPr>
        <w:t>.</w:t>
      </w:r>
    </w:p>
    <w:p w:rsidR="005759BC" w:rsidRPr="00857CDA" w:rsidRDefault="005759BC" w:rsidP="005759BC">
      <w:pPr>
        <w:pStyle w:val="SingleTxtG"/>
        <w:rPr>
          <w:iCs/>
          <w:lang w:val="ro-RO"/>
        </w:rPr>
      </w:pPr>
      <w:r w:rsidRPr="00857CDA">
        <w:rPr>
          <w:iCs/>
          <w:lang w:val="ro-RO"/>
        </w:rPr>
        <w:t>5.3.1.3</w:t>
      </w:r>
      <w:r w:rsidRPr="00857CDA">
        <w:rPr>
          <w:iCs/>
          <w:lang w:val="ro-RO"/>
        </w:rPr>
        <w:tab/>
      </w:r>
      <w:r w:rsidRPr="00857CDA">
        <w:rPr>
          <w:iCs/>
          <w:lang w:val="ro-RO"/>
        </w:rPr>
        <w:tab/>
      </w:r>
      <w:r w:rsidR="00902C44" w:rsidRPr="00857CDA">
        <w:rPr>
          <w:iCs/>
          <w:lang w:val="ro-RO"/>
        </w:rPr>
        <w:t xml:space="preserve">În </w:t>
      </w:r>
      <w:r w:rsidRPr="00857CDA">
        <w:rPr>
          <w:iCs/>
          <w:lang w:val="ro-RO"/>
        </w:rPr>
        <w:t>tit</w:t>
      </w:r>
      <w:r w:rsidR="000F2EF4" w:rsidRPr="00857CDA">
        <w:rPr>
          <w:iCs/>
          <w:lang w:val="ro-RO"/>
        </w:rPr>
        <w:t>lu</w:t>
      </w:r>
      <w:r w:rsidRPr="00857CDA">
        <w:rPr>
          <w:iCs/>
          <w:lang w:val="ro-RO"/>
        </w:rPr>
        <w:t xml:space="preserve">, </w:t>
      </w:r>
      <w:r w:rsidR="00991390" w:rsidRPr="00857CDA">
        <w:rPr>
          <w:iCs/>
          <w:lang w:val="ro-RO"/>
        </w:rPr>
        <w:t>după</w:t>
      </w:r>
      <w:r w:rsidRPr="00857CDA">
        <w:rPr>
          <w:iCs/>
          <w:lang w:val="ro-RO"/>
        </w:rPr>
        <w:t xml:space="preserve"> </w:t>
      </w:r>
      <w:r w:rsidR="00FE5FC3" w:rsidRPr="00857CDA">
        <w:rPr>
          <w:lang w:val="ro-RO"/>
        </w:rPr>
        <w:t>„</w:t>
      </w:r>
      <w:r w:rsidRPr="00857CDA">
        <w:rPr>
          <w:iCs/>
          <w:lang w:val="ro-RO"/>
        </w:rPr>
        <w:t>cont</w:t>
      </w:r>
      <w:r w:rsidR="000F2EF4" w:rsidRPr="00857CDA">
        <w:rPr>
          <w:iCs/>
          <w:lang w:val="ro-RO"/>
        </w:rPr>
        <w:t>ainere</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FE5FC3" w:rsidRPr="00857CDA">
        <w:rPr>
          <w:lang w:val="ro-RO"/>
        </w:rPr>
        <w:t>„</w:t>
      </w:r>
      <w:r w:rsidRPr="00857CDA">
        <w:rPr>
          <w:iCs/>
          <w:lang w:val="ro-RO"/>
        </w:rPr>
        <w:t>cont</w:t>
      </w:r>
      <w:r w:rsidR="000F2EF4" w:rsidRPr="00857CDA">
        <w:rPr>
          <w:iCs/>
          <w:lang w:val="ro-RO"/>
        </w:rPr>
        <w:t>ainere</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Pr="00857CDA">
        <w:rPr>
          <w:iCs/>
          <w:lang w:val="ro-RO"/>
        </w:rPr>
        <w:t xml:space="preserve">. </w:t>
      </w:r>
      <w:r w:rsidR="00902C44" w:rsidRPr="00857CDA">
        <w:rPr>
          <w:iCs/>
          <w:lang w:val="ro-RO"/>
        </w:rPr>
        <w:t xml:space="preserve">În </w:t>
      </w:r>
      <w:r w:rsidR="00970E20" w:rsidRPr="00857CDA">
        <w:rPr>
          <w:iCs/>
          <w:lang w:val="ro-RO"/>
        </w:rPr>
        <w:t>paragraf</w:t>
      </w:r>
      <w:r w:rsidR="000F2EF4" w:rsidRPr="00857CDA">
        <w:rPr>
          <w:iCs/>
          <w:lang w:val="ro-RO"/>
        </w:rPr>
        <w:t xml:space="preserve">ul de </w:t>
      </w:r>
      <w:r w:rsidR="00991390" w:rsidRPr="00857CDA">
        <w:rPr>
          <w:iCs/>
          <w:lang w:val="ro-RO"/>
        </w:rPr>
        <w:t>după</w:t>
      </w:r>
      <w:r w:rsidRPr="00857CDA">
        <w:rPr>
          <w:iCs/>
          <w:lang w:val="ro-RO"/>
        </w:rPr>
        <w:t xml:space="preserve"> </w:t>
      </w:r>
      <w:r w:rsidR="000F2EF4" w:rsidRPr="00857CDA">
        <w:rPr>
          <w:i/>
          <w:iCs/>
          <w:lang w:val="ro-RO"/>
        </w:rPr>
        <w:t>NOTĂ</w:t>
      </w:r>
      <w:r w:rsidRPr="00857CDA">
        <w:rPr>
          <w:iCs/>
          <w:lang w:val="ro-RO"/>
        </w:rPr>
        <w:t xml:space="preserve">, </w:t>
      </w:r>
      <w:r w:rsidR="00991390" w:rsidRPr="00857CDA">
        <w:rPr>
          <w:iCs/>
          <w:lang w:val="ro-RO"/>
        </w:rPr>
        <w:t>după</w:t>
      </w:r>
      <w:r w:rsidRPr="00857CDA">
        <w:rPr>
          <w:iCs/>
          <w:lang w:val="ro-RO"/>
        </w:rPr>
        <w:t xml:space="preserve"> </w:t>
      </w:r>
      <w:r w:rsidR="00FE5FC3" w:rsidRPr="00857CDA">
        <w:rPr>
          <w:lang w:val="ro-RO"/>
        </w:rPr>
        <w:t>„</w:t>
      </w:r>
      <w:r w:rsidRPr="00857CDA">
        <w:rPr>
          <w:iCs/>
          <w:lang w:val="ro-RO"/>
        </w:rPr>
        <w:t>cont</w:t>
      </w:r>
      <w:r w:rsidR="000F2EF4" w:rsidRPr="00857CDA">
        <w:rPr>
          <w:iCs/>
          <w:lang w:val="ro-RO"/>
        </w:rPr>
        <w:t>ainere</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FE5FC3" w:rsidRPr="00857CDA">
        <w:rPr>
          <w:lang w:val="ro-RO"/>
        </w:rPr>
        <w:t>„</w:t>
      </w:r>
      <w:r w:rsidRPr="00857CDA">
        <w:rPr>
          <w:iCs/>
          <w:lang w:val="ro-RO"/>
        </w:rPr>
        <w:t>cont</w:t>
      </w:r>
      <w:r w:rsidR="000F2EF4" w:rsidRPr="00857CDA">
        <w:rPr>
          <w:iCs/>
          <w:lang w:val="ro-RO"/>
        </w:rPr>
        <w:t>ainere</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Pr="00857CDA">
        <w:rPr>
          <w:iCs/>
          <w:lang w:val="ro-RO"/>
        </w:rPr>
        <w:t>.</w:t>
      </w:r>
    </w:p>
    <w:p w:rsidR="00D74AB5" w:rsidRPr="00857CDA" w:rsidRDefault="00D74AB5" w:rsidP="00D74AB5">
      <w:pPr>
        <w:pStyle w:val="SingleTxtG"/>
        <w:rPr>
          <w:iCs/>
          <w:lang w:val="ro-RO"/>
        </w:rPr>
      </w:pPr>
      <w:r w:rsidRPr="00857CDA">
        <w:rPr>
          <w:iCs/>
          <w:lang w:val="ro-RO"/>
        </w:rPr>
        <w:t>5.3.2.1.4</w:t>
      </w:r>
      <w:r w:rsidRPr="00857CDA">
        <w:rPr>
          <w:iCs/>
          <w:lang w:val="ro-RO"/>
        </w:rPr>
        <w:tab/>
      </w:r>
      <w:r w:rsidR="001D30D9" w:rsidRPr="00857CDA">
        <w:rPr>
          <w:iCs/>
          <w:lang w:val="ro-RO"/>
        </w:rPr>
        <w:t>În prima frază, s</w:t>
      </w:r>
      <w:r w:rsidR="00902C44" w:rsidRPr="00857CDA">
        <w:rPr>
          <w:iCs/>
          <w:lang w:val="ro-RO"/>
        </w:rPr>
        <w:t>e modifică</w:t>
      </w:r>
      <w:r w:rsidRPr="00857CDA">
        <w:rPr>
          <w:iCs/>
          <w:lang w:val="ro-RO"/>
        </w:rPr>
        <w:t xml:space="preserve"> </w:t>
      </w:r>
      <w:r w:rsidR="00FE5FC3" w:rsidRPr="00857CDA">
        <w:rPr>
          <w:lang w:val="ro-RO"/>
        </w:rPr>
        <w:t>„</w:t>
      </w:r>
      <w:r w:rsidR="000F2EF4" w:rsidRPr="00857CDA">
        <w:rPr>
          <w:lang w:val="ro-RO"/>
        </w:rPr>
        <w:t>unitățile de transport</w:t>
      </w:r>
      <w:r w:rsidR="00660131" w:rsidRPr="00857CDA">
        <w:rPr>
          <w:iCs/>
          <w:lang w:val="ro-RO"/>
        </w:rPr>
        <w:t>”</w:t>
      </w:r>
      <w:r w:rsidR="00902C44" w:rsidRPr="00857CDA">
        <w:rPr>
          <w:iCs/>
          <w:lang w:val="ro-RO"/>
        </w:rPr>
        <w:t xml:space="preserve"> cu </w:t>
      </w:r>
      <w:r w:rsidR="00FE5FC3" w:rsidRPr="00857CDA">
        <w:rPr>
          <w:lang w:val="ro-RO"/>
        </w:rPr>
        <w:t>„</w:t>
      </w:r>
      <w:r w:rsidR="000F2EF4" w:rsidRPr="00857CDA">
        <w:rPr>
          <w:iCs/>
          <w:lang w:val="ro-RO"/>
        </w:rPr>
        <w:t>veh</w:t>
      </w:r>
      <w:r w:rsidRPr="00857CDA">
        <w:rPr>
          <w:iCs/>
          <w:lang w:val="ro-RO"/>
        </w:rPr>
        <w:t>icule</w:t>
      </w:r>
      <w:r w:rsidR="000F2EF4" w:rsidRPr="00857CDA">
        <w:rPr>
          <w:iCs/>
          <w:lang w:val="ro-RO"/>
        </w:rPr>
        <w:t>le</w:t>
      </w:r>
      <w:r w:rsidR="00660131" w:rsidRPr="00857CDA">
        <w:rPr>
          <w:iCs/>
          <w:lang w:val="ro-RO"/>
        </w:rPr>
        <w:t>”</w:t>
      </w:r>
      <w:r w:rsidR="001D30D9" w:rsidRPr="00857CDA">
        <w:rPr>
          <w:iCs/>
          <w:lang w:val="ro-RO"/>
        </w:rPr>
        <w:t xml:space="preserve"> și</w:t>
      </w:r>
      <w:r w:rsidR="004C27AD" w:rsidRPr="00857CDA">
        <w:rPr>
          <w:iCs/>
          <w:lang w:val="ro-RO"/>
        </w:rPr>
        <w:t xml:space="preserve"> </w:t>
      </w:r>
      <w:r w:rsidR="00FE5FC3" w:rsidRPr="00857CDA">
        <w:rPr>
          <w:lang w:val="ro-RO"/>
        </w:rPr>
        <w:t>„</w:t>
      </w:r>
      <w:r w:rsidR="000F2EF4" w:rsidRPr="00857CDA">
        <w:rPr>
          <w:lang w:val="ro-RO"/>
        </w:rPr>
        <w:t>fiecărei unități de transport</w:t>
      </w:r>
      <w:r w:rsidR="00660131" w:rsidRPr="00857CDA">
        <w:rPr>
          <w:iCs/>
          <w:lang w:val="ro-RO"/>
        </w:rPr>
        <w:t>”</w:t>
      </w:r>
      <w:r w:rsidR="00902C44" w:rsidRPr="00857CDA">
        <w:rPr>
          <w:iCs/>
          <w:lang w:val="ro-RO"/>
        </w:rPr>
        <w:t xml:space="preserve"> cu </w:t>
      </w:r>
      <w:r w:rsidR="00FE5FC3" w:rsidRPr="00857CDA">
        <w:rPr>
          <w:lang w:val="ro-RO"/>
        </w:rPr>
        <w:t>„</w:t>
      </w:r>
      <w:r w:rsidR="000F2EF4" w:rsidRPr="00857CDA">
        <w:rPr>
          <w:lang w:val="ro-RO"/>
        </w:rPr>
        <w:t xml:space="preserve">fiecărui </w:t>
      </w:r>
      <w:r w:rsidRPr="00857CDA">
        <w:rPr>
          <w:iCs/>
          <w:lang w:val="ro-RO"/>
        </w:rPr>
        <w:t>v</w:t>
      </w:r>
      <w:r w:rsidR="000F2EF4" w:rsidRPr="00857CDA">
        <w:rPr>
          <w:iCs/>
          <w:lang w:val="ro-RO"/>
        </w:rPr>
        <w:t>e</w:t>
      </w:r>
      <w:r w:rsidRPr="00857CDA">
        <w:rPr>
          <w:iCs/>
          <w:lang w:val="ro-RO"/>
        </w:rPr>
        <w:t>hicul</w:t>
      </w:r>
      <w:r w:rsidR="00660131" w:rsidRPr="00857CDA">
        <w:rPr>
          <w:iCs/>
          <w:lang w:val="ro-RO"/>
        </w:rPr>
        <w:t>”</w:t>
      </w:r>
      <w:r w:rsidR="001D30D9" w:rsidRPr="00857CDA">
        <w:rPr>
          <w:iCs/>
          <w:lang w:val="ro-RO"/>
        </w:rPr>
        <w:t xml:space="preserve">. În a doua frază se modifică </w:t>
      </w:r>
      <w:r w:rsidR="001D30D9" w:rsidRPr="00857CDA">
        <w:rPr>
          <w:lang w:val="ro-RO"/>
        </w:rPr>
        <w:t>„unitate de transport</w:t>
      </w:r>
      <w:r w:rsidR="001D30D9" w:rsidRPr="00857CDA">
        <w:rPr>
          <w:iCs/>
          <w:lang w:val="ro-RO"/>
        </w:rPr>
        <w:t xml:space="preserve">” cu </w:t>
      </w:r>
      <w:r w:rsidR="001D30D9" w:rsidRPr="00857CDA">
        <w:rPr>
          <w:lang w:val="ro-RO"/>
        </w:rPr>
        <w:t>„</w:t>
      </w:r>
      <w:r w:rsidR="001D30D9" w:rsidRPr="00857CDA">
        <w:rPr>
          <w:iCs/>
          <w:lang w:val="ro-RO"/>
        </w:rPr>
        <w:t>vehicul”, de două ori</w:t>
      </w:r>
      <w:r w:rsidRPr="00857CDA">
        <w:rPr>
          <w:iCs/>
          <w:lang w:val="ro-RO"/>
        </w:rPr>
        <w:t>.</w:t>
      </w:r>
    </w:p>
    <w:p w:rsidR="005759BC" w:rsidRPr="00857CDA" w:rsidRDefault="005759BC" w:rsidP="00D53F01">
      <w:pPr>
        <w:pStyle w:val="SingleTxtG"/>
        <w:rPr>
          <w:iCs/>
          <w:lang w:val="ro-RO"/>
        </w:rPr>
      </w:pPr>
      <w:r w:rsidRPr="00857CDA">
        <w:rPr>
          <w:iCs/>
          <w:lang w:val="ro-RO"/>
        </w:rPr>
        <w:t>5.3.2.1.4</w:t>
      </w:r>
      <w:r w:rsidRPr="00857CDA">
        <w:rPr>
          <w:iCs/>
          <w:lang w:val="ro-RO"/>
        </w:rPr>
        <w:tab/>
      </w:r>
      <w:r w:rsidR="00902C44" w:rsidRPr="00857CDA">
        <w:rPr>
          <w:iCs/>
          <w:lang w:val="ro-RO"/>
        </w:rPr>
        <w:t xml:space="preserve">În </w:t>
      </w:r>
      <w:r w:rsidR="003634AA" w:rsidRPr="00857CDA">
        <w:rPr>
          <w:iCs/>
          <w:lang w:val="ro-RO"/>
        </w:rPr>
        <w:t>prima frază</w:t>
      </w:r>
      <w:r w:rsidRPr="00857CDA">
        <w:rPr>
          <w:iCs/>
          <w:lang w:val="ro-RO"/>
        </w:rPr>
        <w:t xml:space="preserve">, </w:t>
      </w:r>
      <w:r w:rsidR="001D30D9" w:rsidRPr="00857CDA">
        <w:rPr>
          <w:iCs/>
          <w:lang w:val="ro-RO"/>
        </w:rPr>
        <w:t>s</w:t>
      </w:r>
      <w:r w:rsidR="00902C44" w:rsidRPr="00857CDA">
        <w:rPr>
          <w:iCs/>
          <w:lang w:val="ro-RO"/>
        </w:rPr>
        <w:t>e modifică</w:t>
      </w:r>
      <w:r w:rsidRPr="00857CDA">
        <w:rPr>
          <w:iCs/>
          <w:lang w:val="ro-RO"/>
        </w:rPr>
        <w:t xml:space="preserve"> </w:t>
      </w:r>
      <w:r w:rsidR="00FE5FC3" w:rsidRPr="00857CDA">
        <w:rPr>
          <w:lang w:val="ro-RO"/>
        </w:rPr>
        <w:t>„</w:t>
      </w:r>
      <w:r w:rsidR="004C27AD" w:rsidRPr="00857CDA">
        <w:rPr>
          <w:iCs/>
          <w:lang w:val="ro-RO"/>
        </w:rPr>
        <w:t xml:space="preserve">și </w:t>
      </w:r>
      <w:r w:rsidRPr="00857CDA">
        <w:rPr>
          <w:iCs/>
          <w:lang w:val="ro-RO"/>
        </w:rPr>
        <w:t>cont</w:t>
      </w:r>
      <w:r w:rsidR="001D30D9" w:rsidRPr="00857CDA">
        <w:rPr>
          <w:iCs/>
          <w:lang w:val="ro-RO"/>
        </w:rPr>
        <w:t>ainerele</w:t>
      </w:r>
      <w:r w:rsidR="00660131" w:rsidRPr="00857CDA">
        <w:rPr>
          <w:iCs/>
          <w:lang w:val="ro-RO"/>
        </w:rPr>
        <w:t>”</w:t>
      </w:r>
      <w:r w:rsidR="00902C44" w:rsidRPr="00857CDA">
        <w:rPr>
          <w:iCs/>
          <w:lang w:val="ro-RO"/>
        </w:rPr>
        <w:t xml:space="preserve"> cu </w:t>
      </w:r>
      <w:r w:rsidR="00FE5FC3" w:rsidRPr="00857CDA">
        <w:rPr>
          <w:lang w:val="ro-RO"/>
        </w:rPr>
        <w:t>„</w:t>
      </w:r>
      <w:r w:rsidR="00FE5FC3" w:rsidRPr="00857CDA">
        <w:rPr>
          <w:iCs/>
          <w:lang w:val="ro-RO"/>
        </w:rPr>
        <w:t xml:space="preserve"> </w:t>
      </w:r>
      <w:r w:rsidRPr="00857CDA">
        <w:rPr>
          <w:iCs/>
          <w:lang w:val="ro-RO"/>
        </w:rPr>
        <w:t>, cont</w:t>
      </w:r>
      <w:r w:rsidR="001D30D9" w:rsidRPr="00857CDA">
        <w:rPr>
          <w:iCs/>
          <w:lang w:val="ro-RO"/>
        </w:rPr>
        <w:t>ainerele</w:t>
      </w:r>
      <w:r w:rsidR="004C27AD" w:rsidRPr="00857CDA">
        <w:rPr>
          <w:iCs/>
          <w:lang w:val="ro-RO"/>
        </w:rPr>
        <w:t xml:space="preserve"> și </w:t>
      </w:r>
      <w:r w:rsidRPr="00857CDA">
        <w:rPr>
          <w:iCs/>
          <w:lang w:val="ro-RO"/>
        </w:rPr>
        <w:t>cont</w:t>
      </w:r>
      <w:r w:rsidR="001D30D9" w:rsidRPr="00857CDA">
        <w:rPr>
          <w:iCs/>
          <w:lang w:val="ro-RO"/>
        </w:rPr>
        <w:t>ainerele</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004C27AD" w:rsidRPr="00857CDA">
        <w:rPr>
          <w:iCs/>
          <w:lang w:val="ro-RO"/>
        </w:rPr>
        <w:t xml:space="preserve"> și </w:t>
      </w:r>
      <w:r w:rsidR="001D30D9" w:rsidRPr="00857CDA">
        <w:rPr>
          <w:iCs/>
          <w:lang w:val="ro-RO"/>
        </w:rPr>
        <w:t>s</w:t>
      </w:r>
      <w:r w:rsidR="00902C44" w:rsidRPr="00857CDA">
        <w:rPr>
          <w:iCs/>
          <w:lang w:val="ro-RO"/>
        </w:rPr>
        <w:t>e modifică</w:t>
      </w:r>
      <w:r w:rsidRPr="00857CDA">
        <w:rPr>
          <w:iCs/>
          <w:lang w:val="ro-RO"/>
        </w:rPr>
        <w:t xml:space="preserve"> </w:t>
      </w:r>
      <w:r w:rsidR="00FE5FC3" w:rsidRPr="00857CDA">
        <w:rPr>
          <w:lang w:val="ro-RO"/>
        </w:rPr>
        <w:t>„</w:t>
      </w:r>
      <w:r w:rsidR="001D30D9" w:rsidRPr="00857CDA">
        <w:rPr>
          <w:lang w:val="ro-RO"/>
        </w:rPr>
        <w:t>sau ale fiecărui container</w:t>
      </w:r>
      <w:r w:rsidR="00660131" w:rsidRPr="00857CDA">
        <w:rPr>
          <w:iCs/>
          <w:lang w:val="ro-RO"/>
        </w:rPr>
        <w:t>”</w:t>
      </w:r>
      <w:r w:rsidR="00902C44" w:rsidRPr="00857CDA">
        <w:rPr>
          <w:iCs/>
          <w:lang w:val="ro-RO"/>
        </w:rPr>
        <w:t xml:space="preserve"> cu </w:t>
      </w:r>
      <w:r w:rsidR="00FE5FC3" w:rsidRPr="00857CDA">
        <w:rPr>
          <w:lang w:val="ro-RO"/>
        </w:rPr>
        <w:t>„</w:t>
      </w:r>
      <w:r w:rsidR="00FE5FC3" w:rsidRPr="00857CDA">
        <w:rPr>
          <w:iCs/>
          <w:lang w:val="ro-RO"/>
        </w:rPr>
        <w:t xml:space="preserve"> </w:t>
      </w:r>
      <w:r w:rsidRPr="00857CDA">
        <w:rPr>
          <w:iCs/>
          <w:lang w:val="ro-RO"/>
        </w:rPr>
        <w:t xml:space="preserve">, </w:t>
      </w:r>
      <w:r w:rsidR="001D30D9" w:rsidRPr="00857CDA">
        <w:rPr>
          <w:iCs/>
          <w:lang w:val="ro-RO"/>
        </w:rPr>
        <w:t>fiecărui container sau fiecărui container pentru vrac</w:t>
      </w:r>
      <w:r w:rsidR="00660131" w:rsidRPr="00857CDA">
        <w:rPr>
          <w:iCs/>
          <w:lang w:val="ro-RO"/>
        </w:rPr>
        <w:t>”</w:t>
      </w:r>
      <w:r w:rsidRPr="00857CDA">
        <w:rPr>
          <w:iCs/>
          <w:lang w:val="ro-RO"/>
        </w:rPr>
        <w:t>.</w:t>
      </w:r>
      <w:r w:rsidR="00FE5FC3" w:rsidRPr="00857CDA">
        <w:rPr>
          <w:iCs/>
          <w:lang w:val="ro-RO"/>
        </w:rPr>
        <w:t xml:space="preserve"> </w:t>
      </w:r>
      <w:r w:rsidR="00902C44" w:rsidRPr="00857CDA">
        <w:rPr>
          <w:iCs/>
          <w:lang w:val="ro-RO"/>
        </w:rPr>
        <w:t xml:space="preserve">În </w:t>
      </w:r>
      <w:r w:rsidR="00970E20" w:rsidRPr="00857CDA">
        <w:rPr>
          <w:iCs/>
          <w:lang w:val="ro-RO"/>
        </w:rPr>
        <w:t>a doua frază</w:t>
      </w:r>
      <w:r w:rsidRPr="00857CDA">
        <w:rPr>
          <w:iCs/>
          <w:lang w:val="ro-RO"/>
        </w:rPr>
        <w:t xml:space="preserve">, </w:t>
      </w:r>
      <w:r w:rsidR="001D30D9" w:rsidRPr="00857CDA">
        <w:rPr>
          <w:iCs/>
          <w:lang w:val="ro-RO"/>
        </w:rPr>
        <w:t>s</w:t>
      </w:r>
      <w:r w:rsidR="00902C44" w:rsidRPr="00857CDA">
        <w:rPr>
          <w:iCs/>
          <w:lang w:val="ro-RO"/>
        </w:rPr>
        <w:t>e modifică</w:t>
      </w:r>
      <w:r w:rsidRPr="00857CDA">
        <w:rPr>
          <w:iCs/>
          <w:lang w:val="ro-RO"/>
        </w:rPr>
        <w:t xml:space="preserve"> </w:t>
      </w:r>
      <w:r w:rsidR="00FE5FC3" w:rsidRPr="00857CDA">
        <w:rPr>
          <w:lang w:val="ro-RO"/>
        </w:rPr>
        <w:t>„</w:t>
      </w:r>
      <w:r w:rsidR="001D30D9" w:rsidRPr="00857CDA">
        <w:rPr>
          <w:iCs/>
          <w:lang w:val="ro-RO"/>
        </w:rPr>
        <w:t>sa</w:t>
      </w:r>
      <w:r w:rsidRPr="00857CDA">
        <w:rPr>
          <w:iCs/>
          <w:lang w:val="ro-RO"/>
        </w:rPr>
        <w:t xml:space="preserve">u </w:t>
      </w:r>
      <w:r w:rsidR="001D30D9" w:rsidRPr="00857CDA">
        <w:rPr>
          <w:iCs/>
          <w:lang w:val="ro-RO"/>
        </w:rPr>
        <w:t>î</w:t>
      </w:r>
      <w:r w:rsidR="00902C44" w:rsidRPr="00857CDA">
        <w:rPr>
          <w:iCs/>
          <w:lang w:val="ro-RO"/>
        </w:rPr>
        <w:t xml:space="preserve">n </w:t>
      </w:r>
      <w:r w:rsidRPr="00857CDA">
        <w:rPr>
          <w:iCs/>
          <w:lang w:val="ro-RO"/>
        </w:rPr>
        <w:t>cont</w:t>
      </w:r>
      <w:r w:rsidR="001D30D9" w:rsidRPr="00857CDA">
        <w:rPr>
          <w:iCs/>
          <w:lang w:val="ro-RO"/>
        </w:rPr>
        <w:t>ainer</w:t>
      </w:r>
      <w:r w:rsidR="00660131" w:rsidRPr="00857CDA">
        <w:rPr>
          <w:iCs/>
          <w:lang w:val="ro-RO"/>
        </w:rPr>
        <w:t>”</w:t>
      </w:r>
      <w:r w:rsidRPr="00857CDA">
        <w:rPr>
          <w:iCs/>
          <w:lang w:val="ro-RO"/>
        </w:rPr>
        <w:t xml:space="preserve"> (pr</w:t>
      </w:r>
      <w:r w:rsidR="001D30D9" w:rsidRPr="00857CDA">
        <w:rPr>
          <w:iCs/>
          <w:lang w:val="ro-RO"/>
        </w:rPr>
        <w:t>i</w:t>
      </w:r>
      <w:r w:rsidRPr="00857CDA">
        <w:rPr>
          <w:iCs/>
          <w:lang w:val="ro-RO"/>
        </w:rPr>
        <w:t>m</w:t>
      </w:r>
      <w:r w:rsidR="001D30D9" w:rsidRPr="00857CDA">
        <w:rPr>
          <w:iCs/>
          <w:lang w:val="ro-RO"/>
        </w:rPr>
        <w:t>a</w:t>
      </w:r>
      <w:r w:rsidRPr="00857CDA">
        <w:rPr>
          <w:iCs/>
          <w:lang w:val="ro-RO"/>
        </w:rPr>
        <w:t xml:space="preserve"> men</w:t>
      </w:r>
      <w:r w:rsidR="001D30D9" w:rsidRPr="00857CDA">
        <w:rPr>
          <w:iCs/>
          <w:lang w:val="ro-RO"/>
        </w:rPr>
        <w:t>ționare</w:t>
      </w:r>
      <w:r w:rsidRPr="00857CDA">
        <w:rPr>
          <w:iCs/>
          <w:lang w:val="ro-RO"/>
        </w:rPr>
        <w:t>)</w:t>
      </w:r>
      <w:r w:rsidR="00902C44" w:rsidRPr="00857CDA">
        <w:rPr>
          <w:iCs/>
          <w:lang w:val="ro-RO"/>
        </w:rPr>
        <w:t xml:space="preserve"> cu </w:t>
      </w:r>
      <w:r w:rsidR="00FE5FC3" w:rsidRPr="00857CDA">
        <w:rPr>
          <w:lang w:val="ro-RO"/>
        </w:rPr>
        <w:t>„</w:t>
      </w:r>
      <w:r w:rsidR="00FE5FC3" w:rsidRPr="00857CDA">
        <w:rPr>
          <w:iCs/>
          <w:lang w:val="ro-RO"/>
        </w:rPr>
        <w:t xml:space="preserve"> </w:t>
      </w:r>
      <w:r w:rsidRPr="00857CDA">
        <w:rPr>
          <w:iCs/>
          <w:lang w:val="ro-RO"/>
        </w:rPr>
        <w:t xml:space="preserve">, </w:t>
      </w:r>
      <w:r w:rsidR="00FE5FC3" w:rsidRPr="00857CDA">
        <w:rPr>
          <w:iCs/>
          <w:lang w:val="ro-RO"/>
        </w:rPr>
        <w:t>î</w:t>
      </w:r>
      <w:r w:rsidR="00902C44" w:rsidRPr="00857CDA">
        <w:rPr>
          <w:iCs/>
          <w:lang w:val="ro-RO"/>
        </w:rPr>
        <w:t xml:space="preserve">n </w:t>
      </w:r>
      <w:r w:rsidRPr="00857CDA">
        <w:rPr>
          <w:iCs/>
          <w:lang w:val="ro-RO"/>
        </w:rPr>
        <w:t>cont</w:t>
      </w:r>
      <w:r w:rsidR="00A439C3" w:rsidRPr="00857CDA">
        <w:rPr>
          <w:iCs/>
          <w:lang w:val="ro-RO"/>
        </w:rPr>
        <w:t>ainer</w:t>
      </w:r>
      <w:r w:rsidR="00661C61">
        <w:rPr>
          <w:iCs/>
          <w:lang w:val="ro-RO"/>
        </w:rPr>
        <w:t xml:space="preserve"> ori</w:t>
      </w:r>
      <w:r w:rsidRPr="00857CDA">
        <w:rPr>
          <w:iCs/>
          <w:lang w:val="ro-RO"/>
        </w:rPr>
        <w:t xml:space="preserve"> </w:t>
      </w:r>
      <w:r w:rsidR="00FE5FC3" w:rsidRPr="00857CDA">
        <w:rPr>
          <w:iCs/>
          <w:lang w:val="ro-RO"/>
        </w:rPr>
        <w:t>î</w:t>
      </w:r>
      <w:r w:rsidR="00902C44" w:rsidRPr="00857CDA">
        <w:rPr>
          <w:iCs/>
          <w:lang w:val="ro-RO"/>
        </w:rPr>
        <w:t xml:space="preserve">n </w:t>
      </w:r>
      <w:r w:rsidRPr="00857CDA">
        <w:rPr>
          <w:iCs/>
          <w:lang w:val="ro-RO"/>
        </w:rPr>
        <w:t>cont</w:t>
      </w:r>
      <w:r w:rsidR="00A439C3" w:rsidRPr="00857CDA">
        <w:rPr>
          <w:iCs/>
          <w:lang w:val="ro-RO"/>
        </w:rPr>
        <w:t>ainerul</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Pr="00857CDA">
        <w:rPr>
          <w:iCs/>
          <w:lang w:val="ro-RO"/>
        </w:rPr>
        <w:t>.</w:t>
      </w:r>
    </w:p>
    <w:p w:rsidR="00530783" w:rsidRPr="00857CDA" w:rsidRDefault="00530783" w:rsidP="00530783">
      <w:pPr>
        <w:pStyle w:val="SingleTxtG"/>
        <w:rPr>
          <w:iCs/>
          <w:lang w:val="ro-RO"/>
        </w:rPr>
      </w:pPr>
      <w:r w:rsidRPr="00857CDA">
        <w:rPr>
          <w:iCs/>
          <w:lang w:val="ro-RO"/>
        </w:rPr>
        <w:t>5.3.2.1.5</w:t>
      </w:r>
      <w:r w:rsidRPr="00857CDA">
        <w:rPr>
          <w:iCs/>
          <w:lang w:val="ro-RO"/>
        </w:rPr>
        <w:tab/>
      </w:r>
      <w:r w:rsidR="00991390" w:rsidRPr="00857CDA">
        <w:rPr>
          <w:iCs/>
          <w:lang w:val="ro-RO"/>
        </w:rPr>
        <w:t>După</w:t>
      </w:r>
      <w:r w:rsidRPr="00857CDA">
        <w:rPr>
          <w:iCs/>
          <w:lang w:val="ro-RO"/>
        </w:rPr>
        <w:t xml:space="preserve"> </w:t>
      </w:r>
      <w:r w:rsidR="00FE5FC3" w:rsidRPr="00857CDA">
        <w:rPr>
          <w:lang w:val="ro-RO"/>
        </w:rPr>
        <w:t>„</w:t>
      </w:r>
      <w:r w:rsidRPr="00857CDA">
        <w:rPr>
          <w:iCs/>
          <w:lang w:val="ro-RO"/>
        </w:rPr>
        <w:t>cont</w:t>
      </w:r>
      <w:r w:rsidR="00A439C3" w:rsidRPr="00857CDA">
        <w:rPr>
          <w:iCs/>
          <w:lang w:val="ro-RO"/>
        </w:rPr>
        <w:t>ainere</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FE5FC3" w:rsidRPr="00857CDA">
        <w:rPr>
          <w:lang w:val="ro-RO"/>
        </w:rPr>
        <w:t>„</w:t>
      </w:r>
      <w:r w:rsidRPr="00857CDA">
        <w:rPr>
          <w:iCs/>
          <w:lang w:val="ro-RO"/>
        </w:rPr>
        <w:t>cont</w:t>
      </w:r>
      <w:r w:rsidR="00A439C3" w:rsidRPr="00857CDA">
        <w:rPr>
          <w:iCs/>
          <w:lang w:val="ro-RO"/>
        </w:rPr>
        <w:t>ainere</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Pr="00857CDA">
        <w:rPr>
          <w:iCs/>
          <w:lang w:val="ro-RO"/>
        </w:rPr>
        <w:t>.</w:t>
      </w:r>
    </w:p>
    <w:p w:rsidR="000706F2" w:rsidRPr="00857CDA" w:rsidRDefault="000706F2" w:rsidP="00196C06">
      <w:pPr>
        <w:pStyle w:val="SingleTxtG"/>
        <w:rPr>
          <w:iCs/>
          <w:lang w:val="ro-RO"/>
        </w:rPr>
      </w:pPr>
      <w:r w:rsidRPr="00857CDA">
        <w:rPr>
          <w:iCs/>
          <w:lang w:val="ro-RO"/>
        </w:rPr>
        <w:t>5.3.2.3.2</w:t>
      </w:r>
      <w:r w:rsidRPr="00857CDA">
        <w:rPr>
          <w:iCs/>
          <w:lang w:val="ro-RO"/>
        </w:rPr>
        <w:tab/>
      </w:r>
      <w:r w:rsidR="00991390" w:rsidRPr="00857CDA">
        <w:rPr>
          <w:iCs/>
          <w:lang w:val="ro-RO"/>
        </w:rPr>
        <w:t>Pentru</w:t>
      </w:r>
      <w:r w:rsidRPr="00857CDA">
        <w:rPr>
          <w:iCs/>
          <w:lang w:val="ro-RO"/>
        </w:rPr>
        <w:t xml:space="preserve"> num</w:t>
      </w:r>
      <w:r w:rsidR="00A439C3" w:rsidRPr="00857CDA">
        <w:rPr>
          <w:iCs/>
          <w:lang w:val="ro-RO"/>
        </w:rPr>
        <w:t>ărul</w:t>
      </w:r>
      <w:r w:rsidRPr="00857CDA">
        <w:rPr>
          <w:iCs/>
          <w:lang w:val="ro-RO"/>
        </w:rPr>
        <w:t xml:space="preserve"> d</w:t>
      </w:r>
      <w:r w:rsidR="00A439C3" w:rsidRPr="00857CDA">
        <w:rPr>
          <w:iCs/>
          <w:lang w:val="ro-RO"/>
        </w:rPr>
        <w:t xml:space="preserve">e </w:t>
      </w:r>
      <w:r w:rsidRPr="00857CDA">
        <w:rPr>
          <w:iCs/>
          <w:lang w:val="ro-RO"/>
        </w:rPr>
        <w:t>identifica</w:t>
      </w:r>
      <w:r w:rsidR="00A439C3" w:rsidRPr="00857CDA">
        <w:rPr>
          <w:iCs/>
          <w:lang w:val="ro-RO"/>
        </w:rPr>
        <w:t>re a</w:t>
      </w:r>
      <w:r w:rsidRPr="00857CDA">
        <w:rPr>
          <w:iCs/>
          <w:lang w:val="ro-RO"/>
        </w:rPr>
        <w:t xml:space="preserve"> </w:t>
      </w:r>
      <w:r w:rsidR="002B679C" w:rsidRPr="00857CDA">
        <w:rPr>
          <w:iCs/>
          <w:lang w:val="ro-RO"/>
        </w:rPr>
        <w:t>pericol</w:t>
      </w:r>
      <w:r w:rsidR="00A439C3" w:rsidRPr="00857CDA">
        <w:rPr>
          <w:iCs/>
          <w:lang w:val="ro-RO"/>
        </w:rPr>
        <w:t>ului</w:t>
      </w:r>
      <w:r w:rsidRPr="00857CDA">
        <w:rPr>
          <w:iCs/>
          <w:lang w:val="ro-RO"/>
        </w:rPr>
        <w:t xml:space="preserve"> </w:t>
      </w:r>
      <w:r w:rsidR="00FE5FC3" w:rsidRPr="00857CDA">
        <w:rPr>
          <w:lang w:val="ro-RO"/>
        </w:rPr>
        <w:t>„</w:t>
      </w:r>
      <w:r w:rsidRPr="00857CDA">
        <w:rPr>
          <w:iCs/>
          <w:lang w:val="ro-RO"/>
        </w:rPr>
        <w:t>20</w:t>
      </w:r>
      <w:r w:rsidR="00660131" w:rsidRPr="00857CDA">
        <w:rPr>
          <w:iCs/>
          <w:lang w:val="ro-RO"/>
        </w:rPr>
        <w:t>”</w:t>
      </w:r>
      <w:r w:rsidRPr="00857CDA">
        <w:rPr>
          <w:iCs/>
          <w:lang w:val="ro-RO"/>
        </w:rPr>
        <w:t xml:space="preserve">, </w:t>
      </w:r>
      <w:r w:rsidR="00A439C3" w:rsidRPr="00857CDA">
        <w:rPr>
          <w:iCs/>
          <w:lang w:val="ro-RO"/>
        </w:rPr>
        <w:t>s</w:t>
      </w:r>
      <w:r w:rsidR="00902C44" w:rsidRPr="00857CDA">
        <w:rPr>
          <w:iCs/>
          <w:lang w:val="ro-RO"/>
        </w:rPr>
        <w:t>e modifică</w:t>
      </w:r>
      <w:r w:rsidRPr="00857CDA">
        <w:rPr>
          <w:iCs/>
          <w:lang w:val="ro-RO"/>
        </w:rPr>
        <w:t xml:space="preserve"> </w:t>
      </w:r>
      <w:r w:rsidR="00FE5FC3" w:rsidRPr="00857CDA">
        <w:rPr>
          <w:lang w:val="ro-RO"/>
        </w:rPr>
        <w:t>„</w:t>
      </w:r>
      <w:r w:rsidR="002B679C" w:rsidRPr="00857CDA">
        <w:rPr>
          <w:iCs/>
          <w:lang w:val="ro-RO"/>
        </w:rPr>
        <w:t>risc</w:t>
      </w:r>
      <w:r w:rsidR="00A439C3" w:rsidRPr="00857CDA">
        <w:rPr>
          <w:iCs/>
          <w:lang w:val="ro-RO"/>
        </w:rPr>
        <w:t>uri secundare</w:t>
      </w:r>
      <w:r w:rsidR="00660131" w:rsidRPr="00857CDA">
        <w:rPr>
          <w:iCs/>
          <w:lang w:val="ro-RO"/>
        </w:rPr>
        <w:t>”</w:t>
      </w:r>
      <w:r w:rsidR="00902C44" w:rsidRPr="00857CDA">
        <w:rPr>
          <w:iCs/>
          <w:lang w:val="ro-RO"/>
        </w:rPr>
        <w:t xml:space="preserve"> cu </w:t>
      </w:r>
      <w:r w:rsidR="00FE5FC3" w:rsidRPr="00857CDA">
        <w:rPr>
          <w:lang w:val="ro-RO"/>
        </w:rPr>
        <w:t>„</w:t>
      </w:r>
      <w:r w:rsidR="002B679C" w:rsidRPr="00857CDA">
        <w:rPr>
          <w:iCs/>
          <w:lang w:val="ro-RO"/>
        </w:rPr>
        <w:t>pericol</w:t>
      </w:r>
      <w:r w:rsidR="00A439C3" w:rsidRPr="00857CDA">
        <w:rPr>
          <w:iCs/>
          <w:lang w:val="ro-RO"/>
        </w:rPr>
        <w:t xml:space="preserve"> secundar</w:t>
      </w:r>
      <w:r w:rsidR="00660131" w:rsidRPr="00857CDA">
        <w:rPr>
          <w:iCs/>
          <w:lang w:val="ro-RO"/>
        </w:rPr>
        <w:t>”</w:t>
      </w:r>
      <w:r w:rsidRPr="00857CDA">
        <w:rPr>
          <w:iCs/>
          <w:lang w:val="ro-RO"/>
        </w:rPr>
        <w:t>.</w:t>
      </w:r>
    </w:p>
    <w:p w:rsidR="000B1500" w:rsidRPr="00857CDA" w:rsidRDefault="000B1500" w:rsidP="000B1500">
      <w:pPr>
        <w:pStyle w:val="SingleTxtG"/>
        <w:rPr>
          <w:lang w:val="ro-RO"/>
        </w:rPr>
      </w:pPr>
      <w:r w:rsidRPr="00857CDA">
        <w:rPr>
          <w:lang w:val="ro-RO"/>
        </w:rPr>
        <w:t>5.3.3</w:t>
      </w:r>
      <w:r w:rsidRPr="00857CDA">
        <w:rPr>
          <w:lang w:val="ro-RO"/>
        </w:rPr>
        <w:tab/>
      </w:r>
      <w:r w:rsidR="00902C44" w:rsidRPr="00857CDA">
        <w:rPr>
          <w:lang w:val="ro-RO"/>
        </w:rPr>
        <w:t>Se adaugă</w:t>
      </w:r>
      <w:r w:rsidRPr="00857CDA">
        <w:rPr>
          <w:lang w:val="ro-RO"/>
        </w:rPr>
        <w:t xml:space="preserve"> </w:t>
      </w:r>
      <w:r w:rsidR="00970E20" w:rsidRPr="00857CDA">
        <w:rPr>
          <w:lang w:val="ro-RO"/>
        </w:rPr>
        <w:t>fraz</w:t>
      </w:r>
      <w:r w:rsidR="00A439C3" w:rsidRPr="00857CDA">
        <w:rPr>
          <w:lang w:val="ro-RO"/>
        </w:rPr>
        <w:t>a următoare</w:t>
      </w:r>
      <w:r w:rsidRPr="00857CDA">
        <w:rPr>
          <w:lang w:val="ro-RO"/>
        </w:rPr>
        <w:t xml:space="preserve"> la </w:t>
      </w:r>
      <w:r w:rsidR="00A439C3" w:rsidRPr="00857CDA">
        <w:rPr>
          <w:lang w:val="ro-RO"/>
        </w:rPr>
        <w:t>s</w:t>
      </w:r>
      <w:r w:rsidRPr="00857CDA">
        <w:rPr>
          <w:lang w:val="ro-RO"/>
        </w:rPr>
        <w:t>f</w:t>
      </w:r>
      <w:r w:rsidR="00A439C3" w:rsidRPr="00857CDA">
        <w:rPr>
          <w:lang w:val="ro-RO"/>
        </w:rPr>
        <w:t>ârșitul celui de al doilea</w:t>
      </w:r>
      <w:r w:rsidRPr="00857CDA">
        <w:rPr>
          <w:lang w:val="ro-RO"/>
        </w:rPr>
        <w:t xml:space="preserve"> </w:t>
      </w:r>
      <w:r w:rsidR="00970E20" w:rsidRPr="00857CDA">
        <w:rPr>
          <w:lang w:val="ro-RO"/>
        </w:rPr>
        <w:t>paragraf</w:t>
      </w:r>
      <w:r w:rsidRPr="00857CDA">
        <w:rPr>
          <w:lang w:val="ro-RO"/>
        </w:rPr>
        <w:t xml:space="preserve">: </w:t>
      </w:r>
      <w:r w:rsidR="00FE5FC3" w:rsidRPr="00857CDA">
        <w:rPr>
          <w:lang w:val="ro-RO"/>
        </w:rPr>
        <w:t>„</w:t>
      </w:r>
      <w:r w:rsidR="00A439C3" w:rsidRPr="00857CDA">
        <w:rPr>
          <w:lang w:val="ro-RO"/>
        </w:rPr>
        <w:t>Marca trebuie</w:t>
      </w:r>
      <w:r w:rsidRPr="00857CDA">
        <w:rPr>
          <w:lang w:val="ro-RO"/>
        </w:rPr>
        <w:t xml:space="preserve"> </w:t>
      </w:r>
      <w:r w:rsidR="00A439C3" w:rsidRPr="00857CDA">
        <w:rPr>
          <w:lang w:val="ro-RO"/>
        </w:rPr>
        <w:t>să reziste la</w:t>
      </w:r>
      <w:r w:rsidRPr="00857CDA">
        <w:rPr>
          <w:lang w:val="ro-RO"/>
        </w:rPr>
        <w:t xml:space="preserve"> intemp</w:t>
      </w:r>
      <w:r w:rsidR="00A439C3" w:rsidRPr="00857CDA">
        <w:rPr>
          <w:lang w:val="ro-RO"/>
        </w:rPr>
        <w:t>e</w:t>
      </w:r>
      <w:r w:rsidRPr="00857CDA">
        <w:rPr>
          <w:lang w:val="ro-RO"/>
        </w:rPr>
        <w:t>ri</w:t>
      </w:r>
      <w:r w:rsidR="00A439C3" w:rsidRPr="00857CDA">
        <w:rPr>
          <w:lang w:val="ro-RO"/>
        </w:rPr>
        <w:t>i</w:t>
      </w:r>
      <w:r w:rsidR="004C27AD" w:rsidRPr="00857CDA">
        <w:rPr>
          <w:lang w:val="ro-RO"/>
        </w:rPr>
        <w:t xml:space="preserve"> și </w:t>
      </w:r>
      <w:r w:rsidR="00A439C3" w:rsidRPr="00857CDA">
        <w:rPr>
          <w:lang w:val="ro-RO"/>
        </w:rPr>
        <w:t>trebuie să asigure marcarea</w:t>
      </w:r>
      <w:r w:rsidRPr="00857CDA">
        <w:rPr>
          <w:lang w:val="ro-RO"/>
        </w:rPr>
        <w:t xml:space="preserve"> </w:t>
      </w:r>
      <w:r w:rsidR="00A439C3" w:rsidRPr="00857CDA">
        <w:rPr>
          <w:lang w:val="ro-RO"/>
        </w:rPr>
        <w:t>pe întreaga durată a transportului</w:t>
      </w:r>
      <w:r w:rsidRPr="00857CDA">
        <w:rPr>
          <w:lang w:val="ro-RO"/>
        </w:rPr>
        <w:t>.</w:t>
      </w:r>
      <w:r w:rsidR="00660131" w:rsidRPr="00857CDA">
        <w:rPr>
          <w:lang w:val="ro-RO"/>
        </w:rPr>
        <w:t>”</w:t>
      </w:r>
      <w:r w:rsidRPr="00857CDA">
        <w:rPr>
          <w:lang w:val="ro-RO"/>
        </w:rPr>
        <w:t>.</w:t>
      </w:r>
    </w:p>
    <w:p w:rsidR="00196C06" w:rsidRPr="00857CDA" w:rsidRDefault="000706F2" w:rsidP="003567B8">
      <w:pPr>
        <w:pStyle w:val="SingleTxtG"/>
        <w:rPr>
          <w:iCs/>
          <w:lang w:val="ro-RO"/>
        </w:rPr>
      </w:pPr>
      <w:r w:rsidRPr="00857CDA">
        <w:rPr>
          <w:iCs/>
          <w:lang w:val="ro-RO"/>
        </w:rPr>
        <w:t>5.3.6.1</w:t>
      </w:r>
      <w:r w:rsidR="004C27AD" w:rsidRPr="00857CDA">
        <w:rPr>
          <w:iCs/>
          <w:lang w:val="ro-RO"/>
        </w:rPr>
        <w:t xml:space="preserve"> și </w:t>
      </w:r>
      <w:r w:rsidRPr="00857CDA">
        <w:rPr>
          <w:iCs/>
          <w:lang w:val="ro-RO"/>
        </w:rPr>
        <w:t>5.3.6.2</w:t>
      </w:r>
      <w:r w:rsidRPr="00857CDA">
        <w:rPr>
          <w:iCs/>
          <w:lang w:val="ro-RO"/>
        </w:rPr>
        <w:tab/>
      </w:r>
      <w:r w:rsidR="00991390" w:rsidRPr="00857CDA">
        <w:rPr>
          <w:iCs/>
          <w:lang w:val="ro-RO"/>
        </w:rPr>
        <w:t>După</w:t>
      </w:r>
      <w:r w:rsidRPr="00857CDA">
        <w:rPr>
          <w:iCs/>
          <w:lang w:val="ro-RO"/>
        </w:rPr>
        <w:t xml:space="preserve"> </w:t>
      </w:r>
      <w:r w:rsidR="00FE5FC3" w:rsidRPr="00857CDA">
        <w:rPr>
          <w:lang w:val="ro-RO"/>
        </w:rPr>
        <w:t>„</w:t>
      </w:r>
      <w:r w:rsidR="005D50BF" w:rsidRPr="00857CDA">
        <w:rPr>
          <w:iCs/>
          <w:lang w:val="ro-RO"/>
        </w:rPr>
        <w:t>containerele</w:t>
      </w:r>
      <w:r w:rsidRPr="00857CDA">
        <w:rPr>
          <w:iCs/>
          <w:lang w:val="ro-RO"/>
        </w:rPr>
        <w:t>,</w:t>
      </w:r>
      <w:r w:rsidR="00660131" w:rsidRPr="00857CDA">
        <w:rPr>
          <w:iCs/>
          <w:lang w:val="ro-RO"/>
        </w:rPr>
        <w:t>”</w:t>
      </w:r>
      <w:r w:rsidRPr="00857CDA">
        <w:rPr>
          <w:iCs/>
          <w:lang w:val="ro-RO"/>
        </w:rPr>
        <w:t xml:space="preserve"> </w:t>
      </w:r>
      <w:r w:rsidR="00902C44" w:rsidRPr="00857CDA">
        <w:rPr>
          <w:iCs/>
          <w:lang w:val="ro-RO"/>
        </w:rPr>
        <w:t>se adaugă</w:t>
      </w:r>
      <w:r w:rsidRPr="00857CDA">
        <w:rPr>
          <w:iCs/>
          <w:lang w:val="ro-RO"/>
        </w:rPr>
        <w:t xml:space="preserve"> </w:t>
      </w:r>
      <w:r w:rsidR="00FE5FC3" w:rsidRPr="00857CDA">
        <w:rPr>
          <w:lang w:val="ro-RO"/>
        </w:rPr>
        <w:t>„</w:t>
      </w:r>
      <w:r w:rsidRPr="00857CDA">
        <w:rPr>
          <w:iCs/>
          <w:lang w:val="ro-RO"/>
        </w:rPr>
        <w:t>cont</w:t>
      </w:r>
      <w:r w:rsidR="005D50BF" w:rsidRPr="00857CDA">
        <w:rPr>
          <w:iCs/>
          <w:lang w:val="ro-RO"/>
        </w:rPr>
        <w:t>ainerele</w:t>
      </w:r>
      <w:r w:rsidRPr="00857CDA">
        <w:rPr>
          <w:iCs/>
          <w:lang w:val="ro-RO"/>
        </w:rPr>
        <w:t xml:space="preserve"> </w:t>
      </w:r>
      <w:r w:rsidR="00991390" w:rsidRPr="00857CDA">
        <w:rPr>
          <w:iCs/>
          <w:lang w:val="ro-RO"/>
        </w:rPr>
        <w:t>pentru</w:t>
      </w:r>
      <w:r w:rsidRPr="00857CDA">
        <w:rPr>
          <w:iCs/>
          <w:lang w:val="ro-RO"/>
        </w:rPr>
        <w:t xml:space="preserve"> vrac,</w:t>
      </w:r>
      <w:r w:rsidR="00660131" w:rsidRPr="00857CDA">
        <w:rPr>
          <w:iCs/>
          <w:lang w:val="ro-RO"/>
        </w:rPr>
        <w:t>”</w:t>
      </w:r>
      <w:r w:rsidRPr="00857CDA">
        <w:rPr>
          <w:iCs/>
          <w:lang w:val="ro-RO"/>
        </w:rPr>
        <w:t>.</w:t>
      </w:r>
    </w:p>
    <w:p w:rsidR="000B1500" w:rsidRPr="00857CDA" w:rsidRDefault="000B1500" w:rsidP="000B1500">
      <w:pPr>
        <w:pStyle w:val="SingleTxtG"/>
        <w:rPr>
          <w:lang w:val="ro-RO"/>
        </w:rPr>
      </w:pPr>
      <w:r w:rsidRPr="00857CDA">
        <w:rPr>
          <w:lang w:val="ro-RO"/>
        </w:rPr>
        <w:t>5.3.6.1</w:t>
      </w:r>
      <w:r w:rsidRPr="00857CDA">
        <w:rPr>
          <w:lang w:val="ro-RO"/>
        </w:rPr>
        <w:tab/>
      </w:r>
      <w:r w:rsidRPr="00857CDA">
        <w:rPr>
          <w:lang w:val="ro-RO"/>
        </w:rPr>
        <w:tab/>
      </w:r>
      <w:r w:rsidR="00902C44" w:rsidRPr="00857CDA">
        <w:rPr>
          <w:lang w:val="ro-RO"/>
        </w:rPr>
        <w:t>Se adaugă</w:t>
      </w:r>
      <w:r w:rsidRPr="00857CDA">
        <w:rPr>
          <w:lang w:val="ro-RO"/>
        </w:rPr>
        <w:t xml:space="preserve"> </w:t>
      </w:r>
      <w:r w:rsidR="005D50BF" w:rsidRPr="00857CDA">
        <w:rPr>
          <w:lang w:val="ro-RO"/>
        </w:rPr>
        <w:t>o</w:t>
      </w:r>
      <w:r w:rsidRPr="00857CDA">
        <w:rPr>
          <w:lang w:val="ro-RO"/>
        </w:rPr>
        <w:t xml:space="preserve"> nou</w:t>
      </w:r>
      <w:r w:rsidR="005D50BF" w:rsidRPr="00857CDA">
        <w:rPr>
          <w:lang w:val="ro-RO"/>
        </w:rPr>
        <w:t>ă</w:t>
      </w:r>
      <w:r w:rsidRPr="00857CDA">
        <w:rPr>
          <w:lang w:val="ro-RO"/>
        </w:rPr>
        <w:t xml:space="preserve"> </w:t>
      </w:r>
      <w:r w:rsidR="00970E20" w:rsidRPr="00857CDA">
        <w:rPr>
          <w:lang w:val="ro-RO"/>
        </w:rPr>
        <w:t>frază</w:t>
      </w:r>
      <w:r w:rsidR="005D50BF" w:rsidRPr="00857CDA">
        <w:rPr>
          <w:lang w:val="ro-RO"/>
        </w:rPr>
        <w:t xml:space="preserve"> la final, după cum urmează</w:t>
      </w:r>
      <w:r w:rsidR="00091658" w:rsidRPr="00857CDA">
        <w:rPr>
          <w:lang w:val="ro-RO"/>
        </w:rPr>
        <w:t>:</w:t>
      </w:r>
      <w:r w:rsidRPr="00857CDA">
        <w:rPr>
          <w:lang w:val="ro-RO"/>
        </w:rPr>
        <w:t xml:space="preserve"> </w:t>
      </w:r>
      <w:r w:rsidR="00FE5FC3" w:rsidRPr="00857CDA">
        <w:rPr>
          <w:lang w:val="ro-RO"/>
        </w:rPr>
        <w:t>„</w:t>
      </w:r>
      <w:r w:rsidR="005D50BF" w:rsidRPr="00857CDA">
        <w:rPr>
          <w:lang w:val="ro-RO"/>
        </w:rPr>
        <w:t>Această prescripție nu se aplică</w:t>
      </w:r>
      <w:r w:rsidRPr="00857CDA">
        <w:rPr>
          <w:lang w:val="ro-RO"/>
        </w:rPr>
        <w:t xml:space="preserve"> excep</w:t>
      </w:r>
      <w:r w:rsidR="005D50BF" w:rsidRPr="00857CDA">
        <w:rPr>
          <w:lang w:val="ro-RO"/>
        </w:rPr>
        <w:t>țiilor</w:t>
      </w:r>
      <w:r w:rsidRPr="00857CDA">
        <w:rPr>
          <w:lang w:val="ro-RO"/>
        </w:rPr>
        <w:t xml:space="preserve"> pr</w:t>
      </w:r>
      <w:r w:rsidR="005D50BF" w:rsidRPr="00857CDA">
        <w:rPr>
          <w:lang w:val="ro-RO"/>
        </w:rPr>
        <w:t>evăzute la</w:t>
      </w:r>
      <w:r w:rsidRPr="00857CDA">
        <w:rPr>
          <w:lang w:val="ro-RO"/>
        </w:rPr>
        <w:t xml:space="preserve"> 5.2.1.8.1.</w:t>
      </w:r>
      <w:r w:rsidR="00660131" w:rsidRPr="00857CDA">
        <w:rPr>
          <w:lang w:val="ro-RO"/>
        </w:rPr>
        <w:t>”</w:t>
      </w:r>
      <w:r w:rsidRPr="00857CDA">
        <w:rPr>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5.4</w:t>
      </w:r>
    </w:p>
    <w:p w:rsidR="00196C06" w:rsidRPr="00857CDA" w:rsidRDefault="00306094" w:rsidP="00196C06">
      <w:pPr>
        <w:pStyle w:val="SingleTxtG"/>
        <w:rPr>
          <w:i/>
          <w:iCs/>
          <w:lang w:val="ro-RO"/>
        </w:rPr>
      </w:pPr>
      <w:r w:rsidRPr="00857CDA">
        <w:rPr>
          <w:lang w:val="ro-RO"/>
        </w:rPr>
        <w:t>5.4.1.1.1</w:t>
      </w:r>
      <w:r w:rsidR="00196C06" w:rsidRPr="00857CDA">
        <w:rPr>
          <w:lang w:val="ro-RO"/>
        </w:rPr>
        <w:t xml:space="preserve"> c)</w:t>
      </w:r>
      <w:r w:rsidR="00196C06" w:rsidRPr="00857CDA">
        <w:rPr>
          <w:lang w:val="ro-RO"/>
        </w:rPr>
        <w:tab/>
      </w:r>
      <w:r w:rsidR="00902C44" w:rsidRPr="00857CDA">
        <w:rPr>
          <w:lang w:val="ro-RO"/>
        </w:rPr>
        <w:t xml:space="preserve">În </w:t>
      </w:r>
      <w:r w:rsidRPr="00857CDA">
        <w:rPr>
          <w:lang w:val="ro-RO"/>
        </w:rPr>
        <w:t>Not</w:t>
      </w:r>
      <w:r w:rsidR="006B7C7E" w:rsidRPr="00857CDA">
        <w:rPr>
          <w:lang w:val="ro-RO"/>
        </w:rPr>
        <w:t>ă</w:t>
      </w:r>
      <w:r w:rsidRPr="00857CDA">
        <w:rPr>
          <w:lang w:val="ro-RO"/>
        </w:rPr>
        <w:t xml:space="preserve">, </w:t>
      </w:r>
      <w:r w:rsidR="006B7C7E" w:rsidRPr="00857CDA">
        <w:rPr>
          <w:lang w:val="ro-RO"/>
        </w:rPr>
        <w:t>s</w:t>
      </w:r>
      <w:r w:rsidR="00902C44" w:rsidRPr="00857CDA">
        <w:rPr>
          <w:lang w:val="ro-RO"/>
        </w:rPr>
        <w:t>e modifică</w:t>
      </w:r>
      <w:r w:rsidR="00196C06" w:rsidRPr="00857CDA">
        <w:rPr>
          <w:lang w:val="ro-RO"/>
        </w:rPr>
        <w:t xml:space="preserve"> </w:t>
      </w:r>
      <w:r w:rsidR="00FE5FC3"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E5FC3" w:rsidRPr="00857CDA">
        <w:rPr>
          <w:lang w:val="ro-RO"/>
        </w:rPr>
        <w:t>„</w:t>
      </w:r>
      <w:r w:rsidR="002B679C" w:rsidRPr="00857CDA">
        <w:rPr>
          <w:lang w:val="ro-RO"/>
        </w:rPr>
        <w:t>pericol</w:t>
      </w:r>
      <w:r w:rsidR="00660131" w:rsidRPr="00857CDA">
        <w:rPr>
          <w:lang w:val="ro-RO"/>
        </w:rPr>
        <w:t>”</w:t>
      </w:r>
      <w:r w:rsidR="00196C06" w:rsidRPr="00857CDA">
        <w:rPr>
          <w:lang w:val="ro-RO"/>
        </w:rPr>
        <w:t>.</w:t>
      </w:r>
    </w:p>
    <w:p w:rsidR="00196C06" w:rsidRPr="00857CDA" w:rsidRDefault="00306094" w:rsidP="00196C06">
      <w:pPr>
        <w:pStyle w:val="SingleTxtG"/>
        <w:rPr>
          <w:iCs/>
          <w:lang w:val="ro-RO"/>
        </w:rPr>
      </w:pPr>
      <w:r w:rsidRPr="00857CDA">
        <w:rPr>
          <w:lang w:val="ro-RO" w:eastAsia="en-GB"/>
        </w:rPr>
        <w:t>5.4.1.1.1</w:t>
      </w:r>
      <w:r w:rsidR="00196C06" w:rsidRPr="00857CDA">
        <w:rPr>
          <w:lang w:val="ro-RO" w:eastAsia="en-GB"/>
        </w:rPr>
        <w:t> d)</w:t>
      </w:r>
      <w:r w:rsidR="00196C06" w:rsidRPr="00857CDA">
        <w:rPr>
          <w:lang w:val="ro-RO" w:eastAsia="en-GB"/>
        </w:rPr>
        <w:tab/>
      </w:r>
      <w:r w:rsidR="00902C44" w:rsidRPr="00857CDA">
        <w:rPr>
          <w:lang w:val="ro-RO"/>
        </w:rPr>
        <w:t xml:space="preserve">În </w:t>
      </w:r>
      <w:r w:rsidRPr="00857CDA">
        <w:rPr>
          <w:lang w:val="ro-RO"/>
        </w:rPr>
        <w:t>Not</w:t>
      </w:r>
      <w:r w:rsidR="006B7C7E" w:rsidRPr="00857CDA">
        <w:rPr>
          <w:lang w:val="ro-RO"/>
        </w:rPr>
        <w:t>ă</w:t>
      </w:r>
      <w:r w:rsidRPr="00857CDA">
        <w:rPr>
          <w:lang w:val="ro-RO"/>
        </w:rPr>
        <w:t xml:space="preserve">, </w:t>
      </w:r>
      <w:r w:rsidR="006B7C7E" w:rsidRPr="00857CDA">
        <w:rPr>
          <w:lang w:val="ro-RO"/>
        </w:rPr>
        <w:t>s</w:t>
      </w:r>
      <w:r w:rsidR="00902C44" w:rsidRPr="00857CDA">
        <w:rPr>
          <w:lang w:val="ro-RO" w:eastAsia="en-GB"/>
        </w:rPr>
        <w:t>e modifică</w:t>
      </w:r>
      <w:r w:rsidR="00196C06" w:rsidRPr="00857CDA">
        <w:rPr>
          <w:lang w:val="ro-RO" w:eastAsia="en-GB"/>
        </w:rPr>
        <w:t xml:space="preserve"> </w:t>
      </w:r>
      <w:r w:rsidR="00FE5FC3" w:rsidRPr="00857CDA">
        <w:rPr>
          <w:lang w:val="ro-RO"/>
        </w:rPr>
        <w:t>„</w:t>
      </w:r>
      <w:r w:rsidR="002B679C" w:rsidRPr="00857CDA">
        <w:rPr>
          <w:lang w:val="ro-RO" w:eastAsia="en-GB"/>
        </w:rPr>
        <w:t>risc</w:t>
      </w:r>
      <w:r w:rsidR="00660131" w:rsidRPr="00857CDA">
        <w:rPr>
          <w:lang w:val="ro-RO"/>
        </w:rPr>
        <w:t>”</w:t>
      </w:r>
      <w:r w:rsidR="00902C44" w:rsidRPr="00857CDA">
        <w:rPr>
          <w:lang w:val="ro-RO" w:eastAsia="en-GB"/>
        </w:rPr>
        <w:t xml:space="preserve"> cu </w:t>
      </w:r>
      <w:r w:rsidR="00FE5FC3" w:rsidRPr="00857CDA">
        <w:rPr>
          <w:lang w:val="ro-RO"/>
        </w:rPr>
        <w:t>„</w:t>
      </w:r>
      <w:r w:rsidR="002B679C" w:rsidRPr="00857CDA">
        <w:rPr>
          <w:lang w:val="ro-RO" w:eastAsia="en-GB"/>
        </w:rPr>
        <w:t>pericol</w:t>
      </w:r>
      <w:r w:rsidR="00660131" w:rsidRPr="00857CDA">
        <w:rPr>
          <w:lang w:val="ro-RO"/>
        </w:rPr>
        <w:t>”</w:t>
      </w:r>
      <w:r w:rsidR="00196C06" w:rsidRPr="00857CDA">
        <w:rPr>
          <w:lang w:val="ro-RO" w:eastAsia="en-GB"/>
        </w:rPr>
        <w:t>.</w:t>
      </w:r>
    </w:p>
    <w:p w:rsidR="00E114C7" w:rsidRPr="00857CDA" w:rsidRDefault="00E114C7" w:rsidP="00E114C7">
      <w:pPr>
        <w:pStyle w:val="ParNoG"/>
        <w:numPr>
          <w:ilvl w:val="0"/>
          <w:numId w:val="0"/>
        </w:numPr>
        <w:kinsoku w:val="0"/>
        <w:overflowPunct w:val="0"/>
        <w:autoSpaceDE w:val="0"/>
        <w:autoSpaceDN w:val="0"/>
        <w:adjustRightInd w:val="0"/>
        <w:snapToGrid w:val="0"/>
        <w:ind w:left="1134"/>
        <w:rPr>
          <w:lang w:val="ro-RO"/>
        </w:rPr>
      </w:pPr>
      <w:r w:rsidRPr="00857CDA">
        <w:rPr>
          <w:lang w:val="ro-RO"/>
        </w:rPr>
        <w:t>5.4.1.1.1 f)</w:t>
      </w:r>
      <w:r w:rsidRPr="00857CDA">
        <w:rPr>
          <w:lang w:val="ro-RO"/>
        </w:rPr>
        <w:tab/>
      </w:r>
      <w:r w:rsidR="002B679C" w:rsidRPr="00857CDA">
        <w:rPr>
          <w:lang w:val="ro-RO"/>
        </w:rPr>
        <w:t>Se modifică</w:t>
      </w:r>
      <w:r w:rsidRPr="00857CDA">
        <w:rPr>
          <w:lang w:val="ro-RO"/>
        </w:rPr>
        <w:t xml:space="preserve"> NOTA 1</w:t>
      </w:r>
      <w:r w:rsidR="002B679C" w:rsidRPr="00857CDA">
        <w:rPr>
          <w:lang w:val="ro-RO"/>
        </w:rPr>
        <w:t>, după cum urmează</w:t>
      </w:r>
      <w:r w:rsidR="00091658" w:rsidRPr="00857CDA">
        <w:rPr>
          <w:lang w:val="ro-RO"/>
        </w:rPr>
        <w:t>:</w:t>
      </w:r>
    </w:p>
    <w:p w:rsidR="00E114C7" w:rsidRPr="00857CDA" w:rsidRDefault="00FE5FC3" w:rsidP="001E28A8">
      <w:pPr>
        <w:pStyle w:val="SingleTxtG"/>
        <w:rPr>
          <w:i/>
          <w:iCs/>
          <w:lang w:val="ro-RO"/>
        </w:rPr>
      </w:pPr>
      <w:r w:rsidRPr="00857CDA">
        <w:rPr>
          <w:lang w:val="ro-RO"/>
        </w:rPr>
        <w:lastRenderedPageBreak/>
        <w:t>„</w:t>
      </w:r>
      <w:r w:rsidR="00E114C7" w:rsidRPr="00857CDA">
        <w:rPr>
          <w:b/>
          <w:bCs/>
          <w:i/>
          <w:iCs/>
          <w:lang w:val="ro-RO"/>
        </w:rPr>
        <w:t>NOTA 1</w:t>
      </w:r>
      <w:r w:rsidR="00E114C7" w:rsidRPr="00857CDA">
        <w:rPr>
          <w:b/>
          <w:i/>
          <w:iCs/>
          <w:lang w:val="ro-RO"/>
        </w:rPr>
        <w:t xml:space="preserve">: </w:t>
      </w:r>
      <w:r w:rsidR="001E28A8" w:rsidRPr="00857CDA">
        <w:rPr>
          <w:i/>
          <w:iCs/>
          <w:lang w:val="ro-RO"/>
        </w:rPr>
        <w:t>În cazul în care se intenționează aplicarea secțiunii 1.1.3.6, cantitatea totală și valoarea calculată a mărfurilor periculoase pentru fiecare categorie de transport trebuie să fie indicate în documentul de transport în conformitate cu 1.1.3.6.3 și 1.1.3.6.4</w:t>
      </w:r>
      <w:r w:rsidR="00E114C7" w:rsidRPr="00857CDA">
        <w:rPr>
          <w:i/>
          <w:iCs/>
          <w:lang w:val="ro-RO"/>
        </w:rPr>
        <w:t>.</w:t>
      </w:r>
      <w:r w:rsidR="00660131" w:rsidRPr="00857CDA">
        <w:rPr>
          <w:i/>
          <w:iCs/>
          <w:lang w:val="ro-RO"/>
        </w:rPr>
        <w:t>”</w:t>
      </w:r>
      <w:r w:rsidR="00E114C7" w:rsidRPr="00857CDA">
        <w:rPr>
          <w:i/>
          <w:iCs/>
          <w:lang w:val="ro-RO"/>
        </w:rPr>
        <w:t>.</w:t>
      </w:r>
    </w:p>
    <w:p w:rsidR="008935F5" w:rsidRPr="00857CDA" w:rsidRDefault="005B4781" w:rsidP="008935F5">
      <w:pPr>
        <w:pStyle w:val="SingleTxtG"/>
        <w:rPr>
          <w:lang w:val="ro-RO"/>
        </w:rPr>
      </w:pPr>
      <w:r w:rsidRPr="00857CDA">
        <w:rPr>
          <w:lang w:val="ro-RO"/>
        </w:rPr>
        <w:t>5.4.1.1.5</w:t>
      </w:r>
      <w:r w:rsidR="008935F5" w:rsidRPr="00857CDA">
        <w:rPr>
          <w:lang w:val="ro-RO"/>
        </w:rPr>
        <w:tab/>
      </w:r>
      <w:r w:rsidR="00902C44" w:rsidRPr="00857CDA">
        <w:rPr>
          <w:lang w:val="ro-RO"/>
        </w:rPr>
        <w:t xml:space="preserve">În </w:t>
      </w:r>
      <w:r w:rsidR="00EC70C8" w:rsidRPr="00857CDA">
        <w:rPr>
          <w:lang w:val="ro-RO"/>
        </w:rPr>
        <w:t>tit</w:t>
      </w:r>
      <w:r w:rsidR="001E28A8" w:rsidRPr="00857CDA">
        <w:rPr>
          <w:lang w:val="ro-RO"/>
        </w:rPr>
        <w:t>lu</w:t>
      </w:r>
      <w:r w:rsidRPr="00857CDA">
        <w:rPr>
          <w:lang w:val="ro-RO"/>
        </w:rPr>
        <w:t xml:space="preserve">, </w:t>
      </w:r>
      <w:r w:rsidR="00991390" w:rsidRPr="00857CDA">
        <w:rPr>
          <w:lang w:val="ro-RO"/>
        </w:rPr>
        <w:t>după</w:t>
      </w:r>
      <w:r w:rsidRPr="00857CDA">
        <w:rPr>
          <w:lang w:val="ro-RO"/>
        </w:rPr>
        <w:t xml:space="preserve"> </w:t>
      </w:r>
      <w:r w:rsidR="00FE5FC3" w:rsidRPr="00857CDA">
        <w:rPr>
          <w:lang w:val="ro-RO"/>
        </w:rPr>
        <w:t>„</w:t>
      </w:r>
      <w:r w:rsidR="00DB12AA" w:rsidRPr="00857CDA">
        <w:rPr>
          <w:lang w:val="ro-RO"/>
        </w:rPr>
        <w:t>ambalaje de siguranță</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FE5FC3" w:rsidRPr="00857CDA">
        <w:rPr>
          <w:lang w:val="ro-RO"/>
        </w:rPr>
        <w:t xml:space="preserve">„ </w:t>
      </w:r>
      <w:r w:rsidRPr="00857CDA">
        <w:rPr>
          <w:lang w:val="ro-RO"/>
        </w:rPr>
        <w:t xml:space="preserve">, </w:t>
      </w:r>
      <w:r w:rsidR="005F34F9" w:rsidRPr="00857CDA">
        <w:rPr>
          <w:lang w:val="ro-RO"/>
        </w:rPr>
        <w:t>inclusiv</w:t>
      </w:r>
      <w:r w:rsidRPr="00857CDA">
        <w:rPr>
          <w:lang w:val="ro-RO"/>
        </w:rPr>
        <w:t xml:space="preserve"> </w:t>
      </w:r>
      <w:r w:rsidR="005F34F9" w:rsidRPr="00857CDA">
        <w:rPr>
          <w:lang w:val="ro-RO"/>
        </w:rPr>
        <w:t>ambalaje mari de siguranță</w:t>
      </w:r>
      <w:r w:rsidRPr="00857CDA">
        <w:rPr>
          <w:lang w:val="ro-RO"/>
        </w:rPr>
        <w:t>,</w:t>
      </w:r>
      <w:r w:rsidR="005F34F9" w:rsidRPr="00857CDA">
        <w:rPr>
          <w:lang w:val="ro-RO"/>
        </w:rPr>
        <w:t xml:space="preserve"> precum</w:t>
      </w:r>
      <w:r w:rsidR="00660131" w:rsidRPr="00857CDA">
        <w:rPr>
          <w:lang w:val="ro-RO"/>
        </w:rPr>
        <w:t>”</w:t>
      </w:r>
      <w:r w:rsidR="004C27AD" w:rsidRPr="00857CDA">
        <w:rPr>
          <w:lang w:val="ro-RO"/>
        </w:rPr>
        <w:t xml:space="preserve"> și </w:t>
      </w:r>
      <w:r w:rsidR="005F34F9" w:rsidRPr="00857CDA">
        <w:rPr>
          <w:lang w:val="ro-RO"/>
        </w:rPr>
        <w:t>î</w:t>
      </w:r>
      <w:r w:rsidR="00902C44" w:rsidRPr="00857CDA">
        <w:rPr>
          <w:lang w:val="ro-RO"/>
        </w:rPr>
        <w:t xml:space="preserve">n </w:t>
      </w:r>
      <w:r w:rsidR="00EC70C8" w:rsidRPr="00857CDA">
        <w:rPr>
          <w:lang w:val="ro-RO"/>
        </w:rPr>
        <w:t>text</w:t>
      </w:r>
      <w:r w:rsidR="005F34F9" w:rsidRPr="00857CDA">
        <w:rPr>
          <w:lang w:val="ro-RO"/>
        </w:rPr>
        <w:t>ul care urmează după titlu</w:t>
      </w:r>
      <w:r w:rsidR="00EC70C8" w:rsidRPr="00857CDA">
        <w:rPr>
          <w:lang w:val="ro-RO"/>
        </w:rPr>
        <w:t xml:space="preserve">, </w:t>
      </w:r>
      <w:r w:rsidR="00991390" w:rsidRPr="00857CDA">
        <w:rPr>
          <w:lang w:val="ro-RO"/>
        </w:rPr>
        <w:t>după</w:t>
      </w:r>
      <w:r w:rsidR="008935F5" w:rsidRPr="00857CDA">
        <w:rPr>
          <w:lang w:val="ro-RO"/>
        </w:rPr>
        <w:t xml:space="preserve"> </w:t>
      </w:r>
      <w:r w:rsidR="00FE5FC3" w:rsidRPr="00857CDA">
        <w:rPr>
          <w:lang w:val="ro-RO"/>
        </w:rPr>
        <w:t>„î</w:t>
      </w:r>
      <w:r w:rsidR="00902C44" w:rsidRPr="00857CDA">
        <w:rPr>
          <w:lang w:val="ro-RO"/>
        </w:rPr>
        <w:t>n</w:t>
      </w:r>
      <w:r w:rsidR="005F34F9" w:rsidRPr="00857CDA">
        <w:rPr>
          <w:lang w:val="ro-RO"/>
        </w:rPr>
        <w:t>tr-</w:t>
      </w:r>
      <w:r w:rsidR="008935F5" w:rsidRPr="00857CDA">
        <w:rPr>
          <w:lang w:val="ro-RO"/>
        </w:rPr>
        <w:t xml:space="preserve">un </w:t>
      </w:r>
      <w:r w:rsidR="005F34F9" w:rsidRPr="00857CDA">
        <w:rPr>
          <w:lang w:val="ro-RO"/>
        </w:rPr>
        <w:t>ambalaj de siguranță</w:t>
      </w:r>
      <w:r w:rsidR="00660131" w:rsidRPr="00857CDA">
        <w:rPr>
          <w:lang w:val="ro-RO"/>
        </w:rPr>
        <w:t>”</w:t>
      </w:r>
      <w:r w:rsidR="008935F5" w:rsidRPr="00857CDA">
        <w:rPr>
          <w:lang w:val="ro-RO"/>
        </w:rPr>
        <w:t xml:space="preserve"> </w:t>
      </w:r>
      <w:r w:rsidR="00902C44" w:rsidRPr="00857CDA">
        <w:rPr>
          <w:lang w:val="ro-RO"/>
        </w:rPr>
        <w:t>se adaugă</w:t>
      </w:r>
      <w:r w:rsidR="008935F5" w:rsidRPr="00857CDA">
        <w:rPr>
          <w:lang w:val="ro-RO"/>
        </w:rPr>
        <w:t xml:space="preserve"> </w:t>
      </w:r>
      <w:r w:rsidR="00FE5FC3" w:rsidRPr="00857CDA">
        <w:rPr>
          <w:lang w:val="ro-RO"/>
        </w:rPr>
        <w:t xml:space="preserve">„ </w:t>
      </w:r>
      <w:r w:rsidR="008935F5" w:rsidRPr="00857CDA">
        <w:rPr>
          <w:lang w:val="ro-RO"/>
        </w:rPr>
        <w:t xml:space="preserve">, </w:t>
      </w:r>
      <w:r w:rsidR="00521720" w:rsidRPr="00857CDA">
        <w:rPr>
          <w:lang w:val="ro-RO"/>
        </w:rPr>
        <w:t>inclusiv î</w:t>
      </w:r>
      <w:r w:rsidR="00902C44" w:rsidRPr="00857CDA">
        <w:rPr>
          <w:lang w:val="ro-RO"/>
        </w:rPr>
        <w:t>n</w:t>
      </w:r>
      <w:r w:rsidR="00521720" w:rsidRPr="00857CDA">
        <w:rPr>
          <w:lang w:val="ro-RO"/>
        </w:rPr>
        <w:t>tr-</w:t>
      </w:r>
      <w:r w:rsidR="008935F5" w:rsidRPr="00857CDA">
        <w:rPr>
          <w:lang w:val="ro-RO"/>
        </w:rPr>
        <w:t xml:space="preserve">un </w:t>
      </w:r>
      <w:r w:rsidR="00521720" w:rsidRPr="00857CDA">
        <w:rPr>
          <w:lang w:val="ro-RO"/>
        </w:rPr>
        <w:t>ambalaj mare de siguranță</w:t>
      </w:r>
      <w:r w:rsidR="00660131" w:rsidRPr="00857CDA">
        <w:rPr>
          <w:lang w:val="ro-RO"/>
        </w:rPr>
        <w:t>”</w:t>
      </w:r>
      <w:r w:rsidR="008935F5" w:rsidRPr="00857CDA">
        <w:rPr>
          <w:lang w:val="ro-RO"/>
        </w:rPr>
        <w:t>.</w:t>
      </w:r>
    </w:p>
    <w:p w:rsidR="00306094" w:rsidRPr="00857CDA" w:rsidRDefault="00306094" w:rsidP="00196C06">
      <w:pPr>
        <w:pStyle w:val="SingleTxtG"/>
        <w:tabs>
          <w:tab w:val="left" w:pos="1854"/>
        </w:tabs>
        <w:rPr>
          <w:lang w:val="ro-RO"/>
        </w:rPr>
      </w:pPr>
      <w:r w:rsidRPr="00857CDA">
        <w:rPr>
          <w:lang w:val="ro-RO"/>
        </w:rPr>
        <w:t>5.4.1.1.6.2.1</w:t>
      </w:r>
      <w:r w:rsidR="006C307E" w:rsidRPr="00857CDA">
        <w:rPr>
          <w:lang w:val="ro-RO"/>
        </w:rPr>
        <w:t xml:space="preserve"> </w:t>
      </w:r>
      <w:r w:rsidRPr="00857CDA">
        <w:rPr>
          <w:lang w:val="ro-RO"/>
        </w:rPr>
        <w:t>b)</w:t>
      </w:r>
      <w:r w:rsidR="006C307E" w:rsidRPr="00857CDA">
        <w:rPr>
          <w:lang w:val="ro-RO"/>
        </w:rPr>
        <w:tab/>
      </w:r>
      <w:r w:rsidR="00902C44" w:rsidRPr="00857CDA">
        <w:rPr>
          <w:lang w:val="ro-RO"/>
        </w:rPr>
        <w:t xml:space="preserve">În </w:t>
      </w:r>
      <w:r w:rsidR="006C307E" w:rsidRPr="00857CDA">
        <w:rPr>
          <w:lang w:val="ro-RO"/>
        </w:rPr>
        <w:t>pr</w:t>
      </w:r>
      <w:r w:rsidR="00521720" w:rsidRPr="00857CDA">
        <w:rPr>
          <w:lang w:val="ro-RO"/>
        </w:rPr>
        <w:t>i</w:t>
      </w:r>
      <w:r w:rsidR="006C307E" w:rsidRPr="00857CDA">
        <w:rPr>
          <w:lang w:val="ro-RO"/>
        </w:rPr>
        <w:t>m</w:t>
      </w:r>
      <w:r w:rsidR="00521720" w:rsidRPr="00857CDA">
        <w:rPr>
          <w:lang w:val="ro-RO"/>
        </w:rPr>
        <w:t>ul</w:t>
      </w:r>
      <w:r w:rsidR="006C307E" w:rsidRPr="00857CDA">
        <w:rPr>
          <w:lang w:val="ro-RO"/>
        </w:rPr>
        <w:t xml:space="preserve"> </w:t>
      </w:r>
      <w:r w:rsidR="00970E20" w:rsidRPr="00857CDA">
        <w:rPr>
          <w:lang w:val="ro-RO"/>
        </w:rPr>
        <w:t>paragraf</w:t>
      </w:r>
      <w:r w:rsidR="006C307E" w:rsidRPr="00857CDA">
        <w:rPr>
          <w:lang w:val="ro-RO"/>
        </w:rPr>
        <w:t xml:space="preserve">, </w:t>
      </w:r>
      <w:r w:rsidR="00521720" w:rsidRPr="00857CDA">
        <w:rPr>
          <w:lang w:val="ro-RO"/>
        </w:rPr>
        <w:t>s</w:t>
      </w:r>
      <w:r w:rsidR="00902C44" w:rsidRPr="00857CDA">
        <w:rPr>
          <w:lang w:val="ro-RO"/>
        </w:rPr>
        <w:t>e modifică</w:t>
      </w:r>
      <w:r w:rsidR="006C307E" w:rsidRPr="00857CDA">
        <w:rPr>
          <w:lang w:val="ro-RO"/>
        </w:rPr>
        <w:t xml:space="preserve"> </w:t>
      </w:r>
      <w:r w:rsidR="00FE5FC3" w:rsidRPr="00857CDA">
        <w:rPr>
          <w:lang w:val="ro-RO"/>
        </w:rPr>
        <w:t>„</w:t>
      </w:r>
      <w:r w:rsidR="00521720" w:rsidRPr="00857CDA">
        <w:rPr>
          <w:lang w:val="ro-RO"/>
        </w:rPr>
        <w:t>riscul (urile)</w:t>
      </w:r>
      <w:r w:rsidR="00660131" w:rsidRPr="00857CDA">
        <w:rPr>
          <w:lang w:val="ro-RO"/>
        </w:rPr>
        <w:t>”</w:t>
      </w:r>
      <w:r w:rsidR="00902C44" w:rsidRPr="00857CDA">
        <w:rPr>
          <w:lang w:val="ro-RO"/>
        </w:rPr>
        <w:t xml:space="preserve"> cu </w:t>
      </w:r>
      <w:r w:rsidR="00FE5FC3" w:rsidRPr="00857CDA">
        <w:rPr>
          <w:lang w:val="ro-RO"/>
        </w:rPr>
        <w:t>„</w:t>
      </w:r>
      <w:r w:rsidR="002B679C" w:rsidRPr="00857CDA">
        <w:rPr>
          <w:lang w:val="ro-RO"/>
        </w:rPr>
        <w:t>pericol</w:t>
      </w:r>
      <w:r w:rsidR="00521720" w:rsidRPr="00857CDA">
        <w:rPr>
          <w:lang w:val="ro-RO"/>
        </w:rPr>
        <w:t>ul (ele)</w:t>
      </w:r>
      <w:r w:rsidR="00660131" w:rsidRPr="00857CDA">
        <w:rPr>
          <w:lang w:val="ro-RO"/>
        </w:rPr>
        <w:t>”</w:t>
      </w:r>
      <w:r w:rsidR="006C307E" w:rsidRPr="00857CDA">
        <w:rPr>
          <w:lang w:val="ro-RO"/>
        </w:rPr>
        <w:t xml:space="preserve">. </w:t>
      </w:r>
      <w:r w:rsidR="00902C44" w:rsidRPr="00857CDA">
        <w:rPr>
          <w:lang w:val="ro-RO"/>
        </w:rPr>
        <w:t xml:space="preserve">În </w:t>
      </w:r>
      <w:r w:rsidR="00521720" w:rsidRPr="00857CDA">
        <w:rPr>
          <w:lang w:val="ro-RO"/>
        </w:rPr>
        <w:t>ultimul</w:t>
      </w:r>
      <w:r w:rsidR="00FD3C88" w:rsidRPr="00857CDA">
        <w:rPr>
          <w:lang w:val="ro-RO"/>
        </w:rPr>
        <w:t xml:space="preserve"> </w:t>
      </w:r>
      <w:r w:rsidR="00970E20" w:rsidRPr="00857CDA">
        <w:rPr>
          <w:lang w:val="ro-RO"/>
        </w:rPr>
        <w:t>paragraf</w:t>
      </w:r>
      <w:r w:rsidR="00FD3C88" w:rsidRPr="00857CDA">
        <w:rPr>
          <w:lang w:val="ro-RO"/>
        </w:rPr>
        <w:t xml:space="preserve">, </w:t>
      </w:r>
      <w:r w:rsidR="00521720" w:rsidRPr="00857CDA">
        <w:rPr>
          <w:lang w:val="ro-RO"/>
        </w:rPr>
        <w:t>s</w:t>
      </w:r>
      <w:r w:rsidR="00902C44" w:rsidRPr="00857CDA">
        <w:rPr>
          <w:lang w:val="ro-RO"/>
        </w:rPr>
        <w:t>e modifică</w:t>
      </w:r>
      <w:r w:rsidR="00FD3C88" w:rsidRPr="00857CDA">
        <w:rPr>
          <w:lang w:val="ro-RO"/>
        </w:rPr>
        <w:t xml:space="preserve"> </w:t>
      </w:r>
      <w:r w:rsidR="00FE5FC3" w:rsidRPr="00857CDA">
        <w:rPr>
          <w:lang w:val="ro-RO"/>
        </w:rPr>
        <w:t>„</w:t>
      </w:r>
      <w:r w:rsidR="002B679C" w:rsidRPr="00857CDA">
        <w:rPr>
          <w:lang w:val="ro-RO"/>
        </w:rPr>
        <w:t>risc</w:t>
      </w:r>
      <w:r w:rsidR="00521720" w:rsidRPr="00857CDA">
        <w:rPr>
          <w:lang w:val="ro-RO"/>
        </w:rPr>
        <w:t xml:space="preserve"> secundar</w:t>
      </w:r>
      <w:r w:rsidR="00660131" w:rsidRPr="00857CDA">
        <w:rPr>
          <w:lang w:val="ro-RO"/>
        </w:rPr>
        <w:t>”</w:t>
      </w:r>
      <w:r w:rsidR="00902C44" w:rsidRPr="00857CDA">
        <w:rPr>
          <w:lang w:val="ro-RO"/>
        </w:rPr>
        <w:t xml:space="preserve"> cu </w:t>
      </w:r>
      <w:r w:rsidR="00FE5FC3" w:rsidRPr="00857CDA">
        <w:rPr>
          <w:lang w:val="ro-RO"/>
        </w:rPr>
        <w:t>„</w:t>
      </w:r>
      <w:r w:rsidR="002B679C" w:rsidRPr="00857CDA">
        <w:rPr>
          <w:lang w:val="ro-RO"/>
        </w:rPr>
        <w:t>pericol</w:t>
      </w:r>
      <w:r w:rsidR="00521720" w:rsidRPr="00857CDA">
        <w:rPr>
          <w:lang w:val="ro-RO"/>
        </w:rPr>
        <w:t xml:space="preserve"> secundar</w:t>
      </w:r>
      <w:r w:rsidR="00660131" w:rsidRPr="00857CDA">
        <w:rPr>
          <w:lang w:val="ro-RO"/>
        </w:rPr>
        <w:t>”</w:t>
      </w:r>
      <w:r w:rsidR="006C307E" w:rsidRPr="00857CDA">
        <w:rPr>
          <w:lang w:val="ro-RO"/>
        </w:rPr>
        <w:t>.</w:t>
      </w:r>
    </w:p>
    <w:p w:rsidR="006C307E" w:rsidRPr="00857CDA" w:rsidRDefault="006C307E" w:rsidP="00D53F01">
      <w:pPr>
        <w:pStyle w:val="SingleTxtG"/>
        <w:spacing w:before="120"/>
        <w:rPr>
          <w:lang w:val="ro-RO"/>
        </w:rPr>
      </w:pPr>
      <w:r w:rsidRPr="00857CDA">
        <w:rPr>
          <w:lang w:val="ro-RO"/>
        </w:rPr>
        <w:t>5.4.1.1.15</w:t>
      </w:r>
      <w:r w:rsidRPr="00857CDA">
        <w:rPr>
          <w:lang w:val="ro-RO"/>
        </w:rPr>
        <w:tab/>
      </w:r>
      <w:r w:rsidR="00902C44" w:rsidRPr="00857CDA">
        <w:rPr>
          <w:lang w:val="ro-RO"/>
        </w:rPr>
        <w:t>Se modifică</w:t>
      </w:r>
      <w:r w:rsidRPr="00857CDA">
        <w:rPr>
          <w:lang w:val="ro-RO"/>
        </w:rPr>
        <w:t xml:space="preserve"> </w:t>
      </w:r>
      <w:r w:rsidR="00FE5FC3" w:rsidRPr="00857CDA">
        <w:rPr>
          <w:lang w:val="ro-RO"/>
        </w:rPr>
        <w:t>„</w:t>
      </w:r>
      <w:r w:rsidRPr="00857CDA">
        <w:rPr>
          <w:lang w:val="ro-RO"/>
        </w:rPr>
        <w:t>2.2.41.1.17</w:t>
      </w:r>
      <w:r w:rsidR="00660131" w:rsidRPr="00857CDA">
        <w:rPr>
          <w:lang w:val="ro-RO"/>
        </w:rPr>
        <w:t>”</w:t>
      </w:r>
      <w:r w:rsidR="00902C44" w:rsidRPr="00857CDA">
        <w:rPr>
          <w:lang w:val="ro-RO"/>
        </w:rPr>
        <w:t xml:space="preserve"> cu </w:t>
      </w:r>
      <w:r w:rsidR="00FE5FC3" w:rsidRPr="00857CDA">
        <w:rPr>
          <w:lang w:val="ro-RO"/>
        </w:rPr>
        <w:t>„</w:t>
      </w:r>
      <w:r w:rsidRPr="00857CDA">
        <w:rPr>
          <w:lang w:val="ro-RO"/>
        </w:rPr>
        <w:t>7.1.7</w:t>
      </w:r>
      <w:r w:rsidR="00660131" w:rsidRPr="00857CDA">
        <w:rPr>
          <w:lang w:val="ro-RO"/>
        </w:rPr>
        <w:t>”</w:t>
      </w:r>
      <w:r w:rsidRPr="00857CDA">
        <w:rPr>
          <w:lang w:val="ro-RO"/>
        </w:rPr>
        <w:t>.</w:t>
      </w:r>
    </w:p>
    <w:p w:rsidR="006C307E" w:rsidRPr="00857CDA" w:rsidRDefault="009D0C02" w:rsidP="00196C06">
      <w:pPr>
        <w:pStyle w:val="SingleTxtG"/>
        <w:tabs>
          <w:tab w:val="left" w:pos="1854"/>
        </w:tabs>
        <w:rPr>
          <w:lang w:val="ro-RO"/>
        </w:rPr>
      </w:pPr>
      <w:r w:rsidRPr="00857CDA">
        <w:rPr>
          <w:lang w:val="ro-RO"/>
        </w:rPr>
        <w:t>5.4.1.1.19</w:t>
      </w:r>
      <w:r w:rsidRPr="00857CDA">
        <w:rPr>
          <w:lang w:val="ro-RO"/>
        </w:rPr>
        <w:tab/>
      </w:r>
      <w:r w:rsidR="00902C44" w:rsidRPr="00857CDA">
        <w:rPr>
          <w:lang w:val="ro-RO"/>
        </w:rPr>
        <w:t xml:space="preserve">În </w:t>
      </w:r>
      <w:r w:rsidRPr="00857CDA">
        <w:rPr>
          <w:lang w:val="ro-RO"/>
        </w:rPr>
        <w:t>pr</w:t>
      </w:r>
      <w:r w:rsidR="002E5672" w:rsidRPr="00857CDA">
        <w:rPr>
          <w:lang w:val="ro-RO"/>
        </w:rPr>
        <w:t>i</w:t>
      </w:r>
      <w:r w:rsidRPr="00857CDA">
        <w:rPr>
          <w:lang w:val="ro-RO"/>
        </w:rPr>
        <w:t>m</w:t>
      </w:r>
      <w:r w:rsidR="002E5672" w:rsidRPr="00857CDA">
        <w:rPr>
          <w:lang w:val="ro-RO"/>
        </w:rPr>
        <w:t>ul</w:t>
      </w:r>
      <w:r w:rsidRPr="00857CDA">
        <w:rPr>
          <w:lang w:val="ro-RO"/>
        </w:rPr>
        <w:t xml:space="preserve"> </w:t>
      </w:r>
      <w:r w:rsidR="00970E20" w:rsidRPr="00857CDA">
        <w:rPr>
          <w:lang w:val="ro-RO"/>
        </w:rPr>
        <w:t>paragraf</w:t>
      </w:r>
      <w:r w:rsidRPr="00857CDA">
        <w:rPr>
          <w:lang w:val="ro-RO"/>
        </w:rPr>
        <w:t xml:space="preserve">, </w:t>
      </w:r>
      <w:r w:rsidR="002E5672" w:rsidRPr="00857CDA">
        <w:rPr>
          <w:lang w:val="ro-RO"/>
        </w:rPr>
        <w:t>s</w:t>
      </w:r>
      <w:r w:rsidR="00902C44" w:rsidRPr="00857CDA">
        <w:rPr>
          <w:lang w:val="ro-RO"/>
        </w:rPr>
        <w:t>e modifică</w:t>
      </w:r>
      <w:r w:rsidRPr="00857CDA">
        <w:rPr>
          <w:lang w:val="ro-RO"/>
        </w:rPr>
        <w:t xml:space="preserve"> </w:t>
      </w:r>
      <w:r w:rsidR="00FE5FC3" w:rsidRPr="00857CDA">
        <w:rPr>
          <w:lang w:val="ro-RO"/>
        </w:rPr>
        <w:t>„</w:t>
      </w:r>
      <w:r w:rsidR="002E5672" w:rsidRPr="00857CDA">
        <w:rPr>
          <w:lang w:val="ro-RO"/>
        </w:rPr>
        <w:t>riscul/riscurile secundar(e)</w:t>
      </w:r>
      <w:r w:rsidR="00660131" w:rsidRPr="00857CDA">
        <w:rPr>
          <w:lang w:val="ro-RO"/>
        </w:rPr>
        <w:t>”</w:t>
      </w:r>
      <w:r w:rsidR="00902C44" w:rsidRPr="00857CDA">
        <w:rPr>
          <w:lang w:val="ro-RO"/>
        </w:rPr>
        <w:t xml:space="preserve"> cu </w:t>
      </w:r>
      <w:r w:rsidR="00660131" w:rsidRPr="00857CDA">
        <w:rPr>
          <w:lang w:val="ro-RO"/>
        </w:rPr>
        <w:t>“</w:t>
      </w:r>
      <w:r w:rsidR="002B679C" w:rsidRPr="00857CDA">
        <w:rPr>
          <w:lang w:val="ro-RO"/>
        </w:rPr>
        <w:t>pericol</w:t>
      </w:r>
      <w:r w:rsidR="002E5672" w:rsidRPr="00857CDA">
        <w:rPr>
          <w:lang w:val="ro-RO"/>
        </w:rPr>
        <w:t>ul</w:t>
      </w:r>
      <w:r w:rsidRPr="00857CDA">
        <w:rPr>
          <w:lang w:val="ro-RO"/>
        </w:rPr>
        <w:t>(</w:t>
      </w:r>
      <w:r w:rsidR="002E5672" w:rsidRPr="00857CDA">
        <w:rPr>
          <w:lang w:val="ro-RO"/>
        </w:rPr>
        <w:t>l</w:t>
      </w:r>
      <w:r w:rsidR="00FE5FC3" w:rsidRPr="00857CDA">
        <w:rPr>
          <w:lang w:val="ro-RO"/>
        </w:rPr>
        <w:t>e</w:t>
      </w:r>
      <w:r w:rsidR="002E5672" w:rsidRPr="00857CDA">
        <w:rPr>
          <w:lang w:val="ro-RO"/>
        </w:rPr>
        <w:t>le</w:t>
      </w:r>
      <w:r w:rsidRPr="00857CDA">
        <w:rPr>
          <w:lang w:val="ro-RO"/>
        </w:rPr>
        <w:t>)</w:t>
      </w:r>
      <w:r w:rsidR="002E5672" w:rsidRPr="00857CDA">
        <w:rPr>
          <w:lang w:val="ro-RO"/>
        </w:rPr>
        <w:t xml:space="preserve"> secundar(e)</w:t>
      </w:r>
      <w:r w:rsidR="00660131" w:rsidRPr="00857CDA">
        <w:rPr>
          <w:lang w:val="ro-RO"/>
        </w:rPr>
        <w:t>”</w:t>
      </w:r>
      <w:r w:rsidRPr="00857CDA">
        <w:rPr>
          <w:lang w:val="ro-RO"/>
        </w:rPr>
        <w:t xml:space="preserve">. </w:t>
      </w:r>
      <w:r w:rsidR="00902C44" w:rsidRPr="00857CDA">
        <w:rPr>
          <w:lang w:val="ro-RO"/>
        </w:rPr>
        <w:t xml:space="preserve">În </w:t>
      </w:r>
      <w:r w:rsidR="002E5672" w:rsidRPr="00857CDA">
        <w:rPr>
          <w:lang w:val="ro-RO"/>
        </w:rPr>
        <w:t>al doilea</w:t>
      </w:r>
      <w:r w:rsidRPr="00857CDA">
        <w:rPr>
          <w:lang w:val="ro-RO"/>
        </w:rPr>
        <w:t xml:space="preserve"> </w:t>
      </w:r>
      <w:r w:rsidR="00970E20" w:rsidRPr="00857CDA">
        <w:rPr>
          <w:lang w:val="ro-RO"/>
        </w:rPr>
        <w:t>paragraf</w:t>
      </w:r>
      <w:r w:rsidR="003F03A4" w:rsidRPr="00857CDA">
        <w:rPr>
          <w:lang w:val="ro-RO"/>
        </w:rPr>
        <w:t xml:space="preserve">, </w:t>
      </w:r>
      <w:r w:rsidR="002E5672" w:rsidRPr="00857CDA">
        <w:rPr>
          <w:lang w:val="ro-RO"/>
        </w:rPr>
        <w:t>s</w:t>
      </w:r>
      <w:r w:rsidR="00902C44" w:rsidRPr="00857CDA">
        <w:rPr>
          <w:lang w:val="ro-RO"/>
        </w:rPr>
        <w:t>e modifică</w:t>
      </w:r>
      <w:r w:rsidR="003F03A4" w:rsidRPr="00857CDA">
        <w:rPr>
          <w:lang w:val="ro-RO"/>
        </w:rPr>
        <w:t xml:space="preserve"> </w:t>
      </w:r>
      <w:r w:rsidR="00FE5FC3"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E5FC3" w:rsidRPr="00857CDA">
        <w:rPr>
          <w:lang w:val="ro-RO"/>
        </w:rPr>
        <w:t>„</w:t>
      </w:r>
      <w:r w:rsidR="002B679C" w:rsidRPr="00857CDA">
        <w:rPr>
          <w:lang w:val="ro-RO"/>
        </w:rPr>
        <w:t>pericol</w:t>
      </w:r>
      <w:r w:rsidR="00660131" w:rsidRPr="00857CDA">
        <w:rPr>
          <w:lang w:val="ro-RO"/>
        </w:rPr>
        <w:t>”</w:t>
      </w:r>
      <w:r w:rsidRPr="00857CDA">
        <w:rPr>
          <w:lang w:val="ro-RO"/>
        </w:rPr>
        <w:t>.</w:t>
      </w:r>
    </w:p>
    <w:p w:rsidR="00FD3C88" w:rsidRPr="00857CDA" w:rsidRDefault="00FD3C88" w:rsidP="00D53F01">
      <w:pPr>
        <w:pStyle w:val="SingleTxtG"/>
        <w:rPr>
          <w:lang w:val="ro-RO"/>
        </w:rPr>
      </w:pPr>
      <w:r w:rsidRPr="00857CDA">
        <w:rPr>
          <w:lang w:val="ro-RO"/>
        </w:rPr>
        <w:t xml:space="preserve">5.4.1.2.3.1 </w:t>
      </w:r>
      <w:r w:rsidRPr="00857CDA">
        <w:rPr>
          <w:lang w:val="ro-RO"/>
        </w:rPr>
        <w:tab/>
      </w:r>
      <w:r w:rsidR="00902C44" w:rsidRPr="00857CDA">
        <w:rPr>
          <w:lang w:val="ro-RO"/>
        </w:rPr>
        <w:t>Se modifică</w:t>
      </w:r>
      <w:r w:rsidRPr="00857CDA">
        <w:rPr>
          <w:lang w:val="ro-RO"/>
        </w:rPr>
        <w:t xml:space="preserve"> </w:t>
      </w:r>
      <w:r w:rsidR="00FE5FC3" w:rsidRPr="00857CDA">
        <w:rPr>
          <w:lang w:val="ro-RO"/>
        </w:rPr>
        <w:t>„</w:t>
      </w:r>
      <w:r w:rsidRPr="00857CDA">
        <w:rPr>
          <w:lang w:val="ro-RO"/>
        </w:rPr>
        <w:t xml:space="preserve">2.2.52.1.15 </w:t>
      </w:r>
      <w:r w:rsidR="002E5672" w:rsidRPr="00857CDA">
        <w:rPr>
          <w:lang w:val="ro-RO"/>
        </w:rPr>
        <w:t>până la</w:t>
      </w:r>
      <w:r w:rsidRPr="00857CDA">
        <w:rPr>
          <w:lang w:val="ro-RO"/>
        </w:rPr>
        <w:t xml:space="preserve"> 2.2.52.1.17</w:t>
      </w:r>
      <w:r w:rsidR="00660131" w:rsidRPr="00857CDA">
        <w:rPr>
          <w:lang w:val="ro-RO"/>
        </w:rPr>
        <w:t>”</w:t>
      </w:r>
      <w:r w:rsidR="00902C44" w:rsidRPr="00857CDA">
        <w:rPr>
          <w:lang w:val="ro-RO"/>
        </w:rPr>
        <w:t xml:space="preserve"> cu </w:t>
      </w:r>
      <w:r w:rsidR="00FE5FC3" w:rsidRPr="00857CDA">
        <w:rPr>
          <w:lang w:val="ro-RO"/>
        </w:rPr>
        <w:t>„</w:t>
      </w:r>
      <w:r w:rsidRPr="00857CDA">
        <w:rPr>
          <w:lang w:val="ro-RO"/>
        </w:rPr>
        <w:t>2.2.52.1.15</w:t>
      </w:r>
      <w:r w:rsidR="00660131" w:rsidRPr="00857CDA">
        <w:rPr>
          <w:lang w:val="ro-RO"/>
        </w:rPr>
        <w:t>”</w:t>
      </w:r>
      <w:r w:rsidRPr="00857CDA">
        <w:rPr>
          <w:lang w:val="ro-RO"/>
        </w:rPr>
        <w:t>.</w:t>
      </w:r>
    </w:p>
    <w:p w:rsidR="00196C06" w:rsidRPr="00857CDA" w:rsidRDefault="00FD3C88" w:rsidP="009C2E03">
      <w:pPr>
        <w:pStyle w:val="SingleTxtG"/>
        <w:tabs>
          <w:tab w:val="left" w:pos="1854"/>
          <w:tab w:val="left" w:pos="2268"/>
        </w:tabs>
        <w:rPr>
          <w:lang w:val="ro-RO"/>
        </w:rPr>
      </w:pPr>
      <w:r w:rsidRPr="00857CDA">
        <w:rPr>
          <w:lang w:val="ro-RO"/>
        </w:rPr>
        <w:t>5.4.1.2.5.1 b)</w:t>
      </w:r>
      <w:r w:rsidRPr="00857CDA">
        <w:rPr>
          <w:lang w:val="ro-RO"/>
        </w:rPr>
        <w:tab/>
      </w:r>
      <w:r w:rsidR="00196C06" w:rsidRPr="00857CDA">
        <w:rPr>
          <w:lang w:val="ro-RO"/>
        </w:rPr>
        <w:tab/>
      </w:r>
      <w:r w:rsidR="00902C44" w:rsidRPr="00857CDA">
        <w:rPr>
          <w:lang w:val="ro-RO" w:eastAsia="en-GB"/>
        </w:rPr>
        <w:t xml:space="preserve">În </w:t>
      </w:r>
      <w:r w:rsidR="00970E20" w:rsidRPr="00857CDA">
        <w:rPr>
          <w:lang w:val="ro-RO" w:eastAsia="en-GB"/>
        </w:rPr>
        <w:t>ultima frază</w:t>
      </w:r>
      <w:r w:rsidRPr="00857CDA">
        <w:rPr>
          <w:lang w:val="ro-RO" w:eastAsia="en-GB"/>
        </w:rPr>
        <w:t xml:space="preserve">, </w:t>
      </w:r>
      <w:r w:rsidR="002E5672" w:rsidRPr="00857CDA">
        <w:rPr>
          <w:lang w:val="ro-RO" w:eastAsia="en-GB"/>
        </w:rPr>
        <w:t>s</w:t>
      </w:r>
      <w:r w:rsidR="00902C44" w:rsidRPr="00857CDA">
        <w:rPr>
          <w:lang w:val="ro-RO" w:eastAsia="en-GB"/>
        </w:rPr>
        <w:t>e modifică</w:t>
      </w:r>
      <w:r w:rsidRPr="00857CDA">
        <w:rPr>
          <w:lang w:val="ro-RO" w:eastAsia="en-GB"/>
        </w:rPr>
        <w:t xml:space="preserve"> </w:t>
      </w:r>
      <w:r w:rsidR="00FE5FC3" w:rsidRPr="00857CDA">
        <w:rPr>
          <w:lang w:val="ro-RO"/>
        </w:rPr>
        <w:t>„</w:t>
      </w:r>
      <w:r w:rsidR="002B679C" w:rsidRPr="00857CDA">
        <w:rPr>
          <w:lang w:val="ro-RO" w:eastAsia="en-GB"/>
        </w:rPr>
        <w:t>risc</w:t>
      </w:r>
      <w:r w:rsidR="00660131" w:rsidRPr="00857CDA">
        <w:rPr>
          <w:lang w:val="ro-RO"/>
        </w:rPr>
        <w:t>”</w:t>
      </w:r>
      <w:r w:rsidR="00902C44" w:rsidRPr="00857CDA">
        <w:rPr>
          <w:lang w:val="ro-RO" w:eastAsia="en-GB"/>
        </w:rPr>
        <w:t xml:space="preserve"> cu </w:t>
      </w:r>
      <w:r w:rsidR="00FE5FC3" w:rsidRPr="00857CDA">
        <w:rPr>
          <w:lang w:val="ro-RO"/>
        </w:rPr>
        <w:t>„</w:t>
      </w:r>
      <w:r w:rsidR="002B679C" w:rsidRPr="00857CDA">
        <w:rPr>
          <w:lang w:val="ro-RO" w:eastAsia="en-GB"/>
        </w:rPr>
        <w:t>pericol</w:t>
      </w:r>
      <w:r w:rsidR="00660131" w:rsidRPr="00857CDA">
        <w:rPr>
          <w:lang w:val="ro-RO"/>
        </w:rPr>
        <w:t>”</w:t>
      </w:r>
      <w:r w:rsidR="00196C06" w:rsidRPr="00857CDA">
        <w:rPr>
          <w:lang w:val="ro-RO" w:eastAsia="en-GB"/>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6.1</w:t>
      </w:r>
    </w:p>
    <w:p w:rsidR="000B1500" w:rsidRPr="00857CDA" w:rsidRDefault="000B1500" w:rsidP="000B1500">
      <w:pPr>
        <w:pStyle w:val="SingleTxtG"/>
        <w:rPr>
          <w:b/>
          <w:i/>
          <w:lang w:val="ro-RO"/>
        </w:rPr>
      </w:pPr>
      <w:r w:rsidRPr="00857CDA">
        <w:rPr>
          <w:lang w:val="ro-RO"/>
        </w:rPr>
        <w:t>6.1.1.1 b)</w:t>
      </w:r>
      <w:r w:rsidRPr="00857CDA">
        <w:rPr>
          <w:b/>
          <w:lang w:val="ro-RO"/>
        </w:rPr>
        <w:tab/>
      </w:r>
      <w:r w:rsidR="00902C44" w:rsidRPr="00857CDA">
        <w:rPr>
          <w:lang w:val="ro-RO"/>
        </w:rPr>
        <w:t>Se modifică</w:t>
      </w:r>
      <w:r w:rsidRPr="00857CDA">
        <w:rPr>
          <w:lang w:val="ro-RO"/>
        </w:rPr>
        <w:t xml:space="preserve"> </w:t>
      </w:r>
      <w:r w:rsidR="00FE5FC3" w:rsidRPr="00857CDA">
        <w:rPr>
          <w:lang w:val="ro-RO"/>
        </w:rPr>
        <w:t>„</w:t>
      </w:r>
      <w:r w:rsidRPr="00857CDA">
        <w:rPr>
          <w:rFonts w:eastAsia="TimesNewRomanPSMT"/>
          <w:spacing w:val="4"/>
          <w:w w:val="103"/>
          <w:lang w:val="ro-RO"/>
        </w:rPr>
        <w:t>(</w:t>
      </w:r>
      <w:r w:rsidR="002E5672" w:rsidRPr="00857CDA">
        <w:rPr>
          <w:rFonts w:eastAsia="TimesNewRomanPSMT"/>
          <w:spacing w:val="4"/>
          <w:w w:val="103"/>
          <w:lang w:val="ro-RO"/>
        </w:rPr>
        <w:t>a se vedea capitolul 6.3, NOTA și instrucțiunea de ambalare P621 de la 4.1.4.1</w:t>
      </w:r>
      <w:r w:rsidRPr="00857CDA">
        <w:rPr>
          <w:rFonts w:eastAsia="TimesNewRomanPSMT"/>
          <w:spacing w:val="4"/>
          <w:w w:val="103"/>
          <w:lang w:val="ro-RO"/>
        </w:rPr>
        <w:t>)</w:t>
      </w:r>
      <w:r w:rsidR="00660131" w:rsidRPr="00857CDA">
        <w:rPr>
          <w:rFonts w:eastAsia="TimesNewRomanPSMT"/>
          <w:spacing w:val="4"/>
          <w:w w:val="103"/>
          <w:lang w:val="ro-RO"/>
        </w:rPr>
        <w:t>”</w:t>
      </w:r>
      <w:r w:rsidR="00902C44" w:rsidRPr="00857CDA">
        <w:rPr>
          <w:lang w:val="ro-RO"/>
        </w:rPr>
        <w:t xml:space="preserve"> cu </w:t>
      </w:r>
      <w:r w:rsidR="00FE5FC3" w:rsidRPr="00857CDA">
        <w:rPr>
          <w:lang w:val="ro-RO"/>
        </w:rPr>
        <w:t>„</w:t>
      </w:r>
      <w:r w:rsidRPr="00857CDA">
        <w:rPr>
          <w:lang w:val="ro-RO"/>
        </w:rPr>
        <w:t>(</w:t>
      </w:r>
      <w:r w:rsidR="00FE5FC3" w:rsidRPr="00857CDA">
        <w:rPr>
          <w:lang w:val="ro-RO"/>
        </w:rPr>
        <w:t>a</w:t>
      </w:r>
      <w:r w:rsidR="0043120D" w:rsidRPr="00857CDA">
        <w:rPr>
          <w:lang w:val="ro-RO"/>
        </w:rPr>
        <w:t xml:space="preserve"> se vedea</w:t>
      </w:r>
      <w:r w:rsidRPr="00857CDA">
        <w:rPr>
          <w:lang w:val="ro-RO"/>
        </w:rPr>
        <w:t xml:space="preserve"> NOTA </w:t>
      </w:r>
      <w:r w:rsidR="002E5672" w:rsidRPr="00857CDA">
        <w:rPr>
          <w:lang w:val="ro-RO"/>
        </w:rPr>
        <w:t xml:space="preserve">de </w:t>
      </w:r>
      <w:r w:rsidRPr="00857CDA">
        <w:rPr>
          <w:lang w:val="ro-RO"/>
        </w:rPr>
        <w:t>su</w:t>
      </w:r>
      <w:r w:rsidR="002E5672" w:rsidRPr="00857CDA">
        <w:rPr>
          <w:lang w:val="ro-RO"/>
        </w:rPr>
        <w:t>b</w:t>
      </w:r>
      <w:r w:rsidRPr="00857CDA">
        <w:rPr>
          <w:lang w:val="ro-RO"/>
        </w:rPr>
        <w:t xml:space="preserve"> tit</w:t>
      </w:r>
      <w:r w:rsidR="002E5672" w:rsidRPr="00857CDA">
        <w:rPr>
          <w:lang w:val="ro-RO"/>
        </w:rPr>
        <w:t>lul</w:t>
      </w:r>
      <w:r w:rsidRPr="00857CDA">
        <w:rPr>
          <w:lang w:val="ro-RO"/>
        </w:rPr>
        <w:t xml:space="preserve"> </w:t>
      </w:r>
      <w:r w:rsidR="00902C44" w:rsidRPr="00857CDA">
        <w:rPr>
          <w:lang w:val="ro-RO"/>
        </w:rPr>
        <w:t>Capitolul</w:t>
      </w:r>
      <w:r w:rsidR="002E5672" w:rsidRPr="00857CDA">
        <w:rPr>
          <w:lang w:val="ro-RO"/>
        </w:rPr>
        <w:t>ui</w:t>
      </w:r>
      <w:r w:rsidRPr="00857CDA">
        <w:rPr>
          <w:lang w:val="ro-RO"/>
        </w:rPr>
        <w:t xml:space="preserve"> 6.3</w:t>
      </w:r>
      <w:r w:rsidR="004C27AD" w:rsidRPr="00857CDA">
        <w:rPr>
          <w:lang w:val="ro-RO"/>
        </w:rPr>
        <w:t xml:space="preserve"> și </w:t>
      </w:r>
      <w:r w:rsidR="002E5672" w:rsidRPr="00857CDA">
        <w:rPr>
          <w:lang w:val="ro-RO"/>
        </w:rPr>
        <w:t xml:space="preserve">Instrucțiunea </w:t>
      </w:r>
      <w:r w:rsidR="006A1ED1" w:rsidRPr="00857CDA">
        <w:rPr>
          <w:lang w:val="ro-RO"/>
        </w:rPr>
        <w:t>de ambalare</w:t>
      </w:r>
      <w:r w:rsidRPr="00857CDA">
        <w:rPr>
          <w:lang w:val="ro-RO"/>
        </w:rPr>
        <w:t xml:space="preserve"> P621 d</w:t>
      </w:r>
      <w:r w:rsidR="002E5672" w:rsidRPr="00857CDA">
        <w:rPr>
          <w:lang w:val="ro-RO"/>
        </w:rPr>
        <w:t>e la</w:t>
      </w:r>
      <w:r w:rsidRPr="00857CDA">
        <w:rPr>
          <w:lang w:val="ro-RO"/>
        </w:rPr>
        <w:t xml:space="preserve"> 4.1.4.1)</w:t>
      </w:r>
      <w:r w:rsidR="00660131" w:rsidRPr="00857CDA">
        <w:rPr>
          <w:lang w:val="ro-RO"/>
        </w:rPr>
        <w:t>”</w:t>
      </w:r>
      <w:r w:rsidRPr="00857CDA">
        <w:rPr>
          <w:lang w:val="ro-RO"/>
        </w:rPr>
        <w:t>.</w:t>
      </w:r>
    </w:p>
    <w:p w:rsidR="00196C06" w:rsidRPr="00857CDA" w:rsidRDefault="00196C06" w:rsidP="00196C06">
      <w:pPr>
        <w:pStyle w:val="SingleTxtG"/>
        <w:tabs>
          <w:tab w:val="left" w:pos="1854"/>
        </w:tabs>
        <w:rPr>
          <w:lang w:val="ro-RO"/>
        </w:rPr>
      </w:pPr>
      <w:r w:rsidRPr="00857CDA">
        <w:rPr>
          <w:lang w:val="ro-RO"/>
        </w:rPr>
        <w:t>6.1.3</w:t>
      </w:r>
      <w:r w:rsidR="00734569" w:rsidRPr="00857CDA">
        <w:rPr>
          <w:lang w:val="ro-RO"/>
        </w:rPr>
        <w:t>,</w:t>
      </w:r>
      <w:r w:rsidRPr="00857CDA">
        <w:rPr>
          <w:lang w:val="ro-RO"/>
        </w:rPr>
        <w:t xml:space="preserve"> Nota 3</w:t>
      </w:r>
      <w:r w:rsidRPr="00857CDA">
        <w:rPr>
          <w:lang w:val="ro-RO"/>
        </w:rPr>
        <w:tab/>
      </w:r>
      <w:r w:rsidR="00902C44" w:rsidRPr="00857CDA">
        <w:rPr>
          <w:lang w:val="ro-RO"/>
        </w:rPr>
        <w:t>Se modifică</w:t>
      </w:r>
      <w:r w:rsidRPr="00857CDA">
        <w:rPr>
          <w:lang w:val="ro-RO"/>
        </w:rPr>
        <w:t xml:space="preserve"> </w:t>
      </w:r>
      <w:r w:rsidR="00FE5FC3" w:rsidRPr="00857CDA">
        <w:rPr>
          <w:lang w:val="ro-RO"/>
        </w:rPr>
        <w:t>„</w:t>
      </w:r>
      <w:r w:rsidR="002B679C" w:rsidRPr="00857CDA">
        <w:rPr>
          <w:lang w:val="ro-RO"/>
        </w:rPr>
        <w:t>risc</w:t>
      </w:r>
      <w:r w:rsidR="00660131" w:rsidRPr="00857CDA">
        <w:rPr>
          <w:lang w:val="ro-RO"/>
        </w:rPr>
        <w:t>”</w:t>
      </w:r>
      <w:r w:rsidR="00902C44" w:rsidRPr="00857CDA">
        <w:rPr>
          <w:lang w:val="ro-RO"/>
        </w:rPr>
        <w:t xml:space="preserve"> cu </w:t>
      </w:r>
      <w:r w:rsidR="00FE5FC3" w:rsidRPr="00857CDA">
        <w:rPr>
          <w:lang w:val="ro-RO"/>
        </w:rPr>
        <w:t>„</w:t>
      </w:r>
      <w:r w:rsidR="002B679C" w:rsidRPr="00857CDA">
        <w:rPr>
          <w:lang w:val="ro-RO"/>
        </w:rPr>
        <w:t>pericol</w:t>
      </w:r>
      <w:r w:rsidR="00660131" w:rsidRPr="00857CDA">
        <w:rPr>
          <w:lang w:val="ro-RO"/>
        </w:rPr>
        <w:t>”</w:t>
      </w:r>
      <w:r w:rsidRPr="00857CDA">
        <w:rPr>
          <w:lang w:val="ro-RO"/>
        </w:rPr>
        <w:t>.</w:t>
      </w:r>
    </w:p>
    <w:p w:rsidR="00196C06" w:rsidRPr="00857CDA" w:rsidRDefault="00FD3C88" w:rsidP="00196C06">
      <w:pPr>
        <w:pStyle w:val="SingleTxtG"/>
        <w:rPr>
          <w:iCs/>
          <w:lang w:val="ro-RO"/>
        </w:rPr>
      </w:pPr>
      <w:r w:rsidRPr="00857CDA">
        <w:rPr>
          <w:iCs/>
          <w:lang w:val="ro-RO"/>
        </w:rPr>
        <w:t>6.1.5.8.1</w:t>
      </w:r>
      <w:r w:rsidR="00196C06" w:rsidRPr="00857CDA">
        <w:rPr>
          <w:iCs/>
          <w:lang w:val="ro-RO"/>
        </w:rPr>
        <w:tab/>
      </w:r>
      <w:r w:rsidR="00902C44" w:rsidRPr="00857CDA">
        <w:rPr>
          <w:iCs/>
          <w:lang w:val="ro-RO"/>
        </w:rPr>
        <w:t>Se adaugă</w:t>
      </w:r>
      <w:r w:rsidR="00196C06" w:rsidRPr="00857CDA">
        <w:rPr>
          <w:iCs/>
          <w:lang w:val="ro-RO"/>
        </w:rPr>
        <w:t xml:space="preserve"> la </w:t>
      </w:r>
      <w:r w:rsidR="00045FB6" w:rsidRPr="00857CDA">
        <w:rPr>
          <w:iCs/>
          <w:lang w:val="ro-RO"/>
        </w:rPr>
        <w:t xml:space="preserve">finalul punctului 8, </w:t>
      </w:r>
      <w:r w:rsidR="00970E20" w:rsidRPr="00857CDA">
        <w:rPr>
          <w:iCs/>
          <w:lang w:val="ro-RO"/>
        </w:rPr>
        <w:t>fraz</w:t>
      </w:r>
      <w:r w:rsidR="00045FB6" w:rsidRPr="00857CDA">
        <w:rPr>
          <w:iCs/>
          <w:lang w:val="ro-RO"/>
        </w:rPr>
        <w:t>a următoare</w:t>
      </w:r>
      <w:r w:rsidR="00091658" w:rsidRPr="00857CDA">
        <w:rPr>
          <w:lang w:val="ro-RO"/>
        </w:rPr>
        <w:t>:</w:t>
      </w:r>
      <w:r w:rsidR="00196C06" w:rsidRPr="00857CDA">
        <w:rPr>
          <w:iCs/>
          <w:lang w:val="ro-RO"/>
        </w:rPr>
        <w:t xml:space="preserve"> </w:t>
      </w:r>
      <w:r w:rsidR="00FE5FC3" w:rsidRPr="00857CDA">
        <w:rPr>
          <w:lang w:val="ro-RO"/>
        </w:rPr>
        <w:t>„</w:t>
      </w:r>
      <w:r w:rsidR="00991390" w:rsidRPr="00857CDA">
        <w:rPr>
          <w:iCs/>
          <w:lang w:val="ro-RO"/>
        </w:rPr>
        <w:t>Pentru</w:t>
      </w:r>
      <w:r w:rsidR="00196C06" w:rsidRPr="00857CDA">
        <w:rPr>
          <w:iCs/>
          <w:lang w:val="ro-RO"/>
        </w:rPr>
        <w:t xml:space="preserve"> </w:t>
      </w:r>
      <w:r w:rsidR="00045FB6" w:rsidRPr="00857CDA">
        <w:rPr>
          <w:iCs/>
          <w:lang w:val="ro-RO"/>
        </w:rPr>
        <w:t>ambalajele din plastic</w:t>
      </w:r>
      <w:r w:rsidR="00196C06" w:rsidRPr="00857CDA">
        <w:rPr>
          <w:iCs/>
          <w:lang w:val="ro-RO"/>
        </w:rPr>
        <w:t xml:space="preserve"> su</w:t>
      </w:r>
      <w:r w:rsidR="00045FB6" w:rsidRPr="00857CDA">
        <w:rPr>
          <w:iCs/>
          <w:lang w:val="ro-RO"/>
        </w:rPr>
        <w:t>puse încercării la presiune internă</w:t>
      </w:r>
      <w:r w:rsidR="00196C06" w:rsidRPr="00857CDA">
        <w:rPr>
          <w:iCs/>
          <w:lang w:val="ro-RO"/>
        </w:rPr>
        <w:t xml:space="preserve"> d</w:t>
      </w:r>
      <w:r w:rsidR="00045FB6" w:rsidRPr="00857CDA">
        <w:rPr>
          <w:iCs/>
          <w:lang w:val="ro-RO"/>
        </w:rPr>
        <w:t>e la</w:t>
      </w:r>
      <w:r w:rsidR="00196C06" w:rsidRPr="00857CDA">
        <w:rPr>
          <w:iCs/>
          <w:lang w:val="ro-RO"/>
        </w:rPr>
        <w:t xml:space="preserve"> 6.1.5.5, temp</w:t>
      </w:r>
      <w:r w:rsidR="00045FB6" w:rsidRPr="00857CDA">
        <w:rPr>
          <w:iCs/>
          <w:lang w:val="ro-RO"/>
        </w:rPr>
        <w:t>e</w:t>
      </w:r>
      <w:r w:rsidR="00196C06" w:rsidRPr="00857CDA">
        <w:rPr>
          <w:iCs/>
          <w:lang w:val="ro-RO"/>
        </w:rPr>
        <w:t>ratur</w:t>
      </w:r>
      <w:r w:rsidR="00045FB6" w:rsidRPr="00857CDA">
        <w:rPr>
          <w:iCs/>
          <w:lang w:val="ro-RO"/>
        </w:rPr>
        <w:t>a apei utilizate</w:t>
      </w:r>
      <w:r w:rsidR="00963C4D">
        <w:rPr>
          <w:iCs/>
          <w:lang w:val="ro-RO"/>
        </w:rPr>
        <w:t>;</w:t>
      </w:r>
      <w:r w:rsidR="00660131" w:rsidRPr="00857CDA">
        <w:rPr>
          <w:lang w:val="ro-RO"/>
        </w:rPr>
        <w:t>”</w:t>
      </w:r>
      <w:r w:rsidR="00196C06" w:rsidRPr="00857CDA">
        <w:rPr>
          <w:iCs/>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6.2</w:t>
      </w:r>
    </w:p>
    <w:p w:rsidR="00196C06" w:rsidRPr="00857CDA" w:rsidRDefault="00196C06" w:rsidP="00196C06">
      <w:pPr>
        <w:pStyle w:val="SingleTxtG"/>
        <w:tabs>
          <w:tab w:val="left" w:pos="2268"/>
        </w:tabs>
        <w:spacing w:before="120"/>
        <w:rPr>
          <w:lang w:val="ro-RO"/>
        </w:rPr>
      </w:pPr>
      <w:r w:rsidRPr="00857CDA">
        <w:rPr>
          <w:lang w:val="ro-RO"/>
        </w:rPr>
        <w:t>6.2.1.6.1</w:t>
      </w:r>
      <w:r w:rsidRPr="00857CDA">
        <w:rPr>
          <w:lang w:val="ro-RO"/>
        </w:rPr>
        <w:tab/>
      </w:r>
      <w:r w:rsidR="002B679C" w:rsidRPr="00857CDA">
        <w:rPr>
          <w:lang w:val="ro-RO"/>
        </w:rPr>
        <w:t>Se modifică</w:t>
      </w:r>
      <w:r w:rsidRPr="00857CDA">
        <w:rPr>
          <w:lang w:val="ro-RO"/>
        </w:rPr>
        <w:t xml:space="preserve"> Nota 2</w:t>
      </w:r>
      <w:r w:rsidR="002B679C" w:rsidRPr="00857CDA">
        <w:rPr>
          <w:lang w:val="ro-RO"/>
        </w:rPr>
        <w:t>, după cum urmează</w:t>
      </w:r>
      <w:r w:rsidR="00091658" w:rsidRPr="00857CDA">
        <w:rPr>
          <w:lang w:val="ro-RO"/>
        </w:rPr>
        <w:t>:</w:t>
      </w:r>
      <w:r w:rsidRPr="00857CDA">
        <w:rPr>
          <w:lang w:val="ro-RO"/>
        </w:rPr>
        <w:t xml:space="preserve"> </w:t>
      </w:r>
    </w:p>
    <w:p w:rsidR="00196C06" w:rsidRPr="00857CDA" w:rsidRDefault="00FE5FC3" w:rsidP="00286CE7">
      <w:pPr>
        <w:pStyle w:val="SingleTxtG"/>
        <w:tabs>
          <w:tab w:val="left" w:pos="1701"/>
        </w:tabs>
        <w:spacing w:before="120"/>
        <w:rPr>
          <w:lang w:val="ro-RO"/>
        </w:rPr>
      </w:pPr>
      <w:r w:rsidRPr="00857CDA">
        <w:rPr>
          <w:lang w:val="ro-RO"/>
        </w:rPr>
        <w:t>„</w:t>
      </w:r>
      <w:r w:rsidR="00045FB6" w:rsidRPr="00857CDA">
        <w:rPr>
          <w:b/>
          <w:i/>
          <w:lang w:val="ro-RO"/>
        </w:rPr>
        <w:t xml:space="preserve">Nota </w:t>
      </w:r>
      <w:r w:rsidR="00196C06" w:rsidRPr="00857CDA">
        <w:rPr>
          <w:b/>
          <w:i/>
          <w:lang w:val="ro-RO"/>
        </w:rPr>
        <w:t>2:</w:t>
      </w:r>
      <w:r w:rsidR="00196C06" w:rsidRPr="00857CDA">
        <w:rPr>
          <w:i/>
          <w:lang w:val="ro-RO"/>
        </w:rPr>
        <w:t xml:space="preserve"> </w:t>
      </w:r>
      <w:r w:rsidR="004A0ECF" w:rsidRPr="00857CDA">
        <w:rPr>
          <w:i/>
          <w:lang w:val="ro-RO"/>
        </w:rPr>
        <w:t xml:space="preserve">Pentru buteliile și tuburile din oțel fără sudură, verificarea de la 6.2.1.6.1 </w:t>
      </w:r>
      <w:r w:rsidR="006A1F4F" w:rsidRPr="00857CDA">
        <w:rPr>
          <w:i/>
          <w:lang w:val="ro-RO"/>
        </w:rPr>
        <w:t xml:space="preserve">(b) </w:t>
      </w:r>
      <w:r w:rsidR="004A0ECF" w:rsidRPr="00857CDA">
        <w:rPr>
          <w:i/>
          <w:lang w:val="ro-RO"/>
        </w:rPr>
        <w:t xml:space="preserve">și încercarea de presiune hidraulică de la 6.2.1.6.1 </w:t>
      </w:r>
      <w:r w:rsidR="006A1F4F" w:rsidRPr="00857CDA">
        <w:rPr>
          <w:i/>
          <w:lang w:val="ro-RO"/>
        </w:rPr>
        <w:t xml:space="preserve">(d) </w:t>
      </w:r>
      <w:r w:rsidR="004A0ECF" w:rsidRPr="00857CDA">
        <w:rPr>
          <w:i/>
          <w:lang w:val="ro-RO"/>
        </w:rPr>
        <w:t xml:space="preserve">pot fi înlocuite cu o procedură </w:t>
      </w:r>
      <w:r w:rsidR="006A1F4F" w:rsidRPr="00857CDA">
        <w:rPr>
          <w:i/>
          <w:lang w:val="ro-RO"/>
        </w:rPr>
        <w:t xml:space="preserve">în </w:t>
      </w:r>
      <w:r w:rsidR="004A0ECF" w:rsidRPr="00857CDA">
        <w:rPr>
          <w:i/>
          <w:lang w:val="ro-RO"/>
        </w:rPr>
        <w:t>conform</w:t>
      </w:r>
      <w:r w:rsidR="006A1F4F" w:rsidRPr="00857CDA">
        <w:rPr>
          <w:i/>
          <w:lang w:val="ro-RO"/>
        </w:rPr>
        <w:t>itate</w:t>
      </w:r>
      <w:r w:rsidR="004A0ECF" w:rsidRPr="00857CDA">
        <w:rPr>
          <w:i/>
          <w:lang w:val="ro-RO"/>
        </w:rPr>
        <w:t xml:space="preserve"> cu standardul ISO 16148:2016 </w:t>
      </w:r>
      <w:r w:rsidR="004A0ECF" w:rsidRPr="00857CDA">
        <w:rPr>
          <w:lang w:val="ro-RO"/>
        </w:rPr>
        <w:t>„</w:t>
      </w:r>
      <w:r w:rsidR="004A0ECF" w:rsidRPr="00857CDA">
        <w:rPr>
          <w:i/>
          <w:lang w:val="ro-RO"/>
        </w:rPr>
        <w:t>Butelii de gaz – Butelii şi tuburi de gaz reîncărcabile, de oţel, fără sudură – Examinare prin emisie acustică (AT) şi examinare ulterioară ultrasonică (UT) pentru inspecţie periodică şi încercare</w:t>
      </w:r>
      <w:r w:rsidR="00660131" w:rsidRPr="00857CDA">
        <w:rPr>
          <w:i/>
          <w:lang w:val="ro-RO"/>
        </w:rPr>
        <w:t>”</w:t>
      </w:r>
      <w:r w:rsidR="00196C06" w:rsidRPr="00857CDA">
        <w:rPr>
          <w:i/>
          <w:lang w:val="ro-RO"/>
        </w:rPr>
        <w:t>.</w:t>
      </w:r>
      <w:r w:rsidR="00660131" w:rsidRPr="00857CDA">
        <w:rPr>
          <w:lang w:val="ro-RO"/>
        </w:rPr>
        <w:t>”</w:t>
      </w:r>
      <w:r w:rsidR="00196C06" w:rsidRPr="00857CDA">
        <w:rPr>
          <w:lang w:val="ro-RO"/>
        </w:rPr>
        <w:t>.</w:t>
      </w:r>
    </w:p>
    <w:p w:rsidR="00196C06" w:rsidRPr="00C77715" w:rsidRDefault="00196C06" w:rsidP="006A1F4F">
      <w:pPr>
        <w:pStyle w:val="SingleTxtG"/>
        <w:tabs>
          <w:tab w:val="left" w:pos="2268"/>
        </w:tabs>
        <w:spacing w:before="120"/>
        <w:rPr>
          <w:lang w:val="ro-RO"/>
        </w:rPr>
      </w:pPr>
      <w:r w:rsidRPr="00857CDA">
        <w:rPr>
          <w:lang w:val="ro-RO"/>
        </w:rPr>
        <w:t>6.2.1.6.1</w:t>
      </w:r>
      <w:r w:rsidRPr="00857CDA">
        <w:rPr>
          <w:lang w:val="ro-RO"/>
        </w:rPr>
        <w:tab/>
      </w:r>
      <w:r w:rsidR="00902C44" w:rsidRPr="00857CDA">
        <w:rPr>
          <w:lang w:val="ro-RO"/>
        </w:rPr>
        <w:t xml:space="preserve">În </w:t>
      </w:r>
      <w:r w:rsidRPr="00857CDA">
        <w:rPr>
          <w:lang w:val="ro-RO"/>
        </w:rPr>
        <w:t xml:space="preserve">Nota 3, </w:t>
      </w:r>
      <w:r w:rsidR="006A1F4F" w:rsidRPr="00857CDA">
        <w:rPr>
          <w:lang w:val="ro-RO"/>
        </w:rPr>
        <w:t>s</w:t>
      </w:r>
      <w:r w:rsidR="00902C44" w:rsidRPr="00857CDA">
        <w:rPr>
          <w:lang w:val="ro-RO"/>
        </w:rPr>
        <w:t>e modifică</w:t>
      </w:r>
      <w:r w:rsidRPr="00857CDA">
        <w:rPr>
          <w:lang w:val="ro-RO"/>
        </w:rPr>
        <w:t xml:space="preserve"> </w:t>
      </w:r>
      <w:r w:rsidR="006A1F4F" w:rsidRPr="00857CDA">
        <w:rPr>
          <w:lang w:val="ro-RO"/>
        </w:rPr>
        <w:t xml:space="preserve">începutul frazei, după cum urmează: </w:t>
      </w:r>
      <w:r w:rsidR="00FE5FC3" w:rsidRPr="00857CDA">
        <w:rPr>
          <w:lang w:val="ro-RO"/>
        </w:rPr>
        <w:t>„</w:t>
      </w:r>
      <w:r w:rsidR="006A1F4F" w:rsidRPr="00857CDA">
        <w:rPr>
          <w:i/>
          <w:lang w:val="ro-RO"/>
        </w:rPr>
        <w:t xml:space="preserve">Inspecția de la 6.2.1.6.1 (b) și încercarea de presiune hidraulică de la 6.2.1.6.1 (d) pot fi </w:t>
      </w:r>
      <w:r w:rsidR="006A1F4F" w:rsidRPr="00C77715">
        <w:rPr>
          <w:lang w:val="ro-RO"/>
        </w:rPr>
        <w:t>înlocuite</w:t>
      </w:r>
      <w:r w:rsidR="00C77715" w:rsidRPr="00C77715">
        <w:rPr>
          <w:lang w:val="ro-RO"/>
        </w:rPr>
        <w:t xml:space="preserve"> printr-o</w:t>
      </w:r>
      <w:r w:rsidR="00660131" w:rsidRPr="00C77715">
        <w:rPr>
          <w:lang w:val="ro-RO"/>
        </w:rPr>
        <w:t>”</w:t>
      </w:r>
      <w:r w:rsidRPr="00C77715">
        <w:rPr>
          <w:lang w:val="ro-RO"/>
        </w:rPr>
        <w:t>.</w:t>
      </w:r>
    </w:p>
    <w:p w:rsidR="00196C06" w:rsidRPr="00857CDA" w:rsidRDefault="00196C06" w:rsidP="00196C06">
      <w:pPr>
        <w:pStyle w:val="SingleTxtG"/>
        <w:spacing w:before="120"/>
        <w:rPr>
          <w:lang w:val="ro-RO"/>
        </w:rPr>
      </w:pPr>
      <w:r w:rsidRPr="00857CDA">
        <w:rPr>
          <w:lang w:val="ro-RO"/>
        </w:rPr>
        <w:t>6.2.2.1.1</w:t>
      </w:r>
      <w:r w:rsidRPr="00857CDA">
        <w:rPr>
          <w:lang w:val="ro-RO"/>
        </w:rPr>
        <w:tab/>
      </w:r>
      <w:r w:rsidR="00902C44" w:rsidRPr="00857CDA">
        <w:rPr>
          <w:lang w:val="ro-RO"/>
        </w:rPr>
        <w:t xml:space="preserve">În </w:t>
      </w:r>
      <w:r w:rsidR="006A1F4F" w:rsidRPr="00857CDA">
        <w:rPr>
          <w:lang w:val="ro-RO"/>
        </w:rPr>
        <w:t>tabel</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lang w:val="ro-RO"/>
        </w:rPr>
        <w:t>ISO 11118:1999</w:t>
      </w:r>
      <w:r w:rsidR="00660131" w:rsidRPr="00857CDA">
        <w:rPr>
          <w:lang w:val="ro-RO"/>
        </w:rPr>
        <w:t>”</w:t>
      </w:r>
      <w:r w:rsidRPr="00857CDA">
        <w:rPr>
          <w:lang w:val="ro-RO"/>
        </w:rPr>
        <w:t xml:space="preserve">, </w:t>
      </w:r>
      <w:r w:rsidR="00B77817" w:rsidRPr="00857CDA">
        <w:rPr>
          <w:lang w:val="ro-RO"/>
        </w:rPr>
        <w:t xml:space="preserve">în coloana a doua se modifică titlul după cum urmează: „Butelii pentru gaz - Butelii metalice pentru gaz, nereîncărcabile - Specificaţii şi metode de încercare”, iar </w:t>
      </w:r>
      <w:r w:rsidR="006A1F4F" w:rsidRPr="00857CDA">
        <w:rPr>
          <w:lang w:val="ro-RO"/>
        </w:rPr>
        <w:t>î</w:t>
      </w:r>
      <w:r w:rsidR="00902C44" w:rsidRPr="00857CDA">
        <w:rPr>
          <w:lang w:val="ro-RO"/>
        </w:rPr>
        <w:t xml:space="preserve">n </w:t>
      </w:r>
      <w:r w:rsidR="00121893" w:rsidRPr="00857CDA">
        <w:rPr>
          <w:lang w:val="ro-RO"/>
        </w:rPr>
        <w:t>coloana</w:t>
      </w:r>
      <w:r w:rsidRPr="00857CDA">
        <w:rPr>
          <w:lang w:val="ro-RO"/>
        </w:rPr>
        <w:t xml:space="preserve"> </w:t>
      </w:r>
      <w:r w:rsidR="00FE5FC3" w:rsidRPr="00857CDA">
        <w:rPr>
          <w:lang w:val="ro-RO"/>
        </w:rPr>
        <w:t>„</w:t>
      </w:r>
      <w:r w:rsidRPr="00857CDA">
        <w:rPr>
          <w:lang w:val="ro-RO"/>
        </w:rPr>
        <w:t>Aplicab</w:t>
      </w:r>
      <w:r w:rsidR="006A1F4F" w:rsidRPr="00857CDA">
        <w:rPr>
          <w:lang w:val="ro-RO"/>
        </w:rPr>
        <w:t>i</w:t>
      </w:r>
      <w:r w:rsidRPr="00857CDA">
        <w:rPr>
          <w:lang w:val="ro-RO"/>
        </w:rPr>
        <w:t xml:space="preserve">l </w:t>
      </w:r>
      <w:r w:rsidR="006A1F4F" w:rsidRPr="00857CDA">
        <w:rPr>
          <w:lang w:val="ro-RO"/>
        </w:rPr>
        <w:t xml:space="preserve">pentru </w:t>
      </w:r>
      <w:r w:rsidRPr="00857CDA">
        <w:rPr>
          <w:lang w:val="ro-RO"/>
        </w:rPr>
        <w:t>fabrica</w:t>
      </w:r>
      <w:r w:rsidR="006A1F4F" w:rsidRPr="00857CDA">
        <w:rPr>
          <w:lang w:val="ro-RO"/>
        </w:rPr>
        <w:t>ție</w:t>
      </w:r>
      <w:r w:rsidR="00660131" w:rsidRPr="00857CDA">
        <w:rPr>
          <w:lang w:val="ro-RO"/>
        </w:rPr>
        <w:t>”</w:t>
      </w:r>
      <w:r w:rsidRPr="00857CDA">
        <w:rPr>
          <w:lang w:val="ro-RO"/>
        </w:rPr>
        <w:t xml:space="preserve">, </w:t>
      </w:r>
      <w:r w:rsidR="006A1F4F" w:rsidRPr="00857CDA">
        <w:rPr>
          <w:lang w:val="ro-RO"/>
        </w:rPr>
        <w:t>s</w:t>
      </w:r>
      <w:r w:rsidR="00902C44" w:rsidRPr="00857CDA">
        <w:rPr>
          <w:lang w:val="ro-RO"/>
        </w:rPr>
        <w:t>e modifică</w:t>
      </w:r>
      <w:r w:rsidRPr="00857CDA">
        <w:rPr>
          <w:lang w:val="ro-RO"/>
        </w:rPr>
        <w:t xml:space="preserve"> </w:t>
      </w:r>
      <w:r w:rsidR="00FE5FC3" w:rsidRPr="00857CDA">
        <w:rPr>
          <w:lang w:val="ro-RO"/>
        </w:rPr>
        <w:t>„</w:t>
      </w:r>
      <w:r w:rsidR="006A1F4F"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FE5FC3" w:rsidRPr="00857CDA">
        <w:rPr>
          <w:lang w:val="ro-RO"/>
        </w:rPr>
        <w:t>„</w:t>
      </w:r>
      <w:r w:rsidR="006A1F4F" w:rsidRPr="00857CDA">
        <w:rPr>
          <w:lang w:val="ro-RO"/>
        </w:rPr>
        <w:t>Până la 31 decembrie 2020</w:t>
      </w:r>
      <w:r w:rsidR="00660131" w:rsidRPr="00857CDA">
        <w:rPr>
          <w:lang w:val="ro-RO"/>
        </w:rPr>
        <w:t>”</w:t>
      </w:r>
      <w:r w:rsidRPr="00857CDA">
        <w:rPr>
          <w:lang w:val="ro-RO"/>
        </w:rPr>
        <w:t>.</w:t>
      </w:r>
    </w:p>
    <w:p w:rsidR="00196C06" w:rsidRPr="00857CDA" w:rsidRDefault="00196C06" w:rsidP="00196C06">
      <w:pPr>
        <w:pStyle w:val="SingleTxtG"/>
        <w:spacing w:before="120"/>
        <w:rPr>
          <w:lang w:val="ro-RO"/>
        </w:rPr>
      </w:pPr>
      <w:r w:rsidRPr="00857CDA">
        <w:rPr>
          <w:lang w:val="ro-RO"/>
        </w:rPr>
        <w:t>6.2.2.1.1</w:t>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lang w:val="ro-RO"/>
        </w:rPr>
        <w:t>ISO 11118:1999</w:t>
      </w:r>
      <w:r w:rsidR="00660131" w:rsidRPr="00857CDA">
        <w:rPr>
          <w:lang w:val="ro-RO"/>
        </w:rPr>
        <w:t>”</w:t>
      </w:r>
      <w:r w:rsidRPr="00857CDA">
        <w:rPr>
          <w:lang w:val="ro-RO"/>
        </w:rPr>
        <w:t xml:space="preserve">, </w:t>
      </w:r>
      <w:r w:rsidR="00902C44" w:rsidRPr="00857CDA">
        <w:rPr>
          <w:lang w:val="ro-RO"/>
        </w:rPr>
        <w:t>se adaugă</w:t>
      </w:r>
      <w:r w:rsidR="006A1F4F" w:rsidRPr="00857CDA">
        <w:rPr>
          <w:lang w:val="ro-RO"/>
        </w:rPr>
        <w:t xml:space="preserve"> un nou rând, după cum urmează</w:t>
      </w:r>
      <w:r w:rsidR="00091658" w:rsidRPr="00857CDA">
        <w:rPr>
          <w:lang w:val="ro-RO"/>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7D305F" w:rsidTr="006201FD">
        <w:trPr>
          <w:cantSplit/>
        </w:trPr>
        <w:tc>
          <w:tcPr>
            <w:tcW w:w="1814" w:type="dxa"/>
            <w:shd w:val="clear" w:color="auto" w:fill="auto"/>
          </w:tcPr>
          <w:p w:rsidR="00196C06" w:rsidRPr="00857CDA" w:rsidRDefault="00196C06" w:rsidP="006201FD">
            <w:pPr>
              <w:suppressAutoHyphens w:val="0"/>
              <w:spacing w:before="60" w:after="60" w:line="240" w:lineRule="auto"/>
              <w:ind w:right="113"/>
              <w:rPr>
                <w:lang w:val="ro-RO"/>
              </w:rPr>
            </w:pPr>
            <w:r w:rsidRPr="00857CDA">
              <w:rPr>
                <w:lang w:val="ro-RO"/>
              </w:rPr>
              <w:t>ISO 11118:2015</w:t>
            </w:r>
          </w:p>
        </w:tc>
        <w:tc>
          <w:tcPr>
            <w:tcW w:w="4763" w:type="dxa"/>
            <w:shd w:val="clear" w:color="auto" w:fill="auto"/>
          </w:tcPr>
          <w:p w:rsidR="00196C06" w:rsidRPr="00857CDA" w:rsidRDefault="00B77817" w:rsidP="00B77817">
            <w:pPr>
              <w:suppressAutoHyphens w:val="0"/>
              <w:spacing w:before="60" w:after="60" w:line="240" w:lineRule="auto"/>
              <w:ind w:right="113"/>
              <w:rPr>
                <w:lang w:val="ro-RO"/>
              </w:rPr>
            </w:pPr>
            <w:r w:rsidRPr="00857CDA">
              <w:rPr>
                <w:snapToGrid w:val="0"/>
                <w:lang w:val="ro-RO"/>
              </w:rPr>
              <w:t>Butelii pentru gaz - Butelii metalice pentru gaz, nereîncărcabile - Specificaţii şi metode de încercare</w:t>
            </w:r>
          </w:p>
        </w:tc>
        <w:tc>
          <w:tcPr>
            <w:tcW w:w="1985" w:type="dxa"/>
            <w:shd w:val="clear" w:color="auto" w:fill="auto"/>
          </w:tcPr>
          <w:p w:rsidR="00196C06" w:rsidRPr="00857CDA" w:rsidRDefault="00B77817" w:rsidP="006201FD">
            <w:pPr>
              <w:suppressAutoHyphens w:val="0"/>
              <w:spacing w:before="60" w:after="60" w:line="240" w:lineRule="auto"/>
              <w:ind w:right="113"/>
              <w:rPr>
                <w:lang w:val="ro-RO"/>
              </w:rPr>
            </w:pPr>
            <w:r w:rsidRPr="00857CDA">
              <w:rPr>
                <w:color w:val="000000"/>
                <w:lang w:val="ro-RO" w:eastAsia="fr-FR"/>
              </w:rPr>
              <w:t>Până la o notificare ulterioară</w:t>
            </w:r>
          </w:p>
        </w:tc>
      </w:tr>
    </w:tbl>
    <w:p w:rsidR="00196C06" w:rsidRPr="00857CDA" w:rsidRDefault="00196C06" w:rsidP="00196C06">
      <w:pPr>
        <w:pStyle w:val="SingleTxtG"/>
        <w:spacing w:before="120"/>
        <w:rPr>
          <w:lang w:val="ro-RO"/>
        </w:rPr>
      </w:pPr>
      <w:r w:rsidRPr="00857CDA">
        <w:rPr>
          <w:lang w:val="ro-RO"/>
        </w:rPr>
        <w:t>6.2.2.1.2</w:t>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lang w:val="ro-RO"/>
        </w:rPr>
        <w:t>ISO 11120:1999</w:t>
      </w:r>
      <w:r w:rsidR="00660131" w:rsidRPr="00857CDA">
        <w:rPr>
          <w:lang w:val="ro-RO"/>
        </w:rPr>
        <w:t>”</w:t>
      </w:r>
      <w:r w:rsidRPr="00857CDA">
        <w:rPr>
          <w:lang w:val="ro-RO"/>
        </w:rPr>
        <w:t xml:space="preserve">, </w:t>
      </w:r>
      <w:r w:rsidR="00B77817" w:rsidRPr="00857CDA">
        <w:rPr>
          <w:lang w:val="ro-RO"/>
        </w:rPr>
        <w:t xml:space="preserve">în </w:t>
      </w:r>
      <w:r w:rsidR="00121893" w:rsidRPr="00857CDA">
        <w:rPr>
          <w:lang w:val="ro-RO"/>
        </w:rPr>
        <w:t>coloana</w:t>
      </w:r>
      <w:r w:rsidRPr="00857CDA">
        <w:rPr>
          <w:lang w:val="ro-RO"/>
        </w:rPr>
        <w:t xml:space="preserve"> </w:t>
      </w:r>
      <w:r w:rsidR="00FE5FC3" w:rsidRPr="00857CDA">
        <w:rPr>
          <w:lang w:val="ro-RO"/>
        </w:rPr>
        <w:t>„</w:t>
      </w:r>
      <w:r w:rsidR="00B77817" w:rsidRPr="00857CDA">
        <w:rPr>
          <w:lang w:val="ro-RO"/>
        </w:rPr>
        <w:t>Aplicabil pentru fabricație</w:t>
      </w:r>
      <w:r w:rsidR="00660131" w:rsidRPr="00857CDA">
        <w:rPr>
          <w:lang w:val="ro-RO"/>
        </w:rPr>
        <w:t>”</w:t>
      </w:r>
      <w:r w:rsidRPr="00857CDA">
        <w:rPr>
          <w:lang w:val="ro-RO"/>
        </w:rPr>
        <w:t xml:space="preserve">, </w:t>
      </w:r>
      <w:r w:rsidR="00B77817" w:rsidRPr="00857CDA">
        <w:rPr>
          <w:lang w:val="ro-RO"/>
        </w:rPr>
        <w:t xml:space="preserve">se </w:t>
      </w:r>
      <w:r w:rsidR="00902C44" w:rsidRPr="00857CDA">
        <w:rPr>
          <w:lang w:val="ro-RO"/>
        </w:rPr>
        <w:t>modifică</w:t>
      </w:r>
      <w:r w:rsidRPr="00857CDA">
        <w:rPr>
          <w:lang w:val="ro-RO"/>
        </w:rPr>
        <w:t xml:space="preserve"> </w:t>
      </w:r>
      <w:r w:rsidR="00FE5FC3"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FE5FC3" w:rsidRPr="00857CDA">
        <w:rPr>
          <w:lang w:val="ro-RO"/>
        </w:rPr>
        <w:t>„</w:t>
      </w:r>
      <w:r w:rsidR="00B77817" w:rsidRPr="00857CDA">
        <w:rPr>
          <w:lang w:val="ro-RO"/>
        </w:rPr>
        <w:t xml:space="preserve">Până la 31 decembrie </w:t>
      </w:r>
      <w:r w:rsidRPr="00857CDA">
        <w:rPr>
          <w:lang w:val="ro-RO"/>
        </w:rPr>
        <w:t>2022</w:t>
      </w:r>
      <w:r w:rsidR="00660131" w:rsidRPr="00857CDA">
        <w:rPr>
          <w:lang w:val="ro-RO"/>
        </w:rPr>
        <w:t>”</w:t>
      </w:r>
      <w:r w:rsidRPr="00857CDA">
        <w:rPr>
          <w:lang w:val="ro-RO"/>
        </w:rPr>
        <w:t>.</w:t>
      </w:r>
    </w:p>
    <w:p w:rsidR="00196C06" w:rsidRPr="00857CDA" w:rsidRDefault="00196C06" w:rsidP="00196C06">
      <w:pPr>
        <w:pStyle w:val="SingleTxtG"/>
        <w:spacing w:before="120"/>
        <w:rPr>
          <w:lang w:val="ro-RO"/>
        </w:rPr>
      </w:pPr>
      <w:r w:rsidRPr="00857CDA">
        <w:rPr>
          <w:lang w:val="ro-RO"/>
        </w:rPr>
        <w:lastRenderedPageBreak/>
        <w:t>6.2.2.1.2</w:t>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lang w:val="ro-RO"/>
        </w:rPr>
        <w:t>ISO 11120:1999</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B77817" w:rsidRPr="00857CDA">
        <w:rPr>
          <w:lang w:val="ro-RO"/>
        </w:rPr>
        <w:t>un nou rând, după cum urmează</w:t>
      </w:r>
      <w:r w:rsidR="00091658" w:rsidRPr="00857CDA">
        <w:rPr>
          <w:lang w:val="ro-RO"/>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A074FC" w:rsidRPr="007D305F" w:rsidTr="006201FD">
        <w:trPr>
          <w:cantSplit/>
        </w:trPr>
        <w:tc>
          <w:tcPr>
            <w:tcW w:w="1814" w:type="dxa"/>
            <w:shd w:val="clear" w:color="auto" w:fill="auto"/>
          </w:tcPr>
          <w:p w:rsidR="00196C06" w:rsidRPr="00857CDA" w:rsidRDefault="00196C06" w:rsidP="006201FD">
            <w:pPr>
              <w:suppressAutoHyphens w:val="0"/>
              <w:spacing w:line="240" w:lineRule="auto"/>
              <w:ind w:right="113"/>
              <w:rPr>
                <w:lang w:val="ro-RO"/>
              </w:rPr>
            </w:pPr>
            <w:r w:rsidRPr="00857CDA">
              <w:rPr>
                <w:lang w:val="ro-RO"/>
              </w:rPr>
              <w:t>ISO 11120:2015</w:t>
            </w:r>
          </w:p>
        </w:tc>
        <w:tc>
          <w:tcPr>
            <w:tcW w:w="4763" w:type="dxa"/>
            <w:shd w:val="clear" w:color="auto" w:fill="auto"/>
          </w:tcPr>
          <w:p w:rsidR="00196C06" w:rsidRPr="00857CDA" w:rsidRDefault="00B77817" w:rsidP="006201FD">
            <w:pPr>
              <w:suppressAutoHyphens w:val="0"/>
              <w:spacing w:line="240" w:lineRule="auto"/>
              <w:ind w:right="113"/>
              <w:rPr>
                <w:lang w:val="ro-RO"/>
              </w:rPr>
            </w:pPr>
            <w:r w:rsidRPr="00857CDA">
              <w:rPr>
                <w:lang w:val="ro-RO"/>
              </w:rPr>
              <w:t xml:space="preserve">Butelii pentru gaz - Tuburi reîncărcabile de oţel, fără sudură, cu capacitate apă de la 150 l până la 3000 l - Proiectare, construcţie şi încercări </w:t>
            </w:r>
          </w:p>
        </w:tc>
        <w:tc>
          <w:tcPr>
            <w:tcW w:w="1985" w:type="dxa"/>
            <w:shd w:val="clear" w:color="auto" w:fill="auto"/>
          </w:tcPr>
          <w:p w:rsidR="00196C06" w:rsidRPr="00857CDA" w:rsidRDefault="00B77817" w:rsidP="006201FD">
            <w:pPr>
              <w:suppressAutoHyphens w:val="0"/>
              <w:spacing w:line="240" w:lineRule="auto"/>
              <w:ind w:right="113"/>
              <w:rPr>
                <w:lang w:val="ro-RO"/>
              </w:rPr>
            </w:pPr>
            <w:r w:rsidRPr="00857CDA">
              <w:rPr>
                <w:color w:val="000000"/>
                <w:lang w:val="ro-RO" w:eastAsia="fr-FR"/>
              </w:rPr>
              <w:t>Până la o notificare ulterioară</w:t>
            </w:r>
          </w:p>
        </w:tc>
      </w:tr>
    </w:tbl>
    <w:p w:rsidR="00196C06" w:rsidRPr="00857CDA" w:rsidRDefault="00196C06" w:rsidP="00597AB4">
      <w:pPr>
        <w:pStyle w:val="SingleTxtG"/>
        <w:tabs>
          <w:tab w:val="left" w:pos="2268"/>
        </w:tabs>
        <w:spacing w:after="0"/>
        <w:rPr>
          <w:lang w:val="ro-RO"/>
        </w:rPr>
      </w:pPr>
      <w:r w:rsidRPr="00857CDA">
        <w:rPr>
          <w:lang w:val="ro-RO"/>
        </w:rPr>
        <w:t>6.2.2.1</w:t>
      </w:r>
      <w:r w:rsidRPr="00857CDA">
        <w:rPr>
          <w:lang w:val="ro-RO"/>
        </w:rPr>
        <w:tab/>
      </w:r>
      <w:r w:rsidR="00902C44" w:rsidRPr="00857CDA">
        <w:rPr>
          <w:lang w:val="ro-RO"/>
        </w:rPr>
        <w:t>Se adaugă</w:t>
      </w:r>
      <w:r w:rsidRPr="00857CDA">
        <w:rPr>
          <w:lang w:val="ro-RO"/>
        </w:rPr>
        <w:t xml:space="preserve"> </w:t>
      </w:r>
      <w:r w:rsidR="005E3FBA" w:rsidRPr="00857CDA">
        <w:rPr>
          <w:lang w:val="ro-RO"/>
        </w:rPr>
        <w:t>noul paragraf</w:t>
      </w:r>
      <w:r w:rsidRPr="00857CDA">
        <w:rPr>
          <w:lang w:val="ro-RO"/>
        </w:rPr>
        <w:t xml:space="preserve"> 6.2.2.1.8</w:t>
      </w:r>
      <w:r w:rsidR="005E3FBA" w:rsidRPr="00857CDA">
        <w:rPr>
          <w:lang w:val="ro-RO"/>
        </w:rPr>
        <w:t>, după cum urmează</w:t>
      </w:r>
      <w:r w:rsidR="00091658" w:rsidRPr="00857CDA">
        <w:rPr>
          <w:lang w:val="ro-RO"/>
        </w:rPr>
        <w:t>:</w:t>
      </w:r>
    </w:p>
    <w:p w:rsidR="00196C06" w:rsidRPr="00857CDA" w:rsidRDefault="00FE5FC3" w:rsidP="005E3FBA">
      <w:pPr>
        <w:pStyle w:val="SingleTxtG"/>
        <w:spacing w:before="120"/>
        <w:rPr>
          <w:lang w:val="ro-RO"/>
        </w:rPr>
      </w:pPr>
      <w:r w:rsidRPr="00857CDA">
        <w:rPr>
          <w:lang w:val="ro-RO"/>
        </w:rPr>
        <w:t>„</w:t>
      </w:r>
      <w:r w:rsidR="00196C06" w:rsidRPr="00857CDA">
        <w:rPr>
          <w:lang w:val="ro-RO"/>
        </w:rPr>
        <w:t>6.2.2.1.8</w:t>
      </w:r>
      <w:r w:rsidR="00196C06" w:rsidRPr="00857CDA">
        <w:rPr>
          <w:lang w:val="ro-RO"/>
        </w:rPr>
        <w:tab/>
      </w:r>
      <w:r w:rsidR="005E3FBA" w:rsidRPr="00857CDA">
        <w:rPr>
          <w:lang w:val="ro-RO"/>
        </w:rPr>
        <w:t>Următoarele standarde se aplică pentru concepție, construcție, precum și pentru inspecți</w:t>
      </w:r>
      <w:r w:rsidR="008C1501" w:rsidRPr="00857CDA">
        <w:rPr>
          <w:lang w:val="ro-RO"/>
        </w:rPr>
        <w:t>ile</w:t>
      </w:r>
      <w:r w:rsidR="005E3FBA" w:rsidRPr="00857CDA">
        <w:rPr>
          <w:lang w:val="ro-RO"/>
        </w:rPr>
        <w:t xml:space="preserve"> și încercările inițiale ale butoaielor sub presiune „</w:t>
      </w:r>
      <w:r w:rsidR="005E3FBA" w:rsidRPr="005B56DD">
        <w:rPr>
          <w:b/>
          <w:lang w:val="ro-RO"/>
        </w:rPr>
        <w:t>UN</w:t>
      </w:r>
      <w:r w:rsidR="005E3FBA" w:rsidRPr="00857CDA">
        <w:rPr>
          <w:lang w:val="ro-RO"/>
        </w:rPr>
        <w:t xml:space="preserve">”, </w:t>
      </w:r>
      <w:r w:rsidR="005E3FBA" w:rsidRPr="00857CDA">
        <w:rPr>
          <w:snapToGrid w:val="0"/>
          <w:lang w:val="ro-RO"/>
        </w:rPr>
        <w:t>exceptând situația când prescripțiile legate de sistemul de evaluare a conformității și omologare trebuie să fie în conformitate cu 6.2.2.5</w:t>
      </w:r>
      <w:r w:rsidR="00196C06" w:rsidRPr="00857CDA">
        <w:rPr>
          <w:lang w:val="ro-RO"/>
        </w:rPr>
        <w:t>:</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906"/>
        <w:gridCol w:w="1842"/>
      </w:tblGrid>
      <w:tr w:rsidR="005E3FBA" w:rsidRPr="00857CDA" w:rsidTr="00105E65">
        <w:trPr>
          <w:cantSplit/>
          <w:tblHeader/>
        </w:trPr>
        <w:tc>
          <w:tcPr>
            <w:tcW w:w="1814" w:type="dxa"/>
            <w:shd w:val="clear" w:color="auto" w:fill="auto"/>
            <w:vAlign w:val="center"/>
          </w:tcPr>
          <w:p w:rsidR="005E3FBA" w:rsidRPr="00857CDA" w:rsidRDefault="005E3FBA" w:rsidP="00105E65">
            <w:pPr>
              <w:spacing w:line="240" w:lineRule="auto"/>
              <w:jc w:val="center"/>
              <w:rPr>
                <w:b/>
                <w:lang w:val="ro-RO"/>
              </w:rPr>
            </w:pPr>
            <w:r w:rsidRPr="00857CDA">
              <w:rPr>
                <w:b/>
                <w:lang w:val="ro-RO"/>
              </w:rPr>
              <w:t>Referinţa</w:t>
            </w:r>
          </w:p>
        </w:tc>
        <w:tc>
          <w:tcPr>
            <w:tcW w:w="4906" w:type="dxa"/>
            <w:shd w:val="clear" w:color="auto" w:fill="auto"/>
            <w:vAlign w:val="center"/>
          </w:tcPr>
          <w:p w:rsidR="005E3FBA" w:rsidRPr="00857CDA" w:rsidRDefault="005E3FBA" w:rsidP="00105E65">
            <w:pPr>
              <w:spacing w:line="240" w:lineRule="auto"/>
              <w:jc w:val="center"/>
              <w:rPr>
                <w:b/>
                <w:lang w:val="ro-RO"/>
              </w:rPr>
            </w:pPr>
            <w:r w:rsidRPr="00857CDA">
              <w:rPr>
                <w:b/>
                <w:lang w:val="ro-RO"/>
              </w:rPr>
              <w:t>Titlul</w:t>
            </w:r>
          </w:p>
        </w:tc>
        <w:tc>
          <w:tcPr>
            <w:tcW w:w="1842" w:type="dxa"/>
            <w:shd w:val="clear" w:color="auto" w:fill="auto"/>
          </w:tcPr>
          <w:p w:rsidR="005E3FBA" w:rsidRPr="00857CDA" w:rsidRDefault="005E3FBA" w:rsidP="00105E65">
            <w:pPr>
              <w:spacing w:line="240" w:lineRule="auto"/>
              <w:jc w:val="center"/>
              <w:rPr>
                <w:b/>
                <w:lang w:val="ro-RO"/>
              </w:rPr>
            </w:pPr>
            <w:r w:rsidRPr="00857CDA">
              <w:rPr>
                <w:b/>
                <w:lang w:val="ro-RO"/>
              </w:rPr>
              <w:t>Aplicabil pentru fabricaţie</w:t>
            </w:r>
          </w:p>
        </w:tc>
      </w:tr>
      <w:tr w:rsidR="00A074FC" w:rsidRPr="007D305F" w:rsidTr="00FE5FC3">
        <w:trPr>
          <w:cantSplit/>
        </w:trPr>
        <w:tc>
          <w:tcPr>
            <w:tcW w:w="1814" w:type="dxa"/>
            <w:shd w:val="clear" w:color="auto" w:fill="auto"/>
          </w:tcPr>
          <w:p w:rsidR="00196C06" w:rsidRPr="00857CDA" w:rsidRDefault="00C506B1" w:rsidP="006201FD">
            <w:pPr>
              <w:rPr>
                <w:lang w:val="ro-RO"/>
              </w:rPr>
            </w:pPr>
            <w:r w:rsidRPr="00857CDA">
              <w:rPr>
                <w:lang w:val="ro-RO"/>
              </w:rPr>
              <w:t>ISO 21172-1:</w:t>
            </w:r>
            <w:r w:rsidR="00196C06" w:rsidRPr="00857CDA">
              <w:rPr>
                <w:lang w:val="ro-RO"/>
              </w:rPr>
              <w:t>2015</w:t>
            </w:r>
          </w:p>
        </w:tc>
        <w:tc>
          <w:tcPr>
            <w:tcW w:w="4906" w:type="dxa"/>
            <w:shd w:val="clear" w:color="auto" w:fill="auto"/>
          </w:tcPr>
          <w:p w:rsidR="00196C06" w:rsidRPr="00857CDA" w:rsidRDefault="005E3FBA" w:rsidP="006201FD">
            <w:pPr>
              <w:jc w:val="both"/>
              <w:rPr>
                <w:lang w:val="ro-RO"/>
              </w:rPr>
            </w:pPr>
            <w:r w:rsidRPr="00857CDA">
              <w:rPr>
                <w:lang w:val="ro-RO"/>
              </w:rPr>
              <w:t>Butelii pentru gaz - Butoaie sub presiune sudate cu o capacitate de până la 3000 litri pentru transportul gazelor - Partea 1: Capacitate de până la 1000 litri</w:t>
            </w:r>
            <w:r w:rsidR="00196C06" w:rsidRPr="00857CDA">
              <w:rPr>
                <w:lang w:val="ro-RO"/>
              </w:rPr>
              <w:t xml:space="preserve"> </w:t>
            </w:r>
          </w:p>
          <w:p w:rsidR="00196C06" w:rsidRPr="00857CDA" w:rsidRDefault="00196C06" w:rsidP="005E3F59">
            <w:pPr>
              <w:jc w:val="both"/>
              <w:rPr>
                <w:i/>
                <w:lang w:val="ro-RO"/>
              </w:rPr>
            </w:pPr>
            <w:r w:rsidRPr="00857CDA">
              <w:rPr>
                <w:b/>
                <w:i/>
                <w:lang w:val="ro-RO"/>
              </w:rPr>
              <w:t>NOTA</w:t>
            </w:r>
            <w:r w:rsidR="00091658" w:rsidRPr="00857CDA">
              <w:rPr>
                <w:lang w:val="ro-RO"/>
              </w:rPr>
              <w:t>:</w:t>
            </w:r>
            <w:r w:rsidRPr="00857CDA">
              <w:rPr>
                <w:lang w:val="ro-RO"/>
              </w:rPr>
              <w:t xml:space="preserve"> </w:t>
            </w:r>
            <w:r w:rsidR="0088543E" w:rsidRPr="00857CDA">
              <w:rPr>
                <w:i/>
                <w:lang w:val="ro-RO"/>
              </w:rPr>
              <w:t>Independent de secțiunea 6.3.3.4 din prezentul standard, pentru transportul substanțelor coro</w:t>
            </w:r>
            <w:r w:rsidR="005E3F59" w:rsidRPr="00857CDA">
              <w:rPr>
                <w:i/>
                <w:lang w:val="ro-RO"/>
              </w:rPr>
              <w:t>s</w:t>
            </w:r>
            <w:r w:rsidR="0088543E" w:rsidRPr="00857CDA">
              <w:rPr>
                <w:i/>
                <w:lang w:val="ro-RO"/>
              </w:rPr>
              <w:t xml:space="preserve">ive pot fi utilizate butoaie sub presiune din oțel </w:t>
            </w:r>
            <w:r w:rsidR="009472D6" w:rsidRPr="00857CDA">
              <w:rPr>
                <w:i/>
                <w:lang w:val="ro-RO"/>
              </w:rPr>
              <w:t xml:space="preserve">cu funduri bombate </w:t>
            </w:r>
            <w:r w:rsidR="0088543E" w:rsidRPr="00857CDA">
              <w:rPr>
                <w:i/>
                <w:lang w:val="ro-RO"/>
              </w:rPr>
              <w:t xml:space="preserve">convex </w:t>
            </w:r>
            <w:r w:rsidR="009472D6" w:rsidRPr="00857CDA">
              <w:rPr>
                <w:i/>
                <w:lang w:val="ro-RO"/>
              </w:rPr>
              <w:t>la</w:t>
            </w:r>
            <w:r w:rsidR="0088543E" w:rsidRPr="00857CDA">
              <w:rPr>
                <w:i/>
                <w:lang w:val="ro-RO"/>
              </w:rPr>
              <w:t xml:space="preserve"> presiune, cu condiția să fie îndeplinite toate </w:t>
            </w:r>
            <w:r w:rsidR="009472D6" w:rsidRPr="00857CDA">
              <w:rPr>
                <w:i/>
                <w:lang w:val="ro-RO"/>
              </w:rPr>
              <w:t>prescripțiile</w:t>
            </w:r>
            <w:r w:rsidR="0088543E" w:rsidRPr="00857CDA">
              <w:rPr>
                <w:i/>
                <w:lang w:val="ro-RO"/>
              </w:rPr>
              <w:t xml:space="preserve"> aplicabile ale</w:t>
            </w:r>
            <w:r w:rsidR="009472D6" w:rsidRPr="00857CDA">
              <w:rPr>
                <w:i/>
                <w:lang w:val="ro-RO"/>
              </w:rPr>
              <w:t xml:space="preserve"> </w:t>
            </w:r>
            <w:r w:rsidR="0088543E" w:rsidRPr="00857CDA">
              <w:rPr>
                <w:i/>
                <w:lang w:val="ro-RO"/>
              </w:rPr>
              <w:t>ADR.</w:t>
            </w:r>
          </w:p>
        </w:tc>
        <w:tc>
          <w:tcPr>
            <w:tcW w:w="1842" w:type="dxa"/>
            <w:shd w:val="clear" w:color="auto" w:fill="auto"/>
          </w:tcPr>
          <w:p w:rsidR="00196C06" w:rsidRPr="00857CDA" w:rsidRDefault="00B77817" w:rsidP="006201FD">
            <w:pPr>
              <w:jc w:val="both"/>
              <w:rPr>
                <w:lang w:val="ro-RO"/>
              </w:rPr>
            </w:pPr>
            <w:r w:rsidRPr="00857CDA">
              <w:rPr>
                <w:color w:val="000000"/>
                <w:lang w:val="ro-RO" w:eastAsia="fr-FR"/>
              </w:rPr>
              <w:t>Până la o notificare ulterioară</w:t>
            </w:r>
          </w:p>
        </w:tc>
      </w:tr>
      <w:tr w:rsidR="00A074FC" w:rsidRPr="007D305F" w:rsidTr="00FE5FC3">
        <w:trPr>
          <w:cantSplit/>
        </w:trPr>
        <w:tc>
          <w:tcPr>
            <w:tcW w:w="1814" w:type="dxa"/>
            <w:shd w:val="clear" w:color="auto" w:fill="auto"/>
          </w:tcPr>
          <w:p w:rsidR="00196C06" w:rsidRPr="00857CDA" w:rsidRDefault="00196C06" w:rsidP="006201FD">
            <w:pPr>
              <w:rPr>
                <w:lang w:val="ro-RO"/>
              </w:rPr>
            </w:pPr>
            <w:r w:rsidRPr="00857CDA">
              <w:rPr>
                <w:lang w:val="ro-RO"/>
              </w:rPr>
              <w:t>ISO 4706:2008</w:t>
            </w:r>
          </w:p>
        </w:tc>
        <w:tc>
          <w:tcPr>
            <w:tcW w:w="4906" w:type="dxa"/>
            <w:shd w:val="clear" w:color="auto" w:fill="auto"/>
          </w:tcPr>
          <w:p w:rsidR="00196C06" w:rsidRPr="00857CDA" w:rsidRDefault="005E3F59" w:rsidP="006201FD">
            <w:pPr>
              <w:jc w:val="both"/>
              <w:rPr>
                <w:lang w:val="ro-RO"/>
              </w:rPr>
            </w:pPr>
            <w:r w:rsidRPr="00857CDA">
              <w:rPr>
                <w:iCs/>
                <w:snapToGrid w:val="0"/>
                <w:szCs w:val="24"/>
                <w:lang w:val="ro-RO"/>
              </w:rPr>
              <w:t>Butelii pentru gaz - Butelii reîncărcabile din oțel sudat - Presiune de încercare 60 bari sau mai mică</w:t>
            </w:r>
            <w:r w:rsidRPr="00857CDA">
              <w:rPr>
                <w:lang w:val="ro-RO"/>
              </w:rPr>
              <w:t xml:space="preserve"> </w:t>
            </w:r>
          </w:p>
        </w:tc>
        <w:tc>
          <w:tcPr>
            <w:tcW w:w="1842" w:type="dxa"/>
            <w:shd w:val="clear" w:color="auto" w:fill="auto"/>
          </w:tcPr>
          <w:p w:rsidR="00196C06" w:rsidRPr="00857CDA" w:rsidRDefault="00B77817" w:rsidP="006201FD">
            <w:pPr>
              <w:jc w:val="both"/>
              <w:rPr>
                <w:lang w:val="ro-RO"/>
              </w:rPr>
            </w:pPr>
            <w:r w:rsidRPr="00857CDA">
              <w:rPr>
                <w:color w:val="000000"/>
                <w:lang w:val="ro-RO" w:eastAsia="fr-FR"/>
              </w:rPr>
              <w:t>Până la o notificare ulterioară</w:t>
            </w:r>
          </w:p>
        </w:tc>
      </w:tr>
      <w:tr w:rsidR="00A074FC" w:rsidRPr="007D305F" w:rsidTr="00FE5FC3">
        <w:trPr>
          <w:cantSplit/>
        </w:trPr>
        <w:tc>
          <w:tcPr>
            <w:tcW w:w="1814" w:type="dxa"/>
            <w:shd w:val="clear" w:color="auto" w:fill="auto"/>
          </w:tcPr>
          <w:p w:rsidR="00196C06" w:rsidRPr="00857CDA" w:rsidRDefault="00196C06" w:rsidP="006201FD">
            <w:pPr>
              <w:rPr>
                <w:lang w:val="ro-RO"/>
              </w:rPr>
            </w:pPr>
            <w:r w:rsidRPr="00857CDA">
              <w:rPr>
                <w:spacing w:val="-2"/>
                <w:lang w:val="ro-RO"/>
              </w:rPr>
              <w:t>ISO 18172-1:2007</w:t>
            </w:r>
          </w:p>
        </w:tc>
        <w:tc>
          <w:tcPr>
            <w:tcW w:w="4906" w:type="dxa"/>
            <w:shd w:val="clear" w:color="auto" w:fill="auto"/>
          </w:tcPr>
          <w:p w:rsidR="00196C06" w:rsidRPr="00857CDA" w:rsidRDefault="005E3F59" w:rsidP="005E3F59">
            <w:pPr>
              <w:jc w:val="both"/>
              <w:rPr>
                <w:lang w:val="ro-RO"/>
              </w:rPr>
            </w:pPr>
            <w:r w:rsidRPr="00857CDA">
              <w:rPr>
                <w:iCs/>
                <w:snapToGrid w:val="0"/>
                <w:szCs w:val="24"/>
                <w:lang w:val="ro-RO"/>
              </w:rPr>
              <w:t>Butelii pentru gaz - Butelii reîncărcabile din oțel sudat inoxidabil - Partea 1: Presiunea de încercare 6MPa și mai mică</w:t>
            </w:r>
          </w:p>
        </w:tc>
        <w:tc>
          <w:tcPr>
            <w:tcW w:w="1842" w:type="dxa"/>
            <w:shd w:val="clear" w:color="auto" w:fill="auto"/>
          </w:tcPr>
          <w:p w:rsidR="00196C06" w:rsidRPr="00857CDA" w:rsidRDefault="00B77817" w:rsidP="006201FD">
            <w:pPr>
              <w:jc w:val="both"/>
              <w:rPr>
                <w:lang w:val="ro-RO"/>
              </w:rPr>
            </w:pPr>
            <w:r w:rsidRPr="00857CDA">
              <w:rPr>
                <w:color w:val="000000"/>
                <w:lang w:val="ro-RO" w:eastAsia="fr-FR"/>
              </w:rPr>
              <w:t>Până la o notificare ulterioară</w:t>
            </w:r>
          </w:p>
        </w:tc>
      </w:tr>
    </w:tbl>
    <w:p w:rsidR="0052051F" w:rsidRPr="00857CDA" w:rsidRDefault="00660131" w:rsidP="0052051F">
      <w:pPr>
        <w:pStyle w:val="SingleTxtG"/>
        <w:jc w:val="right"/>
        <w:rPr>
          <w:i/>
          <w:lang w:val="ro-RO"/>
        </w:rPr>
      </w:pPr>
      <w:r w:rsidRPr="00857CDA">
        <w:rPr>
          <w:lang w:val="ro-RO"/>
        </w:rPr>
        <w:t>“</w:t>
      </w:r>
      <w:r w:rsidR="0052051F" w:rsidRPr="00857CDA">
        <w:rPr>
          <w:lang w:val="ro-RO"/>
        </w:rPr>
        <w:t>.</w:t>
      </w:r>
    </w:p>
    <w:p w:rsidR="00196C06" w:rsidRPr="00857CDA" w:rsidRDefault="00196C06" w:rsidP="00196C06">
      <w:pPr>
        <w:pStyle w:val="SingleTxtG"/>
        <w:tabs>
          <w:tab w:val="left" w:pos="2268"/>
        </w:tabs>
        <w:spacing w:before="120"/>
        <w:rPr>
          <w:lang w:val="ro-RO"/>
        </w:rPr>
      </w:pPr>
      <w:r w:rsidRPr="00857CDA">
        <w:rPr>
          <w:lang w:val="ro-RO"/>
        </w:rPr>
        <w:t>6.2.2.3</w:t>
      </w:r>
      <w:r w:rsidRPr="00857CDA">
        <w:rPr>
          <w:lang w:val="ro-RO"/>
        </w:rPr>
        <w:tab/>
      </w:r>
      <w:r w:rsidRPr="00857CDA">
        <w:rPr>
          <w:lang w:val="ro-RO"/>
        </w:rPr>
        <w:tab/>
      </w:r>
      <w:r w:rsidR="00902C44" w:rsidRPr="00857CDA">
        <w:rPr>
          <w:lang w:val="ro-RO"/>
        </w:rPr>
        <w:t xml:space="preserve">În </w:t>
      </w:r>
      <w:r w:rsidRPr="00857CDA">
        <w:rPr>
          <w:lang w:val="ro-RO"/>
        </w:rPr>
        <w:t>pr</w:t>
      </w:r>
      <w:r w:rsidR="005E3F59" w:rsidRPr="00857CDA">
        <w:rPr>
          <w:lang w:val="ro-RO"/>
        </w:rPr>
        <w:t>i</w:t>
      </w:r>
      <w:r w:rsidRPr="00857CDA">
        <w:rPr>
          <w:lang w:val="ro-RO"/>
        </w:rPr>
        <w:t>m</w:t>
      </w:r>
      <w:r w:rsidR="005E3F59" w:rsidRPr="00857CDA">
        <w:rPr>
          <w:lang w:val="ro-RO"/>
        </w:rPr>
        <w:t>ul tabel</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ISO 13340:2001, </w:t>
      </w:r>
      <w:r w:rsidR="005E3F59" w:rsidRPr="00857CDA">
        <w:rPr>
          <w:lang w:val="ro-RO"/>
        </w:rPr>
        <w:t>î</w:t>
      </w:r>
      <w:r w:rsidR="00902C44" w:rsidRPr="00857CDA">
        <w:rPr>
          <w:lang w:val="ro-RO"/>
        </w:rPr>
        <w:t>n</w:t>
      </w:r>
      <w:r w:rsidRPr="00857CDA">
        <w:rPr>
          <w:lang w:val="ro-RO"/>
        </w:rPr>
        <w:t xml:space="preserve"> </w:t>
      </w:r>
      <w:r w:rsidR="00121893" w:rsidRPr="00857CDA">
        <w:rPr>
          <w:lang w:val="ro-RO"/>
        </w:rPr>
        <w:t>coloana</w:t>
      </w:r>
      <w:r w:rsidRPr="00857CDA">
        <w:rPr>
          <w:lang w:val="ro-RO"/>
        </w:rPr>
        <w:t xml:space="preserve"> </w:t>
      </w:r>
      <w:r w:rsidR="00FE5FC3" w:rsidRPr="00857CDA">
        <w:rPr>
          <w:lang w:val="ro-RO"/>
        </w:rPr>
        <w:t>„</w:t>
      </w:r>
      <w:r w:rsidR="005E3F59" w:rsidRPr="00857CDA">
        <w:rPr>
          <w:lang w:val="ro-RO"/>
        </w:rPr>
        <w:t>Aplicabil pentru fabricaţie</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FE5FC3"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FE5FC3" w:rsidRPr="00857CDA">
        <w:rPr>
          <w:lang w:val="ro-RO"/>
        </w:rPr>
        <w:t>„</w:t>
      </w:r>
      <w:r w:rsidR="005E3F59" w:rsidRPr="00857CDA">
        <w:rPr>
          <w:lang w:val="ro-RO"/>
        </w:rPr>
        <w:t xml:space="preserve">Până la 31 decembrie </w:t>
      </w:r>
      <w:r w:rsidRPr="00857CDA">
        <w:rPr>
          <w:lang w:val="ro-RO"/>
        </w:rPr>
        <w:t>2020</w:t>
      </w:r>
      <w:r w:rsidR="00660131" w:rsidRPr="00857CDA">
        <w:rPr>
          <w:lang w:val="ro-RO"/>
        </w:rPr>
        <w:t>”</w:t>
      </w:r>
      <w:r w:rsidRPr="00857CDA">
        <w:rPr>
          <w:lang w:val="ro-RO"/>
        </w:rPr>
        <w:t>.</w:t>
      </w:r>
    </w:p>
    <w:p w:rsidR="00196C06" w:rsidRPr="00857CDA" w:rsidRDefault="00196C06" w:rsidP="00196C06">
      <w:pPr>
        <w:pStyle w:val="SingleTxtG"/>
        <w:tabs>
          <w:tab w:val="left" w:pos="2268"/>
        </w:tabs>
        <w:spacing w:before="120"/>
        <w:rPr>
          <w:lang w:val="ro-RO"/>
        </w:rPr>
      </w:pPr>
      <w:r w:rsidRPr="00857CDA">
        <w:rPr>
          <w:lang w:val="ro-RO"/>
        </w:rPr>
        <w:t>6.2.2.3</w:t>
      </w:r>
      <w:r w:rsidRPr="00857CDA">
        <w:rPr>
          <w:lang w:val="ro-RO"/>
        </w:rPr>
        <w:tab/>
      </w:r>
      <w:r w:rsidRPr="00857CDA">
        <w:rPr>
          <w:lang w:val="ro-RO"/>
        </w:rPr>
        <w:tab/>
      </w:r>
      <w:r w:rsidR="00902C44" w:rsidRPr="00857CDA">
        <w:rPr>
          <w:lang w:val="ro-RO"/>
        </w:rPr>
        <w:t xml:space="preserve">În </w:t>
      </w:r>
      <w:r w:rsidRPr="00857CDA">
        <w:rPr>
          <w:lang w:val="ro-RO"/>
        </w:rPr>
        <w:t>pr</w:t>
      </w:r>
      <w:r w:rsidR="005E3F59" w:rsidRPr="00857CDA">
        <w:rPr>
          <w:lang w:val="ro-RO"/>
        </w:rPr>
        <w:t>i</w:t>
      </w:r>
      <w:r w:rsidRPr="00857CDA">
        <w:rPr>
          <w:lang w:val="ro-RO"/>
        </w:rPr>
        <w:t>m</w:t>
      </w:r>
      <w:r w:rsidR="005E3F59" w:rsidRPr="00857CDA">
        <w:rPr>
          <w:lang w:val="ro-RO"/>
        </w:rPr>
        <w:t>ul</w:t>
      </w:r>
      <w:r w:rsidRPr="00857CDA">
        <w:rPr>
          <w:lang w:val="ro-RO"/>
        </w:rPr>
        <w:t xml:space="preserve"> </w:t>
      </w:r>
      <w:r w:rsidR="00DD36E6" w:rsidRPr="00857CDA">
        <w:rPr>
          <w:lang w:val="ro-RO"/>
        </w:rPr>
        <w:t>tabe</w:t>
      </w:r>
      <w:r w:rsidR="005E3F59" w:rsidRPr="00857CDA">
        <w:rPr>
          <w:lang w:val="ro-RO"/>
        </w:rPr>
        <w:t>l</w:t>
      </w:r>
      <w:r w:rsidR="00DD36E6" w:rsidRPr="00857CDA">
        <w:rPr>
          <w:lang w:val="ro-RO"/>
        </w:rPr>
        <w:t xml:space="preserve">, </w:t>
      </w:r>
      <w:r w:rsidR="00902C44" w:rsidRPr="00857CDA">
        <w:rPr>
          <w:lang w:val="ro-RO"/>
        </w:rPr>
        <w:t>se adaugă</w:t>
      </w:r>
      <w:r w:rsidR="00DD36E6" w:rsidRPr="00857CDA">
        <w:rPr>
          <w:lang w:val="ro-RO"/>
        </w:rPr>
        <w:t xml:space="preserve"> </w:t>
      </w:r>
      <w:r w:rsidR="005E3F59" w:rsidRPr="00857CDA">
        <w:rPr>
          <w:lang w:val="ro-RO"/>
        </w:rPr>
        <w:t>noi rânduri la final, după cum urmează</w:t>
      </w:r>
      <w:r w:rsidR="00091658" w:rsidRPr="00857CDA">
        <w:rPr>
          <w:lang w:val="ro-RO"/>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1"/>
        <w:gridCol w:w="4820"/>
        <w:gridCol w:w="1974"/>
      </w:tblGrid>
      <w:tr w:rsidR="00A074FC" w:rsidRPr="007D305F" w:rsidTr="008C1501">
        <w:tc>
          <w:tcPr>
            <w:tcW w:w="1711" w:type="dxa"/>
            <w:shd w:val="clear" w:color="auto" w:fill="auto"/>
          </w:tcPr>
          <w:p w:rsidR="00DD36E6" w:rsidRPr="00857CDA" w:rsidRDefault="00DD36E6" w:rsidP="00FA4265">
            <w:pPr>
              <w:ind w:left="43" w:right="43"/>
              <w:rPr>
                <w:lang w:val="ro-RO"/>
              </w:rPr>
            </w:pPr>
            <w:r w:rsidRPr="00857CDA">
              <w:rPr>
                <w:lang w:val="ro-RO"/>
              </w:rPr>
              <w:t>ISO 14246:2014</w:t>
            </w:r>
          </w:p>
        </w:tc>
        <w:tc>
          <w:tcPr>
            <w:tcW w:w="4820" w:type="dxa"/>
            <w:shd w:val="clear" w:color="auto" w:fill="auto"/>
          </w:tcPr>
          <w:p w:rsidR="00DD36E6" w:rsidRPr="00857CDA" w:rsidRDefault="00AC5812" w:rsidP="00AC5812">
            <w:pPr>
              <w:ind w:left="43" w:right="43"/>
              <w:rPr>
                <w:lang w:val="ro-RO"/>
              </w:rPr>
            </w:pPr>
            <w:r w:rsidRPr="00857CDA">
              <w:rPr>
                <w:lang w:val="ro-RO"/>
              </w:rPr>
              <w:t>Butelii de gaz - Robinete pentru butelii de gaz - Încercări de fabricaţie şi examinări</w:t>
            </w:r>
          </w:p>
        </w:tc>
        <w:tc>
          <w:tcPr>
            <w:tcW w:w="1974" w:type="dxa"/>
            <w:shd w:val="clear" w:color="auto" w:fill="auto"/>
          </w:tcPr>
          <w:p w:rsidR="00DD36E6" w:rsidRPr="00857CDA" w:rsidRDefault="00B77817" w:rsidP="00FA4265">
            <w:pPr>
              <w:ind w:left="43" w:right="43"/>
              <w:rPr>
                <w:lang w:val="ro-RO"/>
              </w:rPr>
            </w:pPr>
            <w:r w:rsidRPr="00857CDA">
              <w:rPr>
                <w:color w:val="000000"/>
                <w:lang w:val="ro-RO" w:eastAsia="fr-FR"/>
              </w:rPr>
              <w:t>Până la o notificare ulterioară</w:t>
            </w:r>
          </w:p>
        </w:tc>
      </w:tr>
      <w:tr w:rsidR="00A074FC" w:rsidRPr="007D305F" w:rsidTr="008C1501">
        <w:tc>
          <w:tcPr>
            <w:tcW w:w="1711" w:type="dxa"/>
            <w:shd w:val="clear" w:color="auto" w:fill="auto"/>
          </w:tcPr>
          <w:p w:rsidR="00DD36E6" w:rsidRPr="00857CDA" w:rsidRDefault="00DD36E6" w:rsidP="00DD36E6">
            <w:pPr>
              <w:ind w:left="43" w:right="43"/>
              <w:rPr>
                <w:lang w:val="ro-RO"/>
              </w:rPr>
            </w:pPr>
            <w:r w:rsidRPr="00857CDA">
              <w:rPr>
                <w:bCs/>
                <w:lang w:val="ro-RO"/>
              </w:rPr>
              <w:t>ISO 17871:2015</w:t>
            </w:r>
          </w:p>
        </w:tc>
        <w:tc>
          <w:tcPr>
            <w:tcW w:w="4820" w:type="dxa"/>
            <w:shd w:val="clear" w:color="auto" w:fill="auto"/>
          </w:tcPr>
          <w:p w:rsidR="00DD36E6" w:rsidRPr="00857CDA" w:rsidRDefault="00AC5812" w:rsidP="00AC5812">
            <w:pPr>
              <w:ind w:left="43" w:right="43"/>
              <w:rPr>
                <w:bCs/>
                <w:lang w:val="ro-RO"/>
              </w:rPr>
            </w:pPr>
            <w:r w:rsidRPr="00857CDA">
              <w:rPr>
                <w:bCs/>
                <w:lang w:val="ro-RO"/>
              </w:rPr>
              <w:t>Butelii de gaz transportabile - Robinete de butelii cu deschidere rapidă - Specificaţii şi încercări de tip</w:t>
            </w:r>
          </w:p>
        </w:tc>
        <w:tc>
          <w:tcPr>
            <w:tcW w:w="1974" w:type="dxa"/>
            <w:shd w:val="clear" w:color="auto" w:fill="auto"/>
          </w:tcPr>
          <w:p w:rsidR="00DD36E6" w:rsidRPr="00857CDA" w:rsidRDefault="00B77817" w:rsidP="00DD36E6">
            <w:pPr>
              <w:ind w:left="43" w:right="43"/>
              <w:rPr>
                <w:lang w:val="ro-RO"/>
              </w:rPr>
            </w:pPr>
            <w:r w:rsidRPr="00857CDA">
              <w:rPr>
                <w:color w:val="000000"/>
                <w:lang w:val="ro-RO" w:eastAsia="fr-FR"/>
              </w:rPr>
              <w:t>Până la o notificare ulterioară</w:t>
            </w:r>
          </w:p>
        </w:tc>
      </w:tr>
    </w:tbl>
    <w:p w:rsidR="00196C06" w:rsidRPr="00857CDA" w:rsidRDefault="00196C06" w:rsidP="00597AB4">
      <w:pPr>
        <w:pStyle w:val="SingleTxtG"/>
        <w:spacing w:after="0"/>
        <w:rPr>
          <w:lang w:val="ro-RO"/>
        </w:rPr>
      </w:pPr>
      <w:r w:rsidRPr="00857CDA">
        <w:rPr>
          <w:lang w:val="ro-RO"/>
        </w:rPr>
        <w:t>6.2.2.4</w:t>
      </w:r>
      <w:r w:rsidRPr="00857CDA">
        <w:rPr>
          <w:lang w:val="ro-RO"/>
        </w:rPr>
        <w:tab/>
      </w:r>
      <w:r w:rsidRPr="00857CDA">
        <w:rPr>
          <w:lang w:val="ro-RO"/>
        </w:rPr>
        <w:tab/>
      </w:r>
      <w:r w:rsidR="002B679C" w:rsidRPr="00857CDA">
        <w:rPr>
          <w:lang w:val="ro-RO"/>
        </w:rPr>
        <w:t>Se modifică</w:t>
      </w:r>
      <w:r w:rsidRPr="00857CDA">
        <w:rPr>
          <w:lang w:val="ro-RO"/>
        </w:rPr>
        <w:t xml:space="preserve"> </w:t>
      </w:r>
      <w:r w:rsidR="00AC5812" w:rsidRPr="00857CDA">
        <w:rPr>
          <w:lang w:val="ro-RO"/>
        </w:rPr>
        <w:t>sfârșitul primei fraze, după cum urmează</w:t>
      </w:r>
      <w:r w:rsidR="00091658" w:rsidRPr="00857CDA">
        <w:rPr>
          <w:lang w:val="ro-RO"/>
        </w:rPr>
        <w:t>:</w:t>
      </w:r>
      <w:r w:rsidRPr="00857CDA">
        <w:rPr>
          <w:lang w:val="ro-RO"/>
        </w:rPr>
        <w:t xml:space="preserve"> </w:t>
      </w:r>
      <w:r w:rsidR="00FE5FC3" w:rsidRPr="00857CDA">
        <w:rPr>
          <w:lang w:val="ro-RO"/>
        </w:rPr>
        <w:t xml:space="preserve">„ </w:t>
      </w:r>
      <w:r w:rsidRPr="00857CDA">
        <w:rPr>
          <w:lang w:val="ro-RO"/>
        </w:rPr>
        <w:t xml:space="preserve">… </w:t>
      </w:r>
      <w:r w:rsidR="00AC5812" w:rsidRPr="00857CDA">
        <w:rPr>
          <w:lang w:val="ro-RO"/>
        </w:rPr>
        <w:t xml:space="preserve">buteliilor </w:t>
      </w:r>
      <w:r w:rsidR="00FE5FC3" w:rsidRPr="00857CDA">
        <w:rPr>
          <w:lang w:val="ro-RO"/>
        </w:rPr>
        <w:t>„</w:t>
      </w:r>
      <w:r w:rsidRPr="005B56DD">
        <w:rPr>
          <w:b/>
          <w:lang w:val="ro-RO"/>
        </w:rPr>
        <w:t>UN</w:t>
      </w:r>
      <w:r w:rsidR="00660131" w:rsidRPr="00857CDA">
        <w:rPr>
          <w:lang w:val="ro-RO"/>
        </w:rPr>
        <w:t>”</w:t>
      </w:r>
      <w:r w:rsidR="00AC5812" w:rsidRPr="00857CDA">
        <w:rPr>
          <w:lang w:val="ro-RO"/>
        </w:rPr>
        <w:t>, precum și închiderilor acestora</w:t>
      </w:r>
      <w:r w:rsidR="00660131" w:rsidRPr="00857CDA">
        <w:rPr>
          <w:lang w:val="ro-RO"/>
        </w:rPr>
        <w:t>”</w:t>
      </w:r>
      <w:r w:rsidRPr="00857CDA">
        <w:rPr>
          <w:lang w:val="ro-RO"/>
        </w:rPr>
        <w:t>.</w:t>
      </w:r>
    </w:p>
    <w:p w:rsidR="00AC5812" w:rsidRDefault="00E83E39" w:rsidP="00E83E39">
      <w:pPr>
        <w:pStyle w:val="SingleTxtG"/>
        <w:spacing w:before="120"/>
        <w:rPr>
          <w:lang w:val="ro-RO"/>
        </w:rPr>
      </w:pPr>
      <w:r>
        <w:rPr>
          <w:lang w:val="ro-RO"/>
        </w:rPr>
        <w:t>6.2.2.4</w:t>
      </w:r>
      <w:r>
        <w:rPr>
          <w:lang w:val="ro-RO"/>
        </w:rPr>
        <w:tab/>
      </w:r>
      <w:r>
        <w:rPr>
          <w:lang w:val="ro-RO"/>
        </w:rPr>
        <w:tab/>
      </w:r>
      <w:r w:rsidR="00AC5812" w:rsidRPr="00857CDA">
        <w:rPr>
          <w:lang w:val="ro-RO"/>
        </w:rPr>
        <w:t xml:space="preserve">Se </w:t>
      </w:r>
      <w:r w:rsidR="00597AB4">
        <w:rPr>
          <w:lang w:val="ro-RO"/>
        </w:rPr>
        <w:t>introduce un</w:t>
      </w:r>
      <w:r w:rsidR="00AC5812" w:rsidRPr="00857CDA">
        <w:rPr>
          <w:lang w:val="ro-RO"/>
        </w:rPr>
        <w:t xml:space="preserve"> tabel nou </w:t>
      </w:r>
      <w:r w:rsidR="00597AB4">
        <w:rPr>
          <w:lang w:val="ro-RO"/>
        </w:rPr>
        <w:t xml:space="preserve">după cel existent </w:t>
      </w:r>
      <w:r w:rsidR="00AC5812" w:rsidRPr="00857CDA">
        <w:rPr>
          <w:lang w:val="ro-RO"/>
        </w:rPr>
        <w:t>cu aceleași titluri ale coloanelor</w:t>
      </w:r>
      <w:r w:rsidR="00597AB4">
        <w:rPr>
          <w:lang w:val="ro-RO"/>
        </w:rPr>
        <w:t>,</w:t>
      </w:r>
      <w:r w:rsidR="00AC5812" w:rsidRPr="00857CDA">
        <w:rPr>
          <w:lang w:val="ro-RO"/>
        </w:rPr>
        <w:t xml:space="preserve"> cu următoarea frază introductivă nouă: </w:t>
      </w:r>
      <w:r w:rsidR="008C1501" w:rsidRPr="00857CDA">
        <w:rPr>
          <w:lang w:val="ro-RO"/>
        </w:rPr>
        <w:t>„</w:t>
      </w:r>
      <w:r w:rsidR="00AC5812" w:rsidRPr="00857CDA">
        <w:rPr>
          <w:lang w:val="ro-RO"/>
        </w:rPr>
        <w:t xml:space="preserve">Următorul standard se aplică inspecțiilor și încercărilor periodice efectuate </w:t>
      </w:r>
      <w:r w:rsidR="008C1501" w:rsidRPr="00857CDA">
        <w:rPr>
          <w:lang w:val="ro-RO"/>
        </w:rPr>
        <w:t>sistemelor</w:t>
      </w:r>
      <w:r w:rsidR="00AC5812" w:rsidRPr="00857CDA">
        <w:rPr>
          <w:lang w:val="ro-RO"/>
        </w:rPr>
        <w:t xml:space="preserve"> de stocare cu hidrură metalică </w:t>
      </w:r>
      <w:r w:rsidR="008C1501" w:rsidRPr="00857CDA">
        <w:rPr>
          <w:lang w:val="ro-RO"/>
        </w:rPr>
        <w:t>„</w:t>
      </w:r>
      <w:r w:rsidR="008C1501" w:rsidRPr="005B56DD">
        <w:rPr>
          <w:b/>
          <w:lang w:val="ro-RO"/>
        </w:rPr>
        <w:t>UN</w:t>
      </w:r>
      <w:r w:rsidR="008C1501" w:rsidRPr="00857CDA">
        <w:rPr>
          <w:lang w:val="ro-RO"/>
        </w:rPr>
        <w:t>”</w:t>
      </w:r>
      <w:r w:rsidR="0050591F">
        <w:rPr>
          <w:lang w:val="ro-RO"/>
        </w:rPr>
        <w:t>:</w:t>
      </w:r>
      <w:r w:rsidR="008C1501" w:rsidRPr="00857CDA">
        <w:rPr>
          <w:lang w:val="ro-RO"/>
        </w:rPr>
        <w:t xml:space="preserve"> ”</w:t>
      </w:r>
      <w:r w:rsidR="00597AB4">
        <w:rPr>
          <w:lang w:val="ro-RO"/>
        </w:rPr>
        <w:t>, după cum urmează:</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10"/>
        <w:gridCol w:w="4721"/>
        <w:gridCol w:w="1974"/>
      </w:tblGrid>
      <w:tr w:rsidR="00597AB4" w:rsidRPr="007D305F" w:rsidTr="00597AB4">
        <w:tc>
          <w:tcPr>
            <w:tcW w:w="1810" w:type="dxa"/>
            <w:tcBorders>
              <w:top w:val="single" w:sz="4" w:space="0" w:color="auto"/>
              <w:left w:val="single" w:sz="4" w:space="0" w:color="auto"/>
              <w:bottom w:val="single" w:sz="4" w:space="0" w:color="auto"/>
              <w:right w:val="single" w:sz="4" w:space="0" w:color="auto"/>
            </w:tcBorders>
            <w:hideMark/>
          </w:tcPr>
          <w:p w:rsidR="00597AB4" w:rsidRPr="0076084F" w:rsidRDefault="00597AB4" w:rsidP="00597AB4">
            <w:pPr>
              <w:spacing w:line="240" w:lineRule="auto"/>
              <w:rPr>
                <w:iCs/>
                <w:snapToGrid w:val="0"/>
              </w:rPr>
            </w:pPr>
            <w:r w:rsidRPr="0076084F">
              <w:rPr>
                <w:iCs/>
                <w:snapToGrid w:val="0"/>
              </w:rPr>
              <w:t>ISO 16111: 2008</w:t>
            </w:r>
          </w:p>
        </w:tc>
        <w:tc>
          <w:tcPr>
            <w:tcW w:w="4721" w:type="dxa"/>
            <w:tcBorders>
              <w:top w:val="single" w:sz="4" w:space="0" w:color="auto"/>
              <w:left w:val="single" w:sz="4" w:space="0" w:color="auto"/>
              <w:bottom w:val="single" w:sz="4" w:space="0" w:color="auto"/>
              <w:right w:val="single" w:sz="4" w:space="0" w:color="auto"/>
            </w:tcBorders>
            <w:hideMark/>
          </w:tcPr>
          <w:p w:rsidR="00597AB4" w:rsidRPr="0076084F" w:rsidRDefault="00597AB4" w:rsidP="00597AB4">
            <w:pPr>
              <w:spacing w:line="240" w:lineRule="auto"/>
              <w:jc w:val="both"/>
              <w:rPr>
                <w:iCs/>
                <w:snapToGrid w:val="0"/>
              </w:rPr>
            </w:pPr>
            <w:r w:rsidRPr="0076084F">
              <w:rPr>
                <w:iCs/>
                <w:snapToGrid w:val="0"/>
              </w:rPr>
              <w:t>Dispozitive de stocare a gazului transportabile – Hidrogen absorbit în hidrură metalică reversibilă</w:t>
            </w:r>
          </w:p>
        </w:tc>
        <w:tc>
          <w:tcPr>
            <w:tcW w:w="1974" w:type="dxa"/>
            <w:tcBorders>
              <w:top w:val="single" w:sz="4" w:space="0" w:color="auto"/>
              <w:left w:val="single" w:sz="4" w:space="0" w:color="auto"/>
              <w:bottom w:val="single" w:sz="4" w:space="0" w:color="auto"/>
              <w:right w:val="single" w:sz="4" w:space="0" w:color="auto"/>
            </w:tcBorders>
            <w:hideMark/>
          </w:tcPr>
          <w:p w:rsidR="00597AB4" w:rsidRPr="00597AB4" w:rsidRDefault="00597AB4" w:rsidP="00597AB4">
            <w:pPr>
              <w:widowControl w:val="0"/>
              <w:autoSpaceDE w:val="0"/>
              <w:autoSpaceDN w:val="0"/>
              <w:adjustRightInd w:val="0"/>
              <w:spacing w:line="240" w:lineRule="auto"/>
              <w:jc w:val="center"/>
              <w:rPr>
                <w:snapToGrid w:val="0"/>
                <w:lang w:val="it-IT"/>
              </w:rPr>
            </w:pPr>
            <w:r w:rsidRPr="00597AB4">
              <w:rPr>
                <w:snapToGrid w:val="0"/>
                <w:lang w:val="it-IT"/>
              </w:rPr>
              <w:t>Până la o notificare ulterioară</w:t>
            </w:r>
          </w:p>
        </w:tc>
      </w:tr>
    </w:tbl>
    <w:p w:rsidR="00196C06" w:rsidRPr="00857CDA" w:rsidRDefault="00196C06" w:rsidP="00196C06">
      <w:pPr>
        <w:pStyle w:val="SingleTxtG"/>
        <w:tabs>
          <w:tab w:val="left" w:pos="2268"/>
        </w:tabs>
        <w:spacing w:before="120"/>
        <w:rPr>
          <w:lang w:val="ro-RO"/>
        </w:rPr>
      </w:pPr>
      <w:r w:rsidRPr="00857CDA">
        <w:rPr>
          <w:lang w:val="ro-RO"/>
        </w:rPr>
        <w:t>6.2.2.4</w:t>
      </w:r>
      <w:r w:rsidRPr="00857CDA">
        <w:rPr>
          <w:lang w:val="ro-RO"/>
        </w:rPr>
        <w:tab/>
      </w:r>
      <w:r w:rsidRPr="00857CDA">
        <w:rPr>
          <w:lang w:val="ro-RO"/>
        </w:rPr>
        <w:tab/>
      </w:r>
      <w:r w:rsidR="00902C44" w:rsidRPr="00857CDA">
        <w:rPr>
          <w:lang w:val="ro-RO"/>
        </w:rPr>
        <w:t xml:space="preserve">În </w:t>
      </w:r>
      <w:r w:rsidR="00FD3C88" w:rsidRPr="00857CDA">
        <w:rPr>
          <w:lang w:val="ro-RO"/>
        </w:rPr>
        <w:t>pr</w:t>
      </w:r>
      <w:r w:rsidR="008C1501" w:rsidRPr="00857CDA">
        <w:rPr>
          <w:lang w:val="ro-RO"/>
        </w:rPr>
        <w:t>i</w:t>
      </w:r>
      <w:r w:rsidR="00FD3C88" w:rsidRPr="00857CDA">
        <w:rPr>
          <w:lang w:val="ro-RO"/>
        </w:rPr>
        <w:t>m</w:t>
      </w:r>
      <w:r w:rsidR="008C1501" w:rsidRPr="00857CDA">
        <w:rPr>
          <w:lang w:val="ro-RO"/>
        </w:rPr>
        <w:t>ul</w:t>
      </w:r>
      <w:r w:rsidR="00FD3C88" w:rsidRPr="00857CDA">
        <w:rPr>
          <w:lang w:val="ro-RO"/>
        </w:rPr>
        <w:t xml:space="preserve"> </w:t>
      </w:r>
      <w:r w:rsidRPr="00857CDA">
        <w:rPr>
          <w:lang w:val="ro-RO"/>
        </w:rPr>
        <w:t>tabe</w:t>
      </w:r>
      <w:r w:rsidR="008C1501" w:rsidRPr="00857CDA">
        <w:rPr>
          <w:lang w:val="ro-RO"/>
        </w:rPr>
        <w:t>l</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ISO 11623:2002, </w:t>
      </w:r>
      <w:r w:rsidR="008C1501" w:rsidRPr="00857CDA">
        <w:rPr>
          <w:lang w:val="ro-RO"/>
        </w:rPr>
        <w:t>î</w:t>
      </w:r>
      <w:r w:rsidR="00902C44" w:rsidRPr="00857CDA">
        <w:rPr>
          <w:lang w:val="ro-RO"/>
        </w:rPr>
        <w:t>n</w:t>
      </w:r>
      <w:r w:rsidRPr="00857CDA">
        <w:rPr>
          <w:lang w:val="ro-RO"/>
        </w:rPr>
        <w:t xml:space="preserve"> </w:t>
      </w:r>
      <w:r w:rsidR="00121893" w:rsidRPr="00857CDA">
        <w:rPr>
          <w:lang w:val="ro-RO"/>
        </w:rPr>
        <w:t>coloana</w:t>
      </w:r>
      <w:r w:rsidRPr="00857CDA">
        <w:rPr>
          <w:lang w:val="ro-RO"/>
        </w:rPr>
        <w:t xml:space="preserve"> </w:t>
      </w:r>
      <w:r w:rsidR="00FE5FC3" w:rsidRPr="00857CDA">
        <w:rPr>
          <w:lang w:val="ro-RO"/>
        </w:rPr>
        <w:t>„</w:t>
      </w:r>
      <w:r w:rsidRPr="00857CDA">
        <w:rPr>
          <w:lang w:val="ro-RO"/>
        </w:rPr>
        <w:t>Aplicab</w:t>
      </w:r>
      <w:r w:rsidR="008C1501" w:rsidRPr="00857CDA">
        <w:rPr>
          <w:lang w:val="ro-RO"/>
        </w:rPr>
        <w:t>i</w:t>
      </w:r>
      <w:r w:rsidRPr="00857CDA">
        <w:rPr>
          <w:lang w:val="ro-RO"/>
        </w:rPr>
        <w:t>l</w:t>
      </w:r>
      <w:r w:rsidR="00660131" w:rsidRPr="00857CDA">
        <w:rPr>
          <w:lang w:val="ro-RO"/>
        </w:rPr>
        <w:t>”</w:t>
      </w:r>
      <w:r w:rsidRPr="00857CDA">
        <w:rPr>
          <w:lang w:val="ro-RO"/>
        </w:rPr>
        <w:t xml:space="preserve">, </w:t>
      </w:r>
      <w:r w:rsidR="00902C44" w:rsidRPr="00857CDA">
        <w:rPr>
          <w:lang w:val="ro-RO"/>
        </w:rPr>
        <w:t>Se modifică</w:t>
      </w:r>
      <w:r w:rsidRPr="00857CDA">
        <w:rPr>
          <w:lang w:val="ro-RO"/>
        </w:rPr>
        <w:t xml:space="preserve"> </w:t>
      </w:r>
      <w:r w:rsidR="00FE5FC3"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FE5FC3" w:rsidRPr="00857CDA">
        <w:rPr>
          <w:lang w:val="ro-RO"/>
        </w:rPr>
        <w:t>„</w:t>
      </w:r>
      <w:r w:rsidR="008C1501" w:rsidRPr="00857CDA">
        <w:rPr>
          <w:lang w:val="ro-RO"/>
        </w:rPr>
        <w:t xml:space="preserve">Până la </w:t>
      </w:r>
      <w:r w:rsidRPr="00857CDA">
        <w:rPr>
          <w:lang w:val="ro-RO"/>
        </w:rPr>
        <w:t>31 d</w:t>
      </w:r>
      <w:r w:rsidR="008C1501" w:rsidRPr="00857CDA">
        <w:rPr>
          <w:lang w:val="ro-RO"/>
        </w:rPr>
        <w:t>e</w:t>
      </w:r>
      <w:r w:rsidRPr="00857CDA">
        <w:rPr>
          <w:lang w:val="ro-RO"/>
        </w:rPr>
        <w:t>cembr</w:t>
      </w:r>
      <w:r w:rsidR="008C1501" w:rsidRPr="00857CDA">
        <w:rPr>
          <w:lang w:val="ro-RO"/>
        </w:rPr>
        <w:t>i</w:t>
      </w:r>
      <w:r w:rsidRPr="00857CDA">
        <w:rPr>
          <w:lang w:val="ro-RO"/>
        </w:rPr>
        <w:t>e 2020</w:t>
      </w:r>
      <w:r w:rsidR="00660131" w:rsidRPr="00857CDA">
        <w:rPr>
          <w:lang w:val="ro-RO"/>
        </w:rPr>
        <w:t>”</w:t>
      </w:r>
      <w:r w:rsidRPr="00857CDA">
        <w:rPr>
          <w:lang w:val="ro-RO"/>
        </w:rPr>
        <w:t>.</w:t>
      </w:r>
    </w:p>
    <w:p w:rsidR="00196C06" w:rsidRPr="00857CDA" w:rsidRDefault="00991390" w:rsidP="00196C06">
      <w:pPr>
        <w:pStyle w:val="SingleTxtG"/>
        <w:rPr>
          <w:lang w:val="ro-RO"/>
        </w:rPr>
      </w:pPr>
      <w:r w:rsidRPr="00857CDA">
        <w:rPr>
          <w:lang w:val="ro-RO"/>
        </w:rPr>
        <w:t>După</w:t>
      </w:r>
      <w:r w:rsidR="00196C06" w:rsidRPr="00857CDA">
        <w:rPr>
          <w:lang w:val="ro-RO"/>
        </w:rPr>
        <w:t xml:space="preserve"> </w:t>
      </w:r>
      <w:r w:rsidR="006A1ED1" w:rsidRPr="00857CDA">
        <w:rPr>
          <w:lang w:val="ro-RO"/>
        </w:rPr>
        <w:t>rândul</w:t>
      </w:r>
      <w:r w:rsidR="00196C06" w:rsidRPr="00857CDA">
        <w:rPr>
          <w:lang w:val="ro-RO"/>
        </w:rPr>
        <w:t xml:space="preserve"> </w:t>
      </w:r>
      <w:r w:rsidRPr="00857CDA">
        <w:rPr>
          <w:lang w:val="ro-RO"/>
        </w:rPr>
        <w:t>pentru</w:t>
      </w:r>
      <w:r w:rsidR="00196C06" w:rsidRPr="00857CDA">
        <w:rPr>
          <w:lang w:val="ro-RO"/>
        </w:rPr>
        <w:t xml:space="preserve"> </w:t>
      </w:r>
      <w:r w:rsidR="006A1ED1" w:rsidRPr="00857CDA">
        <w:rPr>
          <w:lang w:val="ro-RO"/>
        </w:rPr>
        <w:t>standardul</w:t>
      </w:r>
      <w:r w:rsidR="00196C06" w:rsidRPr="00857CDA">
        <w:rPr>
          <w:lang w:val="ro-RO"/>
        </w:rPr>
        <w:t xml:space="preserve"> </w:t>
      </w:r>
      <w:r w:rsidR="00660131" w:rsidRPr="00857CDA">
        <w:rPr>
          <w:lang w:val="ro-RO"/>
        </w:rPr>
        <w:t>“</w:t>
      </w:r>
      <w:r w:rsidR="00196C06" w:rsidRPr="00857CDA">
        <w:rPr>
          <w:lang w:val="ro-RO"/>
        </w:rPr>
        <w:t>ISO 11623:2002</w:t>
      </w:r>
      <w:r w:rsidR="00660131" w:rsidRPr="00857CDA">
        <w:rPr>
          <w:lang w:val="ro-RO"/>
        </w:rPr>
        <w:t>”</w:t>
      </w:r>
      <w:r w:rsidR="00196C06" w:rsidRPr="00857CDA">
        <w:rPr>
          <w:lang w:val="ro-RO"/>
        </w:rPr>
        <w:t xml:space="preserve"> </w:t>
      </w:r>
      <w:r w:rsidR="00902C44" w:rsidRPr="00857CDA">
        <w:rPr>
          <w:lang w:val="ro-RO"/>
        </w:rPr>
        <w:t>se adaugă</w:t>
      </w:r>
      <w:r w:rsidR="00196C06" w:rsidRPr="00857CDA">
        <w:rPr>
          <w:lang w:val="ro-RO"/>
        </w:rPr>
        <w:t xml:space="preserve"> </w:t>
      </w:r>
      <w:r w:rsidR="008C1501" w:rsidRPr="00857CDA">
        <w:rPr>
          <w:lang w:val="ro-RO"/>
        </w:rPr>
        <w:t>un nou rând, după cum urmează</w:t>
      </w:r>
      <w:r w:rsidR="00091658" w:rsidRPr="00857CDA">
        <w:rPr>
          <w:lang w:val="ro-RO"/>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10"/>
        <w:gridCol w:w="4721"/>
        <w:gridCol w:w="1974"/>
      </w:tblGrid>
      <w:tr w:rsidR="00A074FC" w:rsidRPr="007D305F" w:rsidTr="008C1501">
        <w:tc>
          <w:tcPr>
            <w:tcW w:w="1810" w:type="dxa"/>
            <w:tcBorders>
              <w:top w:val="single" w:sz="4" w:space="0" w:color="auto"/>
              <w:left w:val="single" w:sz="4" w:space="0" w:color="auto"/>
              <w:bottom w:val="single" w:sz="4" w:space="0" w:color="auto"/>
              <w:right w:val="single" w:sz="4" w:space="0" w:color="auto"/>
            </w:tcBorders>
            <w:hideMark/>
          </w:tcPr>
          <w:p w:rsidR="00196C06" w:rsidRPr="00857CDA" w:rsidRDefault="00196C06" w:rsidP="006201FD">
            <w:pPr>
              <w:spacing w:line="220" w:lineRule="atLeast"/>
              <w:ind w:left="113" w:right="113"/>
              <w:jc w:val="both"/>
              <w:rPr>
                <w:bCs/>
                <w:lang w:val="ro-RO"/>
              </w:rPr>
            </w:pPr>
            <w:r w:rsidRPr="00857CDA">
              <w:rPr>
                <w:bCs/>
                <w:lang w:val="ro-RO"/>
              </w:rPr>
              <w:t>ISO 11623:2015</w:t>
            </w:r>
          </w:p>
        </w:tc>
        <w:tc>
          <w:tcPr>
            <w:tcW w:w="4721" w:type="dxa"/>
            <w:tcBorders>
              <w:top w:val="single" w:sz="4" w:space="0" w:color="auto"/>
              <w:left w:val="single" w:sz="4" w:space="0" w:color="auto"/>
              <w:bottom w:val="single" w:sz="4" w:space="0" w:color="auto"/>
              <w:right w:val="single" w:sz="4" w:space="0" w:color="auto"/>
            </w:tcBorders>
            <w:hideMark/>
          </w:tcPr>
          <w:p w:rsidR="00196C06" w:rsidRPr="00857CDA" w:rsidRDefault="008C1501" w:rsidP="008C1501">
            <w:pPr>
              <w:spacing w:line="220" w:lineRule="atLeast"/>
              <w:ind w:left="113" w:right="113"/>
              <w:rPr>
                <w:bCs/>
                <w:lang w:val="ro-RO"/>
              </w:rPr>
            </w:pPr>
            <w:r w:rsidRPr="00857CDA">
              <w:rPr>
                <w:snapToGrid w:val="0"/>
                <w:lang w:val="ro-RO"/>
              </w:rPr>
              <w:t xml:space="preserve">Butelii transportabile de gaz - Inspecție și încercare </w:t>
            </w:r>
            <w:r w:rsidRPr="00857CDA">
              <w:rPr>
                <w:snapToGrid w:val="0"/>
                <w:lang w:val="ro-RO"/>
              </w:rPr>
              <w:lastRenderedPageBreak/>
              <w:t>periodică</w:t>
            </w:r>
          </w:p>
        </w:tc>
        <w:tc>
          <w:tcPr>
            <w:tcW w:w="1974" w:type="dxa"/>
            <w:tcBorders>
              <w:top w:val="single" w:sz="4" w:space="0" w:color="auto"/>
              <w:left w:val="single" w:sz="4" w:space="0" w:color="auto"/>
              <w:bottom w:val="single" w:sz="4" w:space="0" w:color="auto"/>
              <w:right w:val="single" w:sz="4" w:space="0" w:color="auto"/>
            </w:tcBorders>
            <w:hideMark/>
          </w:tcPr>
          <w:p w:rsidR="00196C06" w:rsidRPr="00857CDA" w:rsidRDefault="00B77817" w:rsidP="006201FD">
            <w:pPr>
              <w:spacing w:line="220" w:lineRule="atLeast"/>
              <w:ind w:left="113" w:right="113"/>
              <w:rPr>
                <w:bCs/>
                <w:lang w:val="ro-RO"/>
              </w:rPr>
            </w:pPr>
            <w:r w:rsidRPr="00857CDA">
              <w:rPr>
                <w:color w:val="000000"/>
                <w:lang w:val="ro-RO" w:eastAsia="fr-FR"/>
              </w:rPr>
              <w:lastRenderedPageBreak/>
              <w:t xml:space="preserve">Până la o notificare </w:t>
            </w:r>
            <w:r w:rsidRPr="00857CDA">
              <w:rPr>
                <w:color w:val="000000"/>
                <w:lang w:val="ro-RO" w:eastAsia="fr-FR"/>
              </w:rPr>
              <w:lastRenderedPageBreak/>
              <w:t>ulterioară</w:t>
            </w:r>
          </w:p>
        </w:tc>
      </w:tr>
    </w:tbl>
    <w:p w:rsidR="00597AB4" w:rsidRDefault="00597AB4" w:rsidP="00597AB4">
      <w:pPr>
        <w:pStyle w:val="SingleTxtG"/>
        <w:spacing w:after="0"/>
        <w:rPr>
          <w:lang w:val="ro-RO"/>
        </w:rPr>
      </w:pPr>
    </w:p>
    <w:p w:rsidR="00196C06" w:rsidRPr="00857CDA" w:rsidRDefault="00196C06" w:rsidP="00597AB4">
      <w:pPr>
        <w:pStyle w:val="SingleTxtG"/>
        <w:spacing w:after="0"/>
        <w:rPr>
          <w:lang w:val="ro-RO"/>
        </w:rPr>
      </w:pPr>
      <w:r w:rsidRPr="00857CDA">
        <w:rPr>
          <w:lang w:val="ro-RO"/>
        </w:rPr>
        <w:t>6.2.2.4</w:t>
      </w:r>
      <w:r w:rsidRPr="00857CDA">
        <w:rPr>
          <w:lang w:val="ro-RO"/>
        </w:rPr>
        <w:tab/>
      </w:r>
      <w:r w:rsidRPr="00857CDA">
        <w:rPr>
          <w:lang w:val="ro-RO"/>
        </w:rPr>
        <w:tab/>
      </w:r>
      <w:r w:rsidR="008C1501" w:rsidRPr="00857CDA">
        <w:rPr>
          <w:lang w:val="ro-RO"/>
        </w:rPr>
        <w:t>La sfârșitul primului tabel</w:t>
      </w:r>
      <w:r w:rsidRPr="00857CDA">
        <w:rPr>
          <w:lang w:val="ro-RO"/>
        </w:rPr>
        <w:t xml:space="preserve"> </w:t>
      </w:r>
      <w:r w:rsidR="00902C44" w:rsidRPr="00857CDA">
        <w:rPr>
          <w:lang w:val="ro-RO"/>
        </w:rPr>
        <w:t>se adaugă</w:t>
      </w:r>
      <w:r w:rsidRPr="00857CDA">
        <w:rPr>
          <w:lang w:val="ro-RO"/>
        </w:rPr>
        <w:t xml:space="preserve"> </w:t>
      </w:r>
      <w:r w:rsidR="008C1501" w:rsidRPr="00857CDA">
        <w:rPr>
          <w:lang w:val="ro-RO"/>
        </w:rPr>
        <w:t>un nou rând după cum urmează</w:t>
      </w:r>
      <w:r w:rsidRPr="00857CDA">
        <w:rPr>
          <w:lang w:val="ro-RO"/>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4727"/>
        <w:gridCol w:w="1974"/>
      </w:tblGrid>
      <w:tr w:rsidR="00A074FC" w:rsidRPr="007D305F" w:rsidTr="008C1501">
        <w:tc>
          <w:tcPr>
            <w:tcW w:w="1804" w:type="dxa"/>
            <w:shd w:val="clear" w:color="auto" w:fill="auto"/>
          </w:tcPr>
          <w:p w:rsidR="00196C06" w:rsidRPr="00857CDA" w:rsidRDefault="00196C06" w:rsidP="006201FD">
            <w:pPr>
              <w:spacing w:before="40" w:after="80"/>
              <w:ind w:left="43" w:right="43"/>
              <w:rPr>
                <w:lang w:val="ro-RO"/>
              </w:rPr>
            </w:pPr>
            <w:r w:rsidRPr="00857CDA">
              <w:rPr>
                <w:lang w:val="ro-RO"/>
              </w:rPr>
              <w:t>ISO 22434:2006</w:t>
            </w:r>
          </w:p>
        </w:tc>
        <w:tc>
          <w:tcPr>
            <w:tcW w:w="4727" w:type="dxa"/>
            <w:shd w:val="clear" w:color="auto" w:fill="auto"/>
          </w:tcPr>
          <w:p w:rsidR="008C1501" w:rsidRPr="00857CDA" w:rsidRDefault="008C1501" w:rsidP="008C1501">
            <w:pPr>
              <w:spacing w:before="40" w:after="80"/>
              <w:ind w:left="43" w:right="43"/>
              <w:rPr>
                <w:b/>
                <w:i/>
                <w:lang w:val="ro-RO"/>
              </w:rPr>
            </w:pPr>
            <w:r w:rsidRPr="00857CDA">
              <w:rPr>
                <w:rFonts w:cs="Arial"/>
                <w:bCs/>
                <w:szCs w:val="18"/>
                <w:lang w:val="ro-RO"/>
              </w:rPr>
              <w:t xml:space="preserve">Butelii pentru gaz transportabile - Inspecţia şi întreținerea robinetelor buteliilor </w:t>
            </w:r>
          </w:p>
          <w:p w:rsidR="00196C06" w:rsidRPr="00857CDA" w:rsidRDefault="00196C06" w:rsidP="001E6DD2">
            <w:pPr>
              <w:spacing w:before="40" w:after="80"/>
              <w:ind w:left="43" w:right="43"/>
              <w:rPr>
                <w:lang w:val="ro-RO"/>
              </w:rPr>
            </w:pPr>
            <w:r w:rsidRPr="00857CDA">
              <w:rPr>
                <w:b/>
                <w:i/>
                <w:lang w:val="ro-RO"/>
              </w:rPr>
              <w:t>NOT</w:t>
            </w:r>
            <w:r w:rsidR="008C1501" w:rsidRPr="00857CDA">
              <w:rPr>
                <w:b/>
                <w:i/>
                <w:lang w:val="ro-RO"/>
              </w:rPr>
              <w:t>Ă</w:t>
            </w:r>
            <w:r w:rsidRPr="00857CDA">
              <w:rPr>
                <w:b/>
                <w:i/>
                <w:lang w:val="ro-RO"/>
              </w:rPr>
              <w:t>:</w:t>
            </w:r>
            <w:r w:rsidRPr="00857CDA">
              <w:rPr>
                <w:lang w:val="ro-RO"/>
              </w:rPr>
              <w:t xml:space="preserve"> </w:t>
            </w:r>
            <w:r w:rsidR="001E6DD2" w:rsidRPr="00857CDA">
              <w:rPr>
                <w:i/>
                <w:lang w:val="ro-RO"/>
              </w:rPr>
              <w:t>Aceste prescripții pot fi îndeplinite în alte momente decât cu ocazia inspecției periodice și încercării buteliilor „UN”</w:t>
            </w:r>
            <w:r w:rsidRPr="00857CDA">
              <w:rPr>
                <w:i/>
                <w:lang w:val="ro-RO"/>
              </w:rPr>
              <w:t>.</w:t>
            </w:r>
          </w:p>
        </w:tc>
        <w:tc>
          <w:tcPr>
            <w:tcW w:w="1974" w:type="dxa"/>
            <w:shd w:val="clear" w:color="auto" w:fill="auto"/>
          </w:tcPr>
          <w:p w:rsidR="00196C06" w:rsidRPr="00857CDA" w:rsidRDefault="00B77817" w:rsidP="006201FD">
            <w:pPr>
              <w:spacing w:before="40" w:after="80"/>
              <w:ind w:left="43" w:right="43"/>
              <w:rPr>
                <w:lang w:val="ro-RO"/>
              </w:rPr>
            </w:pPr>
            <w:r w:rsidRPr="00857CDA">
              <w:rPr>
                <w:color w:val="000000"/>
                <w:lang w:val="ro-RO" w:eastAsia="fr-FR"/>
              </w:rPr>
              <w:t>Până la o notificare ulterioară</w:t>
            </w:r>
          </w:p>
        </w:tc>
      </w:tr>
    </w:tbl>
    <w:p w:rsidR="00196C06" w:rsidRPr="00857CDA" w:rsidRDefault="00196C06" w:rsidP="003567B8">
      <w:pPr>
        <w:pStyle w:val="SingleTxtG"/>
        <w:spacing w:before="120"/>
        <w:rPr>
          <w:lang w:val="ro-RO"/>
        </w:rPr>
      </w:pPr>
      <w:r w:rsidRPr="00857CDA">
        <w:rPr>
          <w:lang w:val="ro-RO"/>
        </w:rPr>
        <w:t>6.2.2.7.4</w:t>
      </w:r>
      <w:r w:rsidRPr="00857CDA">
        <w:rPr>
          <w:lang w:val="ro-RO"/>
        </w:rPr>
        <w:tab/>
      </w:r>
      <w:r w:rsidR="00902C44" w:rsidRPr="00857CDA">
        <w:rPr>
          <w:lang w:val="ro-RO"/>
        </w:rPr>
        <w:t>Se adaugă</w:t>
      </w:r>
      <w:r w:rsidRPr="00857CDA">
        <w:rPr>
          <w:lang w:val="ro-RO"/>
        </w:rPr>
        <w:t xml:space="preserve"> </w:t>
      </w:r>
      <w:r w:rsidR="00F266DC" w:rsidRPr="00857CDA">
        <w:rPr>
          <w:lang w:val="ro-RO"/>
        </w:rPr>
        <w:t>următoarea</w:t>
      </w:r>
      <w:r w:rsidRPr="00857CDA">
        <w:rPr>
          <w:lang w:val="ro-RO"/>
        </w:rPr>
        <w:t xml:space="preserve"> NOT</w:t>
      </w:r>
      <w:r w:rsidR="00F266DC" w:rsidRPr="00857CDA">
        <w:rPr>
          <w:lang w:val="ro-RO"/>
        </w:rPr>
        <w:t>Ă, sub litera</w:t>
      </w:r>
      <w:r w:rsidRPr="00857CDA">
        <w:rPr>
          <w:lang w:val="ro-RO"/>
        </w:rPr>
        <w:t> </w:t>
      </w:r>
      <w:r w:rsidR="00F266DC" w:rsidRPr="00857CDA">
        <w:rPr>
          <w:lang w:val="ro-RO"/>
        </w:rPr>
        <w:t>(</w:t>
      </w:r>
      <w:r w:rsidRPr="00857CDA">
        <w:rPr>
          <w:lang w:val="ro-RO"/>
        </w:rPr>
        <w:t>m)</w:t>
      </w:r>
      <w:r w:rsidR="00091658" w:rsidRPr="00857CDA">
        <w:rPr>
          <w:lang w:val="ro-RO"/>
        </w:rPr>
        <w:t>:</w:t>
      </w:r>
    </w:p>
    <w:p w:rsidR="00196C06" w:rsidRPr="00857CDA" w:rsidRDefault="00FE5FC3" w:rsidP="002D2CD5">
      <w:pPr>
        <w:pStyle w:val="SingleTxtG"/>
        <w:rPr>
          <w:i/>
          <w:lang w:val="ro-RO"/>
        </w:rPr>
      </w:pPr>
      <w:r w:rsidRPr="00857CDA">
        <w:rPr>
          <w:lang w:val="ro-RO"/>
        </w:rPr>
        <w:t>„</w:t>
      </w:r>
      <w:r w:rsidR="00196C06" w:rsidRPr="00857CDA">
        <w:rPr>
          <w:b/>
          <w:i/>
          <w:lang w:val="ro-RO"/>
        </w:rPr>
        <w:t>NOT</w:t>
      </w:r>
      <w:r w:rsidRPr="00857CDA">
        <w:rPr>
          <w:b/>
          <w:i/>
          <w:lang w:val="ro-RO"/>
        </w:rPr>
        <w:t>Ă</w:t>
      </w:r>
      <w:r w:rsidR="00196C06" w:rsidRPr="00857CDA">
        <w:rPr>
          <w:b/>
          <w:i/>
          <w:lang w:val="ro-RO"/>
        </w:rPr>
        <w:t>:</w:t>
      </w:r>
      <w:r w:rsidR="00196C06" w:rsidRPr="00857CDA">
        <w:rPr>
          <w:i/>
          <w:lang w:val="ro-RO"/>
        </w:rPr>
        <w:t xml:space="preserve"> </w:t>
      </w:r>
      <w:r w:rsidR="00196C06" w:rsidRPr="00857CDA">
        <w:rPr>
          <w:i/>
          <w:lang w:val="ro-RO"/>
        </w:rPr>
        <w:tab/>
      </w:r>
      <w:r w:rsidR="00F266DC" w:rsidRPr="00857CDA">
        <w:rPr>
          <w:i/>
          <w:lang w:val="ro-RO"/>
        </w:rPr>
        <w:t xml:space="preserve">Informații despre mărcile comerciale care pot fi folosite pentru a identifica filetele buteliilor care figurează în raportul ISO / TR 11364, Buteliile </w:t>
      </w:r>
      <w:r w:rsidR="002D2CD5" w:rsidRPr="00857CDA">
        <w:rPr>
          <w:i/>
          <w:lang w:val="ro-RO"/>
        </w:rPr>
        <w:t>pentru</w:t>
      </w:r>
      <w:r w:rsidR="00F266DC" w:rsidRPr="00857CDA">
        <w:rPr>
          <w:i/>
          <w:lang w:val="ro-RO"/>
        </w:rPr>
        <w:t xml:space="preserve"> gaz - Compl</w:t>
      </w:r>
      <w:r w:rsidR="002D2CD5" w:rsidRPr="00857CDA">
        <w:rPr>
          <w:i/>
          <w:lang w:val="ro-RO"/>
        </w:rPr>
        <w:t>et</w:t>
      </w:r>
      <w:r w:rsidR="00F266DC" w:rsidRPr="00857CDA">
        <w:rPr>
          <w:i/>
          <w:lang w:val="ro-RO"/>
        </w:rPr>
        <w:t xml:space="preserve">area filetelor </w:t>
      </w:r>
      <w:r w:rsidR="002D2CD5" w:rsidRPr="00857CDA">
        <w:rPr>
          <w:i/>
          <w:lang w:val="ro-RO"/>
        </w:rPr>
        <w:t>naționale</w:t>
      </w:r>
      <w:r w:rsidR="00F266DC" w:rsidRPr="00857CDA">
        <w:rPr>
          <w:i/>
          <w:lang w:val="ro-RO"/>
        </w:rPr>
        <w:t xml:space="preserve"> și internaționale de </w:t>
      </w:r>
      <w:r w:rsidR="002D2CD5" w:rsidRPr="00857CDA">
        <w:rPr>
          <w:i/>
          <w:lang w:val="ro-RO"/>
        </w:rPr>
        <w:t xml:space="preserve">pe </w:t>
      </w:r>
      <w:r w:rsidR="00F266DC" w:rsidRPr="00857CDA">
        <w:rPr>
          <w:i/>
          <w:lang w:val="ro-RO"/>
        </w:rPr>
        <w:t>robinete / gât</w:t>
      </w:r>
      <w:r w:rsidR="002D2CD5" w:rsidRPr="00857CDA">
        <w:rPr>
          <w:i/>
          <w:lang w:val="ro-RO"/>
        </w:rPr>
        <w:t>ul buteliilor</w:t>
      </w:r>
      <w:r w:rsidR="00F266DC" w:rsidRPr="00857CDA">
        <w:rPr>
          <w:i/>
          <w:lang w:val="ro-RO"/>
        </w:rPr>
        <w:t xml:space="preserve"> și a sistemului lor de identificare și </w:t>
      </w:r>
      <w:r w:rsidR="002D2CD5" w:rsidRPr="00857CDA">
        <w:rPr>
          <w:i/>
          <w:lang w:val="ro-RO"/>
        </w:rPr>
        <w:t xml:space="preserve">de </w:t>
      </w:r>
      <w:r w:rsidR="00F266DC" w:rsidRPr="00857CDA">
        <w:rPr>
          <w:i/>
          <w:lang w:val="ro-RO"/>
        </w:rPr>
        <w:t>marcare</w:t>
      </w:r>
      <w:r w:rsidR="00196C06" w:rsidRPr="00857CDA">
        <w:rPr>
          <w:i/>
          <w:lang w:val="ro-RO"/>
        </w:rPr>
        <w:t>.</w:t>
      </w:r>
      <w:r w:rsidR="00660131" w:rsidRPr="00857CDA">
        <w:rPr>
          <w:lang w:val="ro-RO"/>
        </w:rPr>
        <w:t>”</w:t>
      </w:r>
      <w:r w:rsidR="00196C06" w:rsidRPr="00857CDA">
        <w:rPr>
          <w:lang w:val="ro-RO"/>
        </w:rPr>
        <w:t>.</w:t>
      </w:r>
    </w:p>
    <w:p w:rsidR="007062E3" w:rsidRPr="00857CDA" w:rsidRDefault="00902C44" w:rsidP="007062E3">
      <w:pPr>
        <w:pStyle w:val="SingleTxtG"/>
        <w:rPr>
          <w:lang w:val="ro-RO"/>
        </w:rPr>
      </w:pPr>
      <w:r w:rsidRPr="00857CDA">
        <w:rPr>
          <w:lang w:val="ro-RO"/>
        </w:rPr>
        <w:t>Se adaugă</w:t>
      </w:r>
      <w:r w:rsidR="007062E3" w:rsidRPr="00857CDA">
        <w:rPr>
          <w:lang w:val="ro-RO"/>
        </w:rPr>
        <w:t xml:space="preserve"> un nou 6.2.3.5.3</w:t>
      </w:r>
      <w:r w:rsidR="002D2CD5" w:rsidRPr="00857CDA">
        <w:rPr>
          <w:lang w:val="ro-RO"/>
        </w:rPr>
        <w:t>, după cum urmează</w:t>
      </w:r>
      <w:r w:rsidR="00091658" w:rsidRPr="00857CDA">
        <w:rPr>
          <w:lang w:val="ro-RO"/>
        </w:rPr>
        <w:t>:</w:t>
      </w:r>
    </w:p>
    <w:p w:rsidR="007062E3" w:rsidRPr="00857CDA" w:rsidRDefault="00FE5FC3" w:rsidP="007062E3">
      <w:pPr>
        <w:pStyle w:val="SingleTxtG"/>
        <w:rPr>
          <w:lang w:val="ro-RO"/>
        </w:rPr>
      </w:pPr>
      <w:r w:rsidRPr="00857CDA">
        <w:rPr>
          <w:lang w:val="ro-RO"/>
        </w:rPr>
        <w:t>„</w:t>
      </w:r>
      <w:r w:rsidR="007062E3" w:rsidRPr="00857CDA">
        <w:rPr>
          <w:lang w:val="ro-RO"/>
        </w:rPr>
        <w:t>6.2.3.5.3</w:t>
      </w:r>
      <w:r w:rsidR="007062E3" w:rsidRPr="00857CDA">
        <w:rPr>
          <w:lang w:val="ro-RO"/>
        </w:rPr>
        <w:tab/>
      </w:r>
      <w:r w:rsidR="007062E3" w:rsidRPr="00857CDA">
        <w:rPr>
          <w:i/>
          <w:lang w:val="ro-RO"/>
        </w:rPr>
        <w:t>Dispo</w:t>
      </w:r>
      <w:r w:rsidR="002D2CD5" w:rsidRPr="00857CDA">
        <w:rPr>
          <w:i/>
          <w:lang w:val="ro-RO"/>
        </w:rPr>
        <w:t>z</w:t>
      </w:r>
      <w:r w:rsidR="007062E3" w:rsidRPr="00857CDA">
        <w:rPr>
          <w:i/>
          <w:lang w:val="ro-RO"/>
        </w:rPr>
        <w:t>i</w:t>
      </w:r>
      <w:r w:rsidR="002D2CD5" w:rsidRPr="00857CDA">
        <w:rPr>
          <w:i/>
          <w:lang w:val="ro-RO"/>
        </w:rPr>
        <w:t>ții</w:t>
      </w:r>
      <w:r w:rsidR="007062E3" w:rsidRPr="00857CDA">
        <w:rPr>
          <w:i/>
          <w:lang w:val="ro-RO"/>
        </w:rPr>
        <w:t xml:space="preserve"> g</w:t>
      </w:r>
      <w:r w:rsidR="002D2CD5" w:rsidRPr="00857CDA">
        <w:rPr>
          <w:i/>
          <w:lang w:val="ro-RO"/>
        </w:rPr>
        <w:t>e</w:t>
      </w:r>
      <w:r w:rsidR="007062E3" w:rsidRPr="00857CDA">
        <w:rPr>
          <w:i/>
          <w:lang w:val="ro-RO"/>
        </w:rPr>
        <w:t>n</w:t>
      </w:r>
      <w:r w:rsidR="002D2CD5" w:rsidRPr="00857CDA">
        <w:rPr>
          <w:i/>
          <w:lang w:val="ro-RO"/>
        </w:rPr>
        <w:t>e</w:t>
      </w:r>
      <w:r w:rsidR="007062E3" w:rsidRPr="00857CDA">
        <w:rPr>
          <w:i/>
          <w:lang w:val="ro-RO"/>
        </w:rPr>
        <w:t>rale aplicab</w:t>
      </w:r>
      <w:r w:rsidR="002D2CD5" w:rsidRPr="00857CDA">
        <w:rPr>
          <w:i/>
          <w:lang w:val="ro-RO"/>
        </w:rPr>
        <w:t>i</w:t>
      </w:r>
      <w:r w:rsidR="007062E3" w:rsidRPr="00857CDA">
        <w:rPr>
          <w:i/>
          <w:lang w:val="ro-RO"/>
        </w:rPr>
        <w:t>le</w:t>
      </w:r>
      <w:r w:rsidR="002D2CD5" w:rsidRPr="00857CDA">
        <w:rPr>
          <w:i/>
          <w:lang w:val="ro-RO"/>
        </w:rPr>
        <w:t xml:space="preserve"> pentru</w:t>
      </w:r>
      <w:r w:rsidR="007062E3" w:rsidRPr="00857CDA">
        <w:rPr>
          <w:i/>
          <w:lang w:val="ro-RO"/>
        </w:rPr>
        <w:t xml:space="preserve"> </w:t>
      </w:r>
      <w:r w:rsidR="002D2CD5" w:rsidRPr="00857CDA">
        <w:rPr>
          <w:i/>
          <w:lang w:val="ro-RO"/>
        </w:rPr>
        <w:t>înlocuirea</w:t>
      </w:r>
      <w:r w:rsidR="007062E3" w:rsidRPr="00857CDA">
        <w:rPr>
          <w:i/>
          <w:lang w:val="ro-RO"/>
        </w:rPr>
        <w:t xml:space="preserve"> </w:t>
      </w:r>
      <w:r w:rsidR="00965E74" w:rsidRPr="00857CDA">
        <w:rPr>
          <w:i/>
          <w:lang w:val="ro-RO"/>
        </w:rPr>
        <w:t>verificărilor</w:t>
      </w:r>
      <w:r w:rsidR="002D2CD5" w:rsidRPr="00857CDA">
        <w:rPr>
          <w:i/>
          <w:lang w:val="ro-RO"/>
        </w:rPr>
        <w:t xml:space="preserve"> și încercărilor periodice </w:t>
      </w:r>
      <w:r w:rsidR="007062E3" w:rsidRPr="00857CDA">
        <w:rPr>
          <w:i/>
          <w:lang w:val="ro-RO"/>
        </w:rPr>
        <w:t>pre</w:t>
      </w:r>
      <w:r w:rsidR="002D2CD5" w:rsidRPr="00857CDA">
        <w:rPr>
          <w:i/>
          <w:lang w:val="ro-RO"/>
        </w:rPr>
        <w:t>văzute</w:t>
      </w:r>
      <w:r w:rsidR="007062E3" w:rsidRPr="00857CDA">
        <w:rPr>
          <w:i/>
          <w:lang w:val="ro-RO"/>
        </w:rPr>
        <w:t xml:space="preserve"> </w:t>
      </w:r>
      <w:r w:rsidR="002D2CD5" w:rsidRPr="00857CDA">
        <w:rPr>
          <w:i/>
          <w:lang w:val="ro-RO"/>
        </w:rPr>
        <w:t>l</w:t>
      </w:r>
      <w:r w:rsidR="007062E3" w:rsidRPr="00857CDA">
        <w:rPr>
          <w:i/>
          <w:lang w:val="ro-RO"/>
        </w:rPr>
        <w:t>a 6.2.3.5.1</w:t>
      </w:r>
    </w:p>
    <w:p w:rsidR="007062E3" w:rsidRPr="00857CDA" w:rsidRDefault="007062E3" w:rsidP="00D0761D">
      <w:pPr>
        <w:pStyle w:val="SingleTxtG"/>
        <w:rPr>
          <w:lang w:val="ro-RO"/>
        </w:rPr>
      </w:pPr>
      <w:r w:rsidRPr="00857CDA">
        <w:rPr>
          <w:lang w:val="ro-RO"/>
        </w:rPr>
        <w:t>6.2.3.5.3.1</w:t>
      </w:r>
      <w:r w:rsidRPr="00857CDA">
        <w:rPr>
          <w:lang w:val="ro-RO"/>
        </w:rPr>
        <w:tab/>
      </w:r>
      <w:r w:rsidR="00D0761D" w:rsidRPr="00857CDA">
        <w:rPr>
          <w:lang w:val="ro-RO"/>
        </w:rPr>
        <w:t xml:space="preserve">Acest paragraf se aplică decât tipurilor de recipiente sub presiune concepute și construite conform standardelor specificate la 6.2.4.1 sau unui cod tehnic în conformitate cu 6.2.5 și ale căror proprietăți inerente împiedică efectuarea acestor </w:t>
      </w:r>
      <w:r w:rsidR="00965E74" w:rsidRPr="00857CDA">
        <w:rPr>
          <w:lang w:val="ro-RO"/>
        </w:rPr>
        <w:t>verificări</w:t>
      </w:r>
      <w:r w:rsidR="00D0761D" w:rsidRPr="00857CDA">
        <w:rPr>
          <w:lang w:val="ro-RO"/>
        </w:rPr>
        <w:t xml:space="preserve"> și încercări prevăzute la 6.2.1.6.1 (b) sau (d) sau nu permit interpretarea rezultatelor</w:t>
      </w:r>
      <w:r w:rsidRPr="00857CDA">
        <w:rPr>
          <w:lang w:val="ro-RO"/>
        </w:rPr>
        <w:t>.</w:t>
      </w:r>
    </w:p>
    <w:p w:rsidR="00D0761D" w:rsidRPr="00857CDA" w:rsidRDefault="00D0761D" w:rsidP="007062E3">
      <w:pPr>
        <w:pStyle w:val="SingleTxtG"/>
        <w:rPr>
          <w:lang w:val="ro-RO"/>
        </w:rPr>
      </w:pPr>
      <w:r w:rsidRPr="00857CDA">
        <w:rPr>
          <w:lang w:val="ro-RO"/>
        </w:rPr>
        <w:t xml:space="preserve">Pentru astfel de recipiente sub presiune, respectivele </w:t>
      </w:r>
      <w:r w:rsidR="00965E74" w:rsidRPr="00857CDA">
        <w:rPr>
          <w:lang w:val="ro-RO"/>
        </w:rPr>
        <w:t>verificări</w:t>
      </w:r>
      <w:r w:rsidRPr="00857CDA">
        <w:rPr>
          <w:lang w:val="ro-RO"/>
        </w:rPr>
        <w:t xml:space="preserve"> și încercări ar trebui să fie înlocuite cu metode alternative adaptate caracteristicilor specifice de concepție ale acestora, așa cum este indicat la 6.2.3.5.4 și detaliat într-o dispoziție specială de la capitolul 3.3 sau </w:t>
      </w:r>
      <w:r w:rsidR="00965E74" w:rsidRPr="00857CDA">
        <w:rPr>
          <w:lang w:val="ro-RO"/>
        </w:rPr>
        <w:t xml:space="preserve">într-un </w:t>
      </w:r>
      <w:r w:rsidRPr="00857CDA">
        <w:rPr>
          <w:lang w:val="ro-RO"/>
        </w:rPr>
        <w:t xml:space="preserve">standard de referință </w:t>
      </w:r>
      <w:r w:rsidR="00965E74" w:rsidRPr="00857CDA">
        <w:rPr>
          <w:lang w:val="ro-RO"/>
        </w:rPr>
        <w:t>de la</w:t>
      </w:r>
      <w:r w:rsidRPr="00857CDA">
        <w:rPr>
          <w:lang w:val="ro-RO"/>
        </w:rPr>
        <w:t xml:space="preserve"> 6.2.4.2.</w:t>
      </w:r>
    </w:p>
    <w:p w:rsidR="00965E74" w:rsidRPr="00857CDA" w:rsidRDefault="00965E74" w:rsidP="007062E3">
      <w:pPr>
        <w:pStyle w:val="SingleTxtG"/>
        <w:rPr>
          <w:lang w:val="ro-RO"/>
        </w:rPr>
      </w:pPr>
      <w:r w:rsidRPr="00857CDA">
        <w:rPr>
          <w:lang w:val="ro-RO"/>
        </w:rPr>
        <w:t xml:space="preserve">Metodele alternative trebuie să precizeze ce </w:t>
      </w:r>
      <w:r w:rsidR="00AF015A" w:rsidRPr="00857CDA">
        <w:rPr>
          <w:lang w:val="ro-RO"/>
        </w:rPr>
        <w:t>verificări</w:t>
      </w:r>
      <w:r w:rsidRPr="00857CDA">
        <w:rPr>
          <w:lang w:val="ro-RO"/>
        </w:rPr>
        <w:t xml:space="preserve"> și încercări periodice menționate la 6.2.1.6.1 (b) și (d) trebuie înlocuite.</w:t>
      </w:r>
    </w:p>
    <w:p w:rsidR="00965E74" w:rsidRPr="00857CDA" w:rsidRDefault="00965E74" w:rsidP="007062E3">
      <w:pPr>
        <w:pStyle w:val="SingleTxtG"/>
        <w:rPr>
          <w:lang w:val="ro-RO"/>
        </w:rPr>
      </w:pPr>
      <w:r w:rsidRPr="00857CDA">
        <w:rPr>
          <w:lang w:val="ro-RO"/>
        </w:rPr>
        <w:t xml:space="preserve">Metode alternative, combinate cu </w:t>
      </w:r>
      <w:r w:rsidR="00AF015A" w:rsidRPr="00857CDA">
        <w:rPr>
          <w:lang w:val="ro-RO"/>
        </w:rPr>
        <w:t>verificările</w:t>
      </w:r>
      <w:r w:rsidRPr="00857CDA">
        <w:rPr>
          <w:lang w:val="ro-RO"/>
        </w:rPr>
        <w:t xml:space="preserve"> rămase în conformitate cu 6.2.1.6.1 a) la e) asigură un nivel de siguranță cel puțin echivalent cu cel aplicat recipientelor sub presiune </w:t>
      </w:r>
      <w:r w:rsidR="00AF015A" w:rsidRPr="00857CDA">
        <w:rPr>
          <w:lang w:val="ro-RO"/>
        </w:rPr>
        <w:t xml:space="preserve">de dimensiune </w:t>
      </w:r>
      <w:r w:rsidRPr="00857CDA">
        <w:rPr>
          <w:lang w:val="ro-RO"/>
        </w:rPr>
        <w:t>și utiliz</w:t>
      </w:r>
      <w:r w:rsidR="00AF015A" w:rsidRPr="00857CDA">
        <w:rPr>
          <w:lang w:val="ro-RO"/>
        </w:rPr>
        <w:t>are</w:t>
      </w:r>
      <w:r w:rsidRPr="00857CDA">
        <w:rPr>
          <w:lang w:val="ro-RO"/>
        </w:rPr>
        <w:t xml:space="preserve"> similare </w:t>
      </w:r>
      <w:r w:rsidR="00AF015A" w:rsidRPr="00857CDA">
        <w:rPr>
          <w:lang w:val="ro-RO"/>
        </w:rPr>
        <w:t xml:space="preserve">celor </w:t>
      </w:r>
      <w:r w:rsidRPr="00857CDA">
        <w:rPr>
          <w:lang w:val="ro-RO"/>
        </w:rPr>
        <w:t xml:space="preserve">inspectate și </w:t>
      </w:r>
      <w:r w:rsidR="00AF015A" w:rsidRPr="00857CDA">
        <w:rPr>
          <w:lang w:val="ro-RO"/>
        </w:rPr>
        <w:t>încercate</w:t>
      </w:r>
      <w:r w:rsidRPr="00857CDA">
        <w:rPr>
          <w:lang w:val="ro-RO"/>
        </w:rPr>
        <w:t xml:space="preserve"> periodic în conformitate cu 6.2.3.5.1.</w:t>
      </w:r>
    </w:p>
    <w:p w:rsidR="00AF015A" w:rsidRPr="00857CDA" w:rsidRDefault="00AF015A" w:rsidP="00AF015A">
      <w:pPr>
        <w:pStyle w:val="SingleTxtG"/>
        <w:rPr>
          <w:lang w:val="ro-RO"/>
        </w:rPr>
      </w:pPr>
      <w:r w:rsidRPr="00857CDA">
        <w:rPr>
          <w:lang w:val="ro-RO"/>
        </w:rPr>
        <w:t>Metodele alternative trebuie să specifice printre altele și toate elementele următoare:</w:t>
      </w:r>
    </w:p>
    <w:p w:rsidR="00AF015A" w:rsidRPr="00857CDA" w:rsidRDefault="00AF015A" w:rsidP="00AF015A">
      <w:pPr>
        <w:pStyle w:val="SingleTxtG"/>
        <w:rPr>
          <w:lang w:val="ro-RO"/>
        </w:rPr>
      </w:pPr>
      <w:r w:rsidRPr="00857CDA">
        <w:rPr>
          <w:lang w:val="ro-RO"/>
        </w:rPr>
        <w:t>- O descriere a tipurilor de recipiente sub presiune în cauză;</w:t>
      </w:r>
    </w:p>
    <w:p w:rsidR="00AF015A" w:rsidRPr="00857CDA" w:rsidRDefault="00AF015A" w:rsidP="00AF015A">
      <w:pPr>
        <w:pStyle w:val="SingleTxtG"/>
        <w:rPr>
          <w:lang w:val="ro-RO"/>
        </w:rPr>
      </w:pPr>
      <w:r w:rsidRPr="00857CDA">
        <w:rPr>
          <w:lang w:val="ro-RO"/>
        </w:rPr>
        <w:t>- Procedurile de încercare;</w:t>
      </w:r>
    </w:p>
    <w:p w:rsidR="00AF015A" w:rsidRPr="00857CDA" w:rsidRDefault="00AF015A" w:rsidP="00AF015A">
      <w:pPr>
        <w:pStyle w:val="SingleTxtG"/>
        <w:rPr>
          <w:lang w:val="ro-RO"/>
        </w:rPr>
      </w:pPr>
      <w:r w:rsidRPr="00857CDA">
        <w:rPr>
          <w:lang w:val="ro-RO"/>
        </w:rPr>
        <w:t>- Specificațiile criteriilor de acceptare;</w:t>
      </w:r>
    </w:p>
    <w:p w:rsidR="00E05587" w:rsidRPr="00857CDA" w:rsidRDefault="00AF015A" w:rsidP="00E05587">
      <w:pPr>
        <w:pStyle w:val="SingleTxtG"/>
        <w:rPr>
          <w:lang w:val="ro-RO"/>
        </w:rPr>
      </w:pPr>
      <w:r w:rsidRPr="00857CDA">
        <w:rPr>
          <w:lang w:val="ro-RO"/>
        </w:rPr>
        <w:t>- O descriere a măsurilor care trebuie luate în cazul respingerii recipientelor sub presiune.</w:t>
      </w:r>
    </w:p>
    <w:p w:rsidR="00E05587" w:rsidRPr="00857CDA" w:rsidRDefault="007062E3" w:rsidP="00E05587">
      <w:pPr>
        <w:pStyle w:val="SingleTxtG"/>
        <w:rPr>
          <w:lang w:val="ro-RO"/>
        </w:rPr>
      </w:pPr>
      <w:r w:rsidRPr="00857CDA">
        <w:rPr>
          <w:lang w:val="ro-RO"/>
        </w:rPr>
        <w:t>6.2.3.5.3.2</w:t>
      </w:r>
      <w:r w:rsidRPr="00857CDA">
        <w:rPr>
          <w:lang w:val="ro-RO"/>
        </w:rPr>
        <w:tab/>
      </w:r>
      <w:r w:rsidR="00D0206D" w:rsidRPr="00857CDA">
        <w:rPr>
          <w:lang w:val="ro-RO"/>
        </w:rPr>
        <w:t>Încercarea nedistructivă ca metodă alternativă</w:t>
      </w:r>
    </w:p>
    <w:p w:rsidR="00E05587" w:rsidRPr="00857CDA" w:rsidRDefault="00D0206D" w:rsidP="00E05587">
      <w:pPr>
        <w:pStyle w:val="SingleTxtG"/>
        <w:rPr>
          <w:lang w:val="ro-RO"/>
        </w:rPr>
      </w:pPr>
      <w:r w:rsidRPr="00857CDA">
        <w:rPr>
          <w:lang w:val="ro-RO"/>
        </w:rPr>
        <w:t>Verificările și încercările specificate la 6.2.3.5.3.1 trebuie să fie completate sau înlocuite cu una sau mai multe metode de încercare nedistructive efectuate pe fiecare recipient sub presiune</w:t>
      </w:r>
      <w:r w:rsidR="007062E3" w:rsidRPr="00857CDA">
        <w:rPr>
          <w:lang w:val="ro-RO"/>
        </w:rPr>
        <w:t>.</w:t>
      </w:r>
    </w:p>
    <w:p w:rsidR="00E05587" w:rsidRPr="00857CDA" w:rsidRDefault="007062E3" w:rsidP="00E05587">
      <w:pPr>
        <w:pStyle w:val="SingleTxtG"/>
        <w:rPr>
          <w:lang w:val="ro-RO"/>
        </w:rPr>
      </w:pPr>
      <w:r w:rsidRPr="00857CDA">
        <w:rPr>
          <w:lang w:val="ro-RO"/>
        </w:rPr>
        <w:t>6.2.3.5.3.3</w:t>
      </w:r>
      <w:r w:rsidRPr="00857CDA">
        <w:rPr>
          <w:lang w:val="ro-RO"/>
        </w:rPr>
        <w:tab/>
      </w:r>
      <w:r w:rsidR="00E42541" w:rsidRPr="00857CDA">
        <w:rPr>
          <w:lang w:val="ro-RO"/>
        </w:rPr>
        <w:t>Încercarea</w:t>
      </w:r>
      <w:r w:rsidR="00D0206D" w:rsidRPr="00857CDA">
        <w:rPr>
          <w:lang w:val="ro-RO"/>
        </w:rPr>
        <w:t xml:space="preserve"> distructivă ca metodă alternativă</w:t>
      </w:r>
    </w:p>
    <w:p w:rsidR="00E05587" w:rsidRPr="00857CDA" w:rsidRDefault="00D0206D" w:rsidP="00E05587">
      <w:pPr>
        <w:pStyle w:val="SingleTxtG"/>
        <w:rPr>
          <w:lang w:val="ro-RO"/>
        </w:rPr>
      </w:pPr>
      <w:r w:rsidRPr="00857CDA">
        <w:rPr>
          <w:lang w:val="ro-RO"/>
        </w:rPr>
        <w:t>Dacă nici</w:t>
      </w:r>
      <w:r w:rsidR="00E42541" w:rsidRPr="00857CDA">
        <w:rPr>
          <w:lang w:val="ro-RO"/>
        </w:rPr>
        <w:t>o metodă de</w:t>
      </w:r>
      <w:r w:rsidRPr="00857CDA">
        <w:rPr>
          <w:lang w:val="ro-RO"/>
        </w:rPr>
        <w:t xml:space="preserve"> </w:t>
      </w:r>
      <w:r w:rsidR="00E42541" w:rsidRPr="00857CDA">
        <w:rPr>
          <w:lang w:val="ro-RO"/>
        </w:rPr>
        <w:t xml:space="preserve">verificare </w:t>
      </w:r>
      <w:r w:rsidRPr="00857CDA">
        <w:rPr>
          <w:lang w:val="ro-RO"/>
        </w:rPr>
        <w:t>nedistructivă nu oferă un nivel de s</w:t>
      </w:r>
      <w:r w:rsidR="00E42541" w:rsidRPr="00857CDA">
        <w:rPr>
          <w:lang w:val="ro-RO"/>
        </w:rPr>
        <w:t>iguranță</w:t>
      </w:r>
      <w:r w:rsidRPr="00857CDA">
        <w:rPr>
          <w:lang w:val="ro-RO"/>
        </w:rPr>
        <w:t xml:space="preserve"> echivalent</w:t>
      </w:r>
      <w:r w:rsidR="00E42541" w:rsidRPr="00857CDA">
        <w:rPr>
          <w:lang w:val="ro-RO"/>
        </w:rPr>
        <w:t>, verificările ți încercările identificate de la</w:t>
      </w:r>
      <w:r w:rsidRPr="00857CDA">
        <w:rPr>
          <w:lang w:val="ro-RO"/>
        </w:rPr>
        <w:t xml:space="preserve"> 6.2.3.5.3.1, cu excepția </w:t>
      </w:r>
      <w:r w:rsidR="00E42541" w:rsidRPr="00857CDA">
        <w:rPr>
          <w:lang w:val="ro-RO"/>
        </w:rPr>
        <w:t xml:space="preserve">verificării </w:t>
      </w:r>
      <w:r w:rsidRPr="00857CDA">
        <w:rPr>
          <w:lang w:val="ro-RO"/>
        </w:rPr>
        <w:t>stării interne</w:t>
      </w:r>
      <w:r w:rsidR="00E42541" w:rsidRPr="00857CDA">
        <w:rPr>
          <w:lang w:val="ro-RO"/>
        </w:rPr>
        <w:t xml:space="preserve"> </w:t>
      </w:r>
      <w:r w:rsidRPr="00857CDA">
        <w:rPr>
          <w:lang w:val="ro-RO"/>
        </w:rPr>
        <w:t>menționat</w:t>
      </w:r>
      <w:r w:rsidR="00E42541" w:rsidRPr="00857CDA">
        <w:rPr>
          <w:lang w:val="ro-RO"/>
        </w:rPr>
        <w:t>ă</w:t>
      </w:r>
      <w:r w:rsidRPr="00857CDA">
        <w:rPr>
          <w:lang w:val="ro-RO"/>
        </w:rPr>
        <w:t xml:space="preserve"> </w:t>
      </w:r>
      <w:r w:rsidR="00E42541" w:rsidRPr="00857CDA">
        <w:rPr>
          <w:lang w:val="ro-RO"/>
        </w:rPr>
        <w:t>la</w:t>
      </w:r>
      <w:r w:rsidRPr="00857CDA">
        <w:rPr>
          <w:lang w:val="ro-RO"/>
        </w:rPr>
        <w:t xml:space="preserve"> 6.2.1.6.1 b) trebuie să fie completate sau înlocuite cu una sau mai multe metode de </w:t>
      </w:r>
      <w:r w:rsidR="00E42541" w:rsidRPr="00857CDA">
        <w:rPr>
          <w:lang w:val="ro-RO"/>
        </w:rPr>
        <w:t>încercare</w:t>
      </w:r>
      <w:r w:rsidRPr="00857CDA">
        <w:rPr>
          <w:lang w:val="ro-RO"/>
        </w:rPr>
        <w:t xml:space="preserve"> distructive în combinație cu evaluarea lor statistică.</w:t>
      </w:r>
    </w:p>
    <w:p w:rsidR="00D0206D" w:rsidRPr="00857CDA" w:rsidRDefault="00D0206D" w:rsidP="00E05587">
      <w:pPr>
        <w:pStyle w:val="SingleTxtG"/>
        <w:rPr>
          <w:lang w:val="ro-RO"/>
        </w:rPr>
      </w:pPr>
      <w:r w:rsidRPr="00857CDA">
        <w:rPr>
          <w:lang w:val="ro-RO"/>
        </w:rPr>
        <w:lastRenderedPageBreak/>
        <w:t xml:space="preserve">În plus față de elementele descrise mai sus, metoda detaliată de </w:t>
      </w:r>
      <w:r w:rsidR="00E42541" w:rsidRPr="00857CDA">
        <w:rPr>
          <w:lang w:val="ro-RO"/>
        </w:rPr>
        <w:t>încercare</w:t>
      </w:r>
      <w:r w:rsidRPr="00857CDA">
        <w:rPr>
          <w:lang w:val="ro-RO"/>
        </w:rPr>
        <w:t xml:space="preserve"> distructivă trebuie să includă următoarele:</w:t>
      </w:r>
    </w:p>
    <w:p w:rsidR="00D0206D" w:rsidRPr="00857CDA" w:rsidRDefault="00D0206D" w:rsidP="00D0206D">
      <w:pPr>
        <w:pStyle w:val="SingleTxtG"/>
        <w:keepNext/>
        <w:rPr>
          <w:lang w:val="ro-RO"/>
        </w:rPr>
      </w:pPr>
      <w:r w:rsidRPr="00857CDA">
        <w:rPr>
          <w:lang w:val="ro-RO"/>
        </w:rPr>
        <w:t xml:space="preserve">- </w:t>
      </w:r>
      <w:r w:rsidR="00E42541" w:rsidRPr="00857CDA">
        <w:rPr>
          <w:lang w:val="ro-RO"/>
        </w:rPr>
        <w:t xml:space="preserve">O </w:t>
      </w:r>
      <w:r w:rsidRPr="00857CDA">
        <w:rPr>
          <w:lang w:val="ro-RO"/>
        </w:rPr>
        <w:t>descriere a populației de bază a recipientelor sub presiune în cauză;</w:t>
      </w:r>
    </w:p>
    <w:p w:rsidR="00D0206D" w:rsidRPr="00857CDA" w:rsidRDefault="00D0206D" w:rsidP="00D0206D">
      <w:pPr>
        <w:pStyle w:val="SingleTxtG"/>
        <w:keepNext/>
        <w:rPr>
          <w:lang w:val="ro-RO"/>
        </w:rPr>
      </w:pPr>
      <w:r w:rsidRPr="00857CDA">
        <w:rPr>
          <w:lang w:val="ro-RO"/>
        </w:rPr>
        <w:t xml:space="preserve">- </w:t>
      </w:r>
      <w:r w:rsidR="00E42541" w:rsidRPr="00857CDA">
        <w:rPr>
          <w:lang w:val="ro-RO"/>
        </w:rPr>
        <w:t xml:space="preserve">O </w:t>
      </w:r>
      <w:r w:rsidRPr="00857CDA">
        <w:rPr>
          <w:lang w:val="ro-RO"/>
        </w:rPr>
        <w:t xml:space="preserve">procedură de eșantionare aleatorie a recipientelor sub presiune </w:t>
      </w:r>
      <w:r w:rsidR="00E42541" w:rsidRPr="00857CDA">
        <w:rPr>
          <w:lang w:val="ro-RO"/>
        </w:rPr>
        <w:t>înainte de încercare</w:t>
      </w:r>
      <w:r w:rsidRPr="00857CDA">
        <w:rPr>
          <w:lang w:val="ro-RO"/>
        </w:rPr>
        <w:t>;</w:t>
      </w:r>
    </w:p>
    <w:p w:rsidR="00D0206D" w:rsidRPr="00857CDA" w:rsidRDefault="00D0206D" w:rsidP="00D0206D">
      <w:pPr>
        <w:pStyle w:val="SingleTxtG"/>
        <w:keepNext/>
        <w:rPr>
          <w:lang w:val="ro-RO"/>
        </w:rPr>
      </w:pPr>
      <w:r w:rsidRPr="00857CDA">
        <w:rPr>
          <w:lang w:val="ro-RO"/>
        </w:rPr>
        <w:t xml:space="preserve">- </w:t>
      </w:r>
      <w:r w:rsidR="00E42541" w:rsidRPr="00857CDA">
        <w:rPr>
          <w:lang w:val="ro-RO"/>
        </w:rPr>
        <w:t xml:space="preserve">O </w:t>
      </w:r>
      <w:r w:rsidRPr="00857CDA">
        <w:rPr>
          <w:lang w:val="ro-RO"/>
        </w:rPr>
        <w:t>procedură de evaluare statistică a re</w:t>
      </w:r>
      <w:r w:rsidR="00E42541" w:rsidRPr="00857CDA">
        <w:rPr>
          <w:lang w:val="ro-RO"/>
        </w:rPr>
        <w:t>zultatelor încercărilor</w:t>
      </w:r>
      <w:r w:rsidRPr="00857CDA">
        <w:rPr>
          <w:lang w:val="ro-RO"/>
        </w:rPr>
        <w:t>, care include criterii de respingere;</w:t>
      </w:r>
    </w:p>
    <w:p w:rsidR="00D0206D" w:rsidRPr="00857CDA" w:rsidRDefault="00D0206D" w:rsidP="00D0206D">
      <w:pPr>
        <w:pStyle w:val="SingleTxtG"/>
        <w:keepNext/>
        <w:rPr>
          <w:lang w:val="ro-RO"/>
        </w:rPr>
      </w:pPr>
      <w:r w:rsidRPr="00857CDA">
        <w:rPr>
          <w:lang w:val="ro-RO"/>
        </w:rPr>
        <w:t xml:space="preserve">- </w:t>
      </w:r>
      <w:r w:rsidR="00E42541" w:rsidRPr="00857CDA">
        <w:rPr>
          <w:lang w:val="ro-RO"/>
        </w:rPr>
        <w:t xml:space="preserve">Specificarea </w:t>
      </w:r>
      <w:r w:rsidRPr="00857CDA">
        <w:rPr>
          <w:lang w:val="ro-RO"/>
        </w:rPr>
        <w:t xml:space="preserve">periodicității </w:t>
      </w:r>
      <w:r w:rsidR="00E42541" w:rsidRPr="00857CDA">
        <w:rPr>
          <w:lang w:val="ro-RO"/>
        </w:rPr>
        <w:t>încercărilor</w:t>
      </w:r>
      <w:r w:rsidRPr="00857CDA">
        <w:rPr>
          <w:lang w:val="ro-RO"/>
        </w:rPr>
        <w:t xml:space="preserve"> distructive;</w:t>
      </w:r>
    </w:p>
    <w:p w:rsidR="00D0206D" w:rsidRPr="00857CDA" w:rsidRDefault="00D0206D" w:rsidP="00D0206D">
      <w:pPr>
        <w:pStyle w:val="SingleTxtG"/>
        <w:keepNext/>
        <w:rPr>
          <w:lang w:val="ro-RO"/>
        </w:rPr>
      </w:pPr>
      <w:r w:rsidRPr="00857CDA">
        <w:rPr>
          <w:lang w:val="ro-RO"/>
        </w:rPr>
        <w:t xml:space="preserve">- </w:t>
      </w:r>
      <w:r w:rsidR="00E42541" w:rsidRPr="00857CDA">
        <w:rPr>
          <w:lang w:val="ro-RO"/>
        </w:rPr>
        <w:t xml:space="preserve">O </w:t>
      </w:r>
      <w:r w:rsidRPr="00857CDA">
        <w:rPr>
          <w:lang w:val="ro-RO"/>
        </w:rPr>
        <w:t xml:space="preserve">descriere a măsurilor care trebuie luate în cazul în care sunt îndeplinite criteriile de acceptare, dar se observă o deteriorare a proprietăților materialelor </w:t>
      </w:r>
      <w:r w:rsidR="00E42541" w:rsidRPr="00857CDA">
        <w:rPr>
          <w:lang w:val="ro-RO"/>
        </w:rPr>
        <w:t xml:space="preserve">prezentând un </w:t>
      </w:r>
      <w:r w:rsidRPr="00857CDA">
        <w:rPr>
          <w:lang w:val="ro-RO"/>
        </w:rPr>
        <w:t>peric</w:t>
      </w:r>
      <w:r w:rsidR="00E42541" w:rsidRPr="00857CDA">
        <w:rPr>
          <w:lang w:val="ro-RO"/>
        </w:rPr>
        <w:t>ol</w:t>
      </w:r>
      <w:r w:rsidRPr="00857CDA">
        <w:rPr>
          <w:lang w:val="ro-RO"/>
        </w:rPr>
        <w:t xml:space="preserve"> care trebuie luat în considerare la determinarea sfârșitului duratei de viață;</w:t>
      </w:r>
    </w:p>
    <w:p w:rsidR="007062E3" w:rsidRPr="00857CDA" w:rsidRDefault="00D0206D" w:rsidP="00E42541">
      <w:pPr>
        <w:pStyle w:val="SingleTxtG"/>
        <w:keepNext/>
        <w:rPr>
          <w:lang w:val="ro-RO"/>
        </w:rPr>
      </w:pPr>
      <w:r w:rsidRPr="00857CDA">
        <w:rPr>
          <w:lang w:val="ro-RO"/>
        </w:rPr>
        <w:t xml:space="preserve">- </w:t>
      </w:r>
      <w:r w:rsidR="00E42541" w:rsidRPr="00857CDA">
        <w:rPr>
          <w:lang w:val="ro-RO"/>
        </w:rPr>
        <w:t xml:space="preserve">O </w:t>
      </w:r>
      <w:r w:rsidRPr="00857CDA">
        <w:rPr>
          <w:lang w:val="ro-RO"/>
        </w:rPr>
        <w:t>evaluare statistică a nivelului de s</w:t>
      </w:r>
      <w:r w:rsidR="00E42541" w:rsidRPr="00857CDA">
        <w:rPr>
          <w:lang w:val="ro-RO"/>
        </w:rPr>
        <w:t>iguranță</w:t>
      </w:r>
      <w:r w:rsidRPr="00857CDA">
        <w:rPr>
          <w:lang w:val="ro-RO"/>
        </w:rPr>
        <w:t xml:space="preserve"> </w:t>
      </w:r>
      <w:r w:rsidR="00E42541" w:rsidRPr="00857CDA">
        <w:rPr>
          <w:lang w:val="ro-RO"/>
        </w:rPr>
        <w:t>atins prin metoda alternativă</w:t>
      </w:r>
      <w:r w:rsidR="007062E3" w:rsidRPr="00857CDA">
        <w:rPr>
          <w:lang w:val="ro-RO"/>
        </w:rPr>
        <w:t>.</w:t>
      </w:r>
      <w:r w:rsidR="00660131" w:rsidRPr="00857CDA">
        <w:rPr>
          <w:lang w:val="ro-RO"/>
        </w:rPr>
        <w:t>”</w:t>
      </w:r>
      <w:r w:rsidR="007062E3" w:rsidRPr="00857CDA">
        <w:rPr>
          <w:lang w:val="ro-RO"/>
        </w:rPr>
        <w:t>.</w:t>
      </w:r>
    </w:p>
    <w:p w:rsidR="00342D08" w:rsidRPr="00857CDA" w:rsidRDefault="00902C44" w:rsidP="00342D08">
      <w:pPr>
        <w:pStyle w:val="SingleTxtG"/>
        <w:rPr>
          <w:lang w:val="ro-RO"/>
        </w:rPr>
      </w:pPr>
      <w:r w:rsidRPr="00857CDA">
        <w:rPr>
          <w:lang w:val="ro-RO"/>
        </w:rPr>
        <w:t>Se adaugă</w:t>
      </w:r>
      <w:r w:rsidR="00342D08" w:rsidRPr="00857CDA">
        <w:rPr>
          <w:lang w:val="ro-RO"/>
        </w:rPr>
        <w:t xml:space="preserve"> un nou 6.2.3.5.4</w:t>
      </w:r>
      <w:r w:rsidR="00E05587" w:rsidRPr="00857CDA">
        <w:rPr>
          <w:lang w:val="ro-RO"/>
        </w:rPr>
        <w:t>, după cum urmează</w:t>
      </w:r>
      <w:r w:rsidR="00091658" w:rsidRPr="00857CDA">
        <w:rPr>
          <w:lang w:val="ro-RO"/>
        </w:rPr>
        <w:t>:</w:t>
      </w:r>
    </w:p>
    <w:p w:rsidR="00342D08" w:rsidRPr="00857CDA" w:rsidRDefault="00FE5FC3" w:rsidP="00342D08">
      <w:pPr>
        <w:pStyle w:val="SingleTxtG"/>
        <w:rPr>
          <w:lang w:val="ro-RO"/>
        </w:rPr>
      </w:pPr>
      <w:r w:rsidRPr="00857CDA">
        <w:rPr>
          <w:lang w:val="ro-RO"/>
        </w:rPr>
        <w:t>„</w:t>
      </w:r>
      <w:r w:rsidR="00342D08" w:rsidRPr="00857CDA">
        <w:rPr>
          <w:lang w:val="ro-RO"/>
        </w:rPr>
        <w:t>6.2.3.5.4</w:t>
      </w:r>
      <w:r w:rsidR="00342D08" w:rsidRPr="00857CDA">
        <w:rPr>
          <w:lang w:val="ro-RO"/>
        </w:rPr>
        <w:tab/>
      </w:r>
      <w:r w:rsidR="00E05587" w:rsidRPr="00857CDA">
        <w:rPr>
          <w:lang w:val="ro-RO"/>
        </w:rPr>
        <w:t>Buteliile metalice cu carcasă</w:t>
      </w:r>
      <w:r w:rsidR="00342D08" w:rsidRPr="00857CDA">
        <w:rPr>
          <w:lang w:val="ro-RO"/>
        </w:rPr>
        <w:t xml:space="preserve"> </w:t>
      </w:r>
      <w:r w:rsidR="00991390" w:rsidRPr="00857CDA">
        <w:rPr>
          <w:lang w:val="ro-RO"/>
        </w:rPr>
        <w:t>pentru</w:t>
      </w:r>
      <w:r w:rsidR="00342D08" w:rsidRPr="00857CDA">
        <w:rPr>
          <w:lang w:val="ro-RO"/>
        </w:rPr>
        <w:t xml:space="preserve"> </w:t>
      </w:r>
      <w:r w:rsidR="00E05587" w:rsidRPr="00857CDA">
        <w:rPr>
          <w:lang w:val="ro-RO"/>
        </w:rPr>
        <w:t>care se aplică 6.2.3.5.3.1 trebuie supuse verificărilor și încercărilor periodice în conformitate cu dispoziția specială 674 de la Capitolul 3.3</w:t>
      </w:r>
      <w:r w:rsidR="00342D08" w:rsidRPr="00857CDA">
        <w:rPr>
          <w:lang w:val="ro-RO"/>
        </w:rPr>
        <w:t>.</w:t>
      </w:r>
      <w:r w:rsidR="00660131" w:rsidRPr="00857CDA">
        <w:rPr>
          <w:lang w:val="ro-RO"/>
        </w:rPr>
        <w:t>”</w:t>
      </w:r>
      <w:r w:rsidR="00342D08" w:rsidRPr="00857CDA">
        <w:rPr>
          <w:lang w:val="ro-RO"/>
        </w:rPr>
        <w:t>.</w:t>
      </w:r>
    </w:p>
    <w:p w:rsidR="000B1500" w:rsidRPr="00857CDA" w:rsidRDefault="000B1500" w:rsidP="000B1500">
      <w:pPr>
        <w:pStyle w:val="SingleTxtG"/>
        <w:rPr>
          <w:lang w:val="ro-RO"/>
        </w:rPr>
      </w:pPr>
      <w:r w:rsidRPr="00857CDA">
        <w:rPr>
          <w:lang w:val="ro-RO"/>
        </w:rPr>
        <w:t>6.2.3.6.1</w:t>
      </w:r>
      <w:r w:rsidRPr="00857CDA">
        <w:rPr>
          <w:lang w:val="ro-RO"/>
        </w:rPr>
        <w:tab/>
      </w:r>
      <w:r w:rsidR="002B679C" w:rsidRPr="00857CDA">
        <w:rPr>
          <w:lang w:val="ro-RO"/>
        </w:rPr>
        <w:t>Se modifică</w:t>
      </w:r>
      <w:r w:rsidRPr="00857CDA">
        <w:rPr>
          <w:lang w:val="ro-RO"/>
        </w:rPr>
        <w:t xml:space="preserve"> pr</w:t>
      </w:r>
      <w:r w:rsidR="00E05587" w:rsidRPr="00857CDA">
        <w:rPr>
          <w:lang w:val="ro-RO"/>
        </w:rPr>
        <w:t>i</w:t>
      </w:r>
      <w:r w:rsidRPr="00857CDA">
        <w:rPr>
          <w:lang w:val="ro-RO"/>
        </w:rPr>
        <w:t>m</w:t>
      </w:r>
      <w:r w:rsidR="00E05587" w:rsidRPr="00857CDA">
        <w:rPr>
          <w:lang w:val="ro-RO"/>
        </w:rPr>
        <w:t>ul</w:t>
      </w:r>
      <w:r w:rsidRPr="00857CDA">
        <w:rPr>
          <w:lang w:val="ro-RO"/>
        </w:rPr>
        <w:t xml:space="preserve"> </w:t>
      </w:r>
      <w:r w:rsidR="00970E20" w:rsidRPr="00857CDA">
        <w:rPr>
          <w:lang w:val="ro-RO"/>
        </w:rPr>
        <w:t>paragraf</w:t>
      </w:r>
      <w:r w:rsidRPr="00857CDA">
        <w:rPr>
          <w:lang w:val="ro-RO"/>
        </w:rPr>
        <w:t xml:space="preserve"> </w:t>
      </w:r>
      <w:r w:rsidR="00E05587" w:rsidRPr="00857CDA">
        <w:rPr>
          <w:lang w:val="ro-RO"/>
        </w:rPr>
        <w:t xml:space="preserve">de </w:t>
      </w:r>
      <w:r w:rsidR="00991390" w:rsidRPr="00857CDA">
        <w:rPr>
          <w:lang w:val="ro-RO"/>
        </w:rPr>
        <w:t>după</w:t>
      </w:r>
      <w:r w:rsidRPr="00857CDA">
        <w:rPr>
          <w:lang w:val="ro-RO"/>
        </w:rPr>
        <w:t xml:space="preserve"> </w:t>
      </w:r>
      <w:r w:rsidR="00463BBB" w:rsidRPr="00857CDA">
        <w:rPr>
          <w:lang w:val="ro-RO"/>
        </w:rPr>
        <w:t>tabel</w:t>
      </w:r>
      <w:r w:rsidR="002B679C" w:rsidRPr="00857CDA">
        <w:rPr>
          <w:lang w:val="ro-RO"/>
        </w:rPr>
        <w:t>, după cum urmează</w:t>
      </w:r>
      <w:r w:rsidR="00091658" w:rsidRPr="00857CDA">
        <w:rPr>
          <w:lang w:val="ro-RO"/>
        </w:rPr>
        <w:t>:</w:t>
      </w:r>
    </w:p>
    <w:p w:rsidR="000B1500" w:rsidRPr="00857CDA" w:rsidRDefault="00FE5FC3" w:rsidP="00105E65">
      <w:pPr>
        <w:pStyle w:val="SingleTxtG"/>
        <w:rPr>
          <w:lang w:val="ro-RO"/>
        </w:rPr>
      </w:pPr>
      <w:r w:rsidRPr="00857CDA">
        <w:rPr>
          <w:lang w:val="ro-RO"/>
        </w:rPr>
        <w:t>„</w:t>
      </w:r>
      <w:r w:rsidR="00105E65" w:rsidRPr="00857CDA">
        <w:rPr>
          <w:lang w:val="ro-RO"/>
        </w:rPr>
        <w:t>Pentru recipientele sub presiune reîncărcabile, evaluarea conformității robinetelor și a altor accesorii demontabile care au o funcție de siguranță directă poate fi efectuată separat de cea a recipientelor sub presiune. Pentru recipientele sub presiune nereîncărcabile evaluarea conformității robinetelor și a altor accesorii demontabile care au o funcție de siguranță directă se efectuează împreună cu evaluarea recipientelor sub presiune</w:t>
      </w:r>
      <w:r w:rsidR="000B1500" w:rsidRPr="00857CDA">
        <w:rPr>
          <w:lang w:val="ro-RO"/>
        </w:rPr>
        <w:t>.</w:t>
      </w:r>
      <w:r w:rsidR="00660131" w:rsidRPr="00857CDA">
        <w:rPr>
          <w:lang w:val="ro-RO"/>
        </w:rPr>
        <w:t>”</w:t>
      </w:r>
      <w:r w:rsidR="000B1500" w:rsidRPr="00857CDA">
        <w:rPr>
          <w:lang w:val="ro-RO"/>
        </w:rPr>
        <w:t>.</w:t>
      </w:r>
    </w:p>
    <w:p w:rsidR="00E114C7" w:rsidRPr="00857CDA" w:rsidRDefault="00E114C7" w:rsidP="00E114C7">
      <w:pPr>
        <w:pStyle w:val="SingleTxtG"/>
        <w:rPr>
          <w:lang w:val="ro-RO"/>
        </w:rPr>
      </w:pPr>
      <w:r w:rsidRPr="00857CDA">
        <w:rPr>
          <w:lang w:val="ro-RO"/>
        </w:rPr>
        <w:t>6.2.3.9.6</w:t>
      </w:r>
      <w:r w:rsidRPr="00857CDA">
        <w:rPr>
          <w:lang w:val="ro-RO"/>
        </w:rPr>
        <w:tab/>
      </w:r>
      <w:r w:rsidR="00991390" w:rsidRPr="00857CDA">
        <w:rPr>
          <w:lang w:val="ro-RO"/>
        </w:rPr>
        <w:t>După</w:t>
      </w:r>
      <w:r w:rsidRPr="00857CDA">
        <w:rPr>
          <w:lang w:val="ro-RO"/>
        </w:rPr>
        <w:t xml:space="preserve"> </w:t>
      </w:r>
      <w:r w:rsidR="00FE5FC3" w:rsidRPr="00857CDA">
        <w:rPr>
          <w:lang w:val="ro-RO"/>
        </w:rPr>
        <w:t>„</w:t>
      </w:r>
      <w:r w:rsidR="00105E65" w:rsidRPr="00857CDA">
        <w:rPr>
          <w:lang w:val="ro-RO"/>
        </w:rPr>
        <w:t>de butelie</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FE5FC3" w:rsidRPr="00857CDA">
        <w:rPr>
          <w:lang w:val="ro-RO"/>
        </w:rPr>
        <w:t>„</w:t>
      </w:r>
      <w:r w:rsidR="00105E65" w:rsidRPr="00857CDA">
        <w:rPr>
          <w:lang w:val="ro-RO"/>
        </w:rPr>
        <w:t>sa</w:t>
      </w:r>
      <w:r w:rsidRPr="00857CDA">
        <w:rPr>
          <w:lang w:val="ro-RO"/>
        </w:rPr>
        <w:t xml:space="preserve">u </w:t>
      </w:r>
      <w:r w:rsidR="001B1C14">
        <w:rPr>
          <w:lang w:val="ro-RO"/>
        </w:rPr>
        <w:t xml:space="preserve">de </w:t>
      </w:r>
      <w:r w:rsidR="00105E65" w:rsidRPr="00857CDA">
        <w:rPr>
          <w:lang w:val="ro-RO"/>
        </w:rPr>
        <w:t>butoiul sub presiune</w:t>
      </w:r>
      <w:r w:rsidR="00660131" w:rsidRPr="00857CDA">
        <w:rPr>
          <w:lang w:val="ro-RO"/>
        </w:rPr>
        <w:t>”</w:t>
      </w:r>
      <w:r w:rsidR="00906A0C" w:rsidRPr="00857CDA">
        <w:rPr>
          <w:lang w:val="ro-RO"/>
        </w:rPr>
        <w:t xml:space="preserve"> și după „de pe butelie”, se adaugă „sau de pe butoiul sub presiune”</w:t>
      </w:r>
      <w:r w:rsidRPr="00857CDA">
        <w:rPr>
          <w:lang w:val="ro-RO"/>
        </w:rPr>
        <w:t>.</w:t>
      </w:r>
    </w:p>
    <w:p w:rsidR="00E114C7" w:rsidRPr="00857CDA" w:rsidRDefault="00A20C06" w:rsidP="00A20C06">
      <w:pPr>
        <w:pStyle w:val="SingleTxtG"/>
        <w:tabs>
          <w:tab w:val="left" w:pos="2268"/>
        </w:tabs>
        <w:rPr>
          <w:lang w:val="ro-RO"/>
        </w:rPr>
      </w:pPr>
      <w:r w:rsidRPr="00857CDA">
        <w:rPr>
          <w:lang w:val="ro-RO"/>
        </w:rPr>
        <w:t>6.2.4.1</w:t>
      </w:r>
      <w:r w:rsidR="00E114C7" w:rsidRPr="00857CDA">
        <w:rPr>
          <w:lang w:val="ro-RO"/>
        </w:rPr>
        <w:tab/>
      </w:r>
      <w:r w:rsidR="00902C44" w:rsidRPr="00857CDA">
        <w:rPr>
          <w:lang w:val="ro-RO"/>
        </w:rPr>
        <w:t xml:space="preserve">În </w:t>
      </w:r>
      <w:r w:rsidR="00463BBB" w:rsidRPr="00857CDA">
        <w:rPr>
          <w:lang w:val="ro-RO"/>
        </w:rPr>
        <w:t>tabel</w:t>
      </w:r>
      <w:r w:rsidR="00E114C7" w:rsidRPr="00857CDA">
        <w:rPr>
          <w:lang w:val="ro-RO"/>
        </w:rPr>
        <w:t>, su</w:t>
      </w:r>
      <w:r w:rsidR="00906A0C" w:rsidRPr="00857CDA">
        <w:rPr>
          <w:lang w:val="ro-RO"/>
        </w:rPr>
        <w:t>b</w:t>
      </w:r>
      <w:r w:rsidR="00E114C7" w:rsidRPr="00857CDA">
        <w:rPr>
          <w:lang w:val="ro-RO"/>
        </w:rPr>
        <w:t xml:space="preserve"> </w:t>
      </w:r>
      <w:r w:rsidR="00FE5FC3" w:rsidRPr="00857CDA">
        <w:rPr>
          <w:lang w:val="ro-RO"/>
        </w:rPr>
        <w:t>„</w:t>
      </w:r>
      <w:r w:rsidR="00991390" w:rsidRPr="00857CDA">
        <w:rPr>
          <w:lang w:val="ro-RO"/>
        </w:rPr>
        <w:t>Pentru</w:t>
      </w:r>
      <w:r w:rsidR="00E114C7" w:rsidRPr="00857CDA">
        <w:rPr>
          <w:lang w:val="ro-RO"/>
        </w:rPr>
        <w:t xml:space="preserve"> concep</w:t>
      </w:r>
      <w:r w:rsidR="00906A0C" w:rsidRPr="00857CDA">
        <w:rPr>
          <w:lang w:val="ro-RO"/>
        </w:rPr>
        <w:t>ție</w:t>
      </w:r>
      <w:r w:rsidR="004C27AD" w:rsidRPr="00857CDA">
        <w:rPr>
          <w:lang w:val="ro-RO"/>
        </w:rPr>
        <w:t xml:space="preserve"> și </w:t>
      </w:r>
      <w:r w:rsidR="00906A0C" w:rsidRPr="00857CDA">
        <w:rPr>
          <w:lang w:val="ro-RO"/>
        </w:rPr>
        <w:t>construcție</w:t>
      </w:r>
      <w:r w:rsidR="00660131" w:rsidRPr="00857CDA">
        <w:rPr>
          <w:lang w:val="ro-RO"/>
        </w:rPr>
        <w:t>”</w:t>
      </w:r>
      <w:r w:rsidR="00E114C7" w:rsidRPr="00857CDA">
        <w:rPr>
          <w:lang w:val="ro-RO"/>
        </w:rPr>
        <w:t xml:space="preserve">, </w:t>
      </w:r>
      <w:r w:rsidR="00991390" w:rsidRPr="00857CDA">
        <w:rPr>
          <w:lang w:val="ro-RO"/>
        </w:rPr>
        <w:t>pentru</w:t>
      </w:r>
      <w:r w:rsidR="00E114C7" w:rsidRPr="00857CDA">
        <w:rPr>
          <w:lang w:val="ro-RO"/>
        </w:rPr>
        <w:t xml:space="preserve"> </w:t>
      </w:r>
      <w:r w:rsidR="00FE5FC3" w:rsidRPr="00857CDA">
        <w:rPr>
          <w:lang w:val="ro-RO"/>
        </w:rPr>
        <w:t>„</w:t>
      </w:r>
      <w:r w:rsidR="00E114C7" w:rsidRPr="00857CDA">
        <w:rPr>
          <w:lang w:val="ro-RO"/>
        </w:rPr>
        <w:t>EN ISO 11120:1999 + A1:2013</w:t>
      </w:r>
      <w:r w:rsidR="00660131" w:rsidRPr="00857CDA">
        <w:rPr>
          <w:lang w:val="ro-RO"/>
        </w:rPr>
        <w:t>”</w:t>
      </w:r>
      <w:r w:rsidR="00E114C7" w:rsidRPr="00857CDA">
        <w:rPr>
          <w:lang w:val="ro-RO"/>
        </w:rPr>
        <w:t xml:space="preserve">, </w:t>
      </w:r>
      <w:r w:rsidR="00906A0C" w:rsidRPr="00857CDA">
        <w:rPr>
          <w:lang w:val="ro-RO"/>
        </w:rPr>
        <w:t>î</w:t>
      </w:r>
      <w:r w:rsidR="00902C44" w:rsidRPr="00857CDA">
        <w:rPr>
          <w:lang w:val="ro-RO"/>
        </w:rPr>
        <w:t xml:space="preserve">n </w:t>
      </w:r>
      <w:r w:rsidR="00121893" w:rsidRPr="00857CDA">
        <w:rPr>
          <w:lang w:val="ro-RO"/>
        </w:rPr>
        <w:t>coloana</w:t>
      </w:r>
      <w:r w:rsidR="00E114C7" w:rsidRPr="00857CDA">
        <w:rPr>
          <w:lang w:val="ro-RO"/>
        </w:rPr>
        <w:t xml:space="preserve"> (4), </w:t>
      </w:r>
      <w:r w:rsidR="00906A0C" w:rsidRPr="00857CDA">
        <w:rPr>
          <w:lang w:val="ro-RO"/>
        </w:rPr>
        <w:t>s</w:t>
      </w:r>
      <w:r w:rsidR="00902C44" w:rsidRPr="00857CDA">
        <w:rPr>
          <w:lang w:val="ro-RO"/>
        </w:rPr>
        <w:t>e modifică</w:t>
      </w:r>
      <w:r w:rsidR="00E114C7" w:rsidRPr="00857CDA">
        <w:rPr>
          <w:lang w:val="ro-RO"/>
        </w:rPr>
        <w:t xml:space="preserve"> </w:t>
      </w:r>
      <w:r w:rsidR="00FE5FC3"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FE5FC3" w:rsidRPr="00857CDA">
        <w:rPr>
          <w:lang w:val="ro-RO"/>
        </w:rPr>
        <w:t>„</w:t>
      </w:r>
      <w:r w:rsidR="00906A0C" w:rsidRPr="00857CDA">
        <w:rPr>
          <w:lang w:val="ro-RO"/>
        </w:rPr>
        <w:t>Între</w:t>
      </w:r>
      <w:r w:rsidR="00E114C7" w:rsidRPr="00857CDA">
        <w:rPr>
          <w:lang w:val="ro-RO"/>
        </w:rPr>
        <w:t xml:space="preserve"> 1</w:t>
      </w:r>
      <w:r w:rsidR="00906A0C" w:rsidRPr="00857CDA">
        <w:rPr>
          <w:lang w:val="ro-RO"/>
        </w:rPr>
        <w:t xml:space="preserve"> ianuarie</w:t>
      </w:r>
      <w:r w:rsidR="00E114C7" w:rsidRPr="00857CDA">
        <w:rPr>
          <w:lang w:val="ro-RO"/>
        </w:rPr>
        <w:t xml:space="preserve"> 2015</w:t>
      </w:r>
      <w:r w:rsidR="004C27AD" w:rsidRPr="00857CDA">
        <w:rPr>
          <w:lang w:val="ro-RO"/>
        </w:rPr>
        <w:t xml:space="preserve"> și </w:t>
      </w:r>
      <w:r w:rsidR="00E114C7" w:rsidRPr="00857CDA">
        <w:rPr>
          <w:lang w:val="ro-RO"/>
        </w:rPr>
        <w:t>31 d</w:t>
      </w:r>
      <w:r w:rsidR="00906A0C" w:rsidRPr="00857CDA">
        <w:rPr>
          <w:lang w:val="ro-RO"/>
        </w:rPr>
        <w:t>e</w:t>
      </w:r>
      <w:r w:rsidR="00E114C7" w:rsidRPr="00857CDA">
        <w:rPr>
          <w:lang w:val="ro-RO"/>
        </w:rPr>
        <w:t>cembr</w:t>
      </w:r>
      <w:r w:rsidR="00906A0C" w:rsidRPr="00857CDA">
        <w:rPr>
          <w:lang w:val="ro-RO"/>
        </w:rPr>
        <w:t>i</w:t>
      </w:r>
      <w:r w:rsidR="00E114C7" w:rsidRPr="00857CDA">
        <w:rPr>
          <w:lang w:val="ro-RO"/>
        </w:rPr>
        <w:t>e 2020</w:t>
      </w:r>
      <w:r w:rsidR="00660131" w:rsidRPr="00857CDA">
        <w:rPr>
          <w:lang w:val="ro-RO"/>
        </w:rPr>
        <w:t>”</w:t>
      </w:r>
      <w:r w:rsidR="00E114C7" w:rsidRPr="00857CDA">
        <w:rPr>
          <w:lang w:val="ro-RO"/>
        </w:rPr>
        <w:t xml:space="preserve">. </w:t>
      </w:r>
      <w:r w:rsidR="00991390" w:rsidRPr="00857CDA">
        <w:rPr>
          <w:lang w:val="ro-RO"/>
        </w:rPr>
        <w:t>După</w:t>
      </w:r>
      <w:r w:rsidR="00E114C7" w:rsidRPr="00857CDA">
        <w:rPr>
          <w:lang w:val="ro-RO"/>
        </w:rPr>
        <w:t xml:space="preserve"> </w:t>
      </w:r>
      <w:r w:rsidR="006A1ED1" w:rsidRPr="00857CDA">
        <w:rPr>
          <w:lang w:val="ro-RO"/>
        </w:rPr>
        <w:t>rândul</w:t>
      </w:r>
      <w:r w:rsidR="00E114C7" w:rsidRPr="00857CDA">
        <w:rPr>
          <w:lang w:val="ro-RO"/>
        </w:rPr>
        <w:t xml:space="preserve"> </w:t>
      </w:r>
      <w:r w:rsidR="00991390" w:rsidRPr="00857CDA">
        <w:rPr>
          <w:lang w:val="ro-RO"/>
        </w:rPr>
        <w:t>pentru</w:t>
      </w:r>
      <w:r w:rsidR="00E114C7" w:rsidRPr="00857CDA">
        <w:rPr>
          <w:lang w:val="ro-RO"/>
        </w:rPr>
        <w:t xml:space="preserve"> </w:t>
      </w:r>
      <w:r w:rsidR="00FE5FC3" w:rsidRPr="00857CDA">
        <w:rPr>
          <w:lang w:val="ro-RO"/>
        </w:rPr>
        <w:t>„</w:t>
      </w:r>
      <w:r w:rsidR="00E114C7" w:rsidRPr="00857CDA">
        <w:rPr>
          <w:lang w:val="ro-RO"/>
        </w:rPr>
        <w:t>EN ISO 11120:1999 + A1:2013</w:t>
      </w:r>
      <w:r w:rsidR="00660131" w:rsidRPr="00857CDA">
        <w:rPr>
          <w:lang w:val="ro-RO"/>
        </w:rPr>
        <w:t>”</w:t>
      </w:r>
      <w:r w:rsidR="00E114C7" w:rsidRPr="00857CDA">
        <w:rPr>
          <w:lang w:val="ro-RO"/>
        </w:rPr>
        <w:t xml:space="preserve">, </w:t>
      </w:r>
      <w:r w:rsidR="00902C44" w:rsidRPr="00857CDA">
        <w:rPr>
          <w:lang w:val="ro-RO"/>
        </w:rPr>
        <w:t>se adaugă</w:t>
      </w:r>
      <w:r w:rsidR="00E114C7" w:rsidRPr="00857CDA">
        <w:rPr>
          <w:lang w:val="ro-RO"/>
        </w:rPr>
        <w:t xml:space="preserve"> </w:t>
      </w:r>
      <w:r w:rsidR="00906A0C" w:rsidRPr="00857CDA">
        <w:rPr>
          <w:lang w:val="ro-RO"/>
        </w:rPr>
        <w:t xml:space="preserve">un </w:t>
      </w:r>
      <w:r w:rsidR="00857CDA" w:rsidRPr="00857CDA">
        <w:rPr>
          <w:lang w:val="ro-RO"/>
        </w:rPr>
        <w:t>nou</w:t>
      </w:r>
      <w:r w:rsidR="00906A0C" w:rsidRPr="00857CDA">
        <w:rPr>
          <w:lang w:val="ro-RO"/>
        </w:rPr>
        <w:t xml:space="preserve"> rând, după cum urmează</w:t>
      </w:r>
      <w:r w:rsidR="00091658" w:rsidRPr="00857CDA">
        <w:rPr>
          <w:lang w:val="ro-RO"/>
        </w:rPr>
        <w:t>:</w:t>
      </w:r>
    </w:p>
    <w:tbl>
      <w:tblPr>
        <w:tblW w:w="7431"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194"/>
        <w:gridCol w:w="4154"/>
        <w:gridCol w:w="1091"/>
        <w:gridCol w:w="992"/>
      </w:tblGrid>
      <w:tr w:rsidR="00E114C7" w:rsidRPr="007D305F" w:rsidTr="00725BE1">
        <w:tc>
          <w:tcPr>
            <w:tcW w:w="1194" w:type="dxa"/>
            <w:shd w:val="clear" w:color="auto" w:fill="auto"/>
          </w:tcPr>
          <w:p w:rsidR="00E114C7" w:rsidRPr="00857CDA" w:rsidRDefault="00E114C7" w:rsidP="003714FD">
            <w:pPr>
              <w:keepNext/>
              <w:spacing w:line="240" w:lineRule="auto"/>
              <w:ind w:hanging="22"/>
              <w:rPr>
                <w:bCs/>
                <w:lang w:val="ro-RO"/>
              </w:rPr>
            </w:pPr>
            <w:r w:rsidRPr="00857CDA">
              <w:rPr>
                <w:bCs/>
                <w:lang w:val="ro-RO"/>
              </w:rPr>
              <w:t>EN ISO 11120:2015</w:t>
            </w:r>
          </w:p>
        </w:tc>
        <w:tc>
          <w:tcPr>
            <w:tcW w:w="4154" w:type="dxa"/>
            <w:shd w:val="clear" w:color="auto" w:fill="auto"/>
          </w:tcPr>
          <w:p w:rsidR="00E114C7" w:rsidRPr="00857CDA" w:rsidRDefault="00906A0C" w:rsidP="00A20C06">
            <w:pPr>
              <w:keepNext/>
              <w:spacing w:line="240" w:lineRule="auto"/>
              <w:ind w:hanging="22"/>
              <w:rPr>
                <w:bCs/>
                <w:lang w:val="ro-RO"/>
              </w:rPr>
            </w:pPr>
            <w:r w:rsidRPr="00857CDA">
              <w:rPr>
                <w:lang w:val="ro-RO"/>
              </w:rPr>
              <w:t>Butelii pentru gaz - Tuburi reîncărcabile de oţel, fără sudură, cu capacitate apă de la 150 l până la 3000 l - Proiectare, construcţie şi încercări</w:t>
            </w:r>
          </w:p>
        </w:tc>
        <w:tc>
          <w:tcPr>
            <w:tcW w:w="1091" w:type="dxa"/>
            <w:shd w:val="clear" w:color="auto" w:fill="auto"/>
          </w:tcPr>
          <w:p w:rsidR="00E114C7" w:rsidRPr="00857CDA" w:rsidRDefault="00E114C7" w:rsidP="003714FD">
            <w:pPr>
              <w:spacing w:line="240" w:lineRule="auto"/>
              <w:jc w:val="center"/>
              <w:rPr>
                <w:bCs/>
                <w:lang w:val="ro-RO"/>
              </w:rPr>
            </w:pPr>
            <w:r w:rsidRPr="00857CDA">
              <w:rPr>
                <w:bCs/>
                <w:lang w:val="ro-RO"/>
              </w:rPr>
              <w:t>6.2.3.1</w:t>
            </w:r>
            <w:r w:rsidR="004C27AD" w:rsidRPr="00857CDA">
              <w:rPr>
                <w:bCs/>
                <w:lang w:val="ro-RO"/>
              </w:rPr>
              <w:t xml:space="preserve"> și </w:t>
            </w:r>
            <w:r w:rsidRPr="00857CDA">
              <w:rPr>
                <w:bCs/>
                <w:lang w:val="ro-RO"/>
              </w:rPr>
              <w:t>6.2.3.4</w:t>
            </w:r>
          </w:p>
        </w:tc>
        <w:tc>
          <w:tcPr>
            <w:tcW w:w="992" w:type="dxa"/>
            <w:shd w:val="clear" w:color="auto" w:fill="auto"/>
          </w:tcPr>
          <w:p w:rsidR="00E114C7" w:rsidRPr="00857CDA" w:rsidRDefault="00B77817" w:rsidP="003714FD">
            <w:pPr>
              <w:spacing w:line="240" w:lineRule="auto"/>
              <w:jc w:val="center"/>
              <w:rPr>
                <w:lang w:val="ro-RO"/>
              </w:rPr>
            </w:pPr>
            <w:r w:rsidRPr="00857CDA">
              <w:rPr>
                <w:color w:val="000000"/>
                <w:lang w:val="ro-RO" w:eastAsia="fr-FR"/>
              </w:rPr>
              <w:t>Până la o notificare ulterioară</w:t>
            </w:r>
          </w:p>
        </w:tc>
      </w:tr>
    </w:tbl>
    <w:p w:rsidR="00E114C7" w:rsidRPr="00857CDA" w:rsidRDefault="00E114C7" w:rsidP="008B2D82">
      <w:pPr>
        <w:pStyle w:val="SingleTxtG"/>
        <w:tabs>
          <w:tab w:val="left" w:pos="2268"/>
        </w:tabs>
        <w:spacing w:before="120"/>
        <w:rPr>
          <w:b/>
          <w:lang w:val="ro-RO"/>
        </w:rPr>
      </w:pPr>
      <w:r w:rsidRPr="00857CDA">
        <w:rPr>
          <w:lang w:val="ro-RO"/>
        </w:rPr>
        <w:t>6.2</w:t>
      </w:r>
      <w:r w:rsidR="00A20C06" w:rsidRPr="00857CDA">
        <w:rPr>
          <w:lang w:val="ro-RO"/>
        </w:rPr>
        <w:t>.4.1</w:t>
      </w:r>
      <w:r w:rsidRPr="00857CDA">
        <w:rPr>
          <w:lang w:val="ro-RO"/>
        </w:rPr>
        <w:tab/>
      </w:r>
      <w:r w:rsidR="00902C44" w:rsidRPr="00857CDA">
        <w:rPr>
          <w:rFonts w:cs="Arial"/>
          <w:szCs w:val="22"/>
          <w:lang w:val="ro-RO"/>
        </w:rPr>
        <w:t xml:space="preserve">În </w:t>
      </w:r>
      <w:r w:rsidR="00463BBB" w:rsidRPr="00857CDA">
        <w:rPr>
          <w:lang w:val="ro-RO"/>
        </w:rPr>
        <w:t>tabel</w:t>
      </w:r>
      <w:r w:rsidRPr="00857CDA">
        <w:rPr>
          <w:lang w:val="ro-RO"/>
        </w:rPr>
        <w:t>, su</w:t>
      </w:r>
      <w:r w:rsidR="00906A0C" w:rsidRPr="00857CDA">
        <w:rPr>
          <w:lang w:val="ro-RO"/>
        </w:rPr>
        <w:t>b</w:t>
      </w:r>
      <w:r w:rsidRPr="00857CDA">
        <w:rPr>
          <w:lang w:val="ro-RO"/>
        </w:rPr>
        <w:t xml:space="preserve"> </w:t>
      </w:r>
      <w:r w:rsidR="00FE5FC3" w:rsidRPr="00857CDA">
        <w:rPr>
          <w:lang w:val="ro-RO"/>
        </w:rPr>
        <w:t>„</w:t>
      </w:r>
      <w:r w:rsidR="00991390" w:rsidRPr="00857CDA">
        <w:rPr>
          <w:lang w:val="ro-RO"/>
        </w:rPr>
        <w:t>Pentru</w:t>
      </w:r>
      <w:r w:rsidRPr="00857CDA">
        <w:rPr>
          <w:lang w:val="ro-RO"/>
        </w:rPr>
        <w:t xml:space="preserve"> concep</w:t>
      </w:r>
      <w:r w:rsidR="00906A0C" w:rsidRPr="00857CDA">
        <w:rPr>
          <w:lang w:val="ro-RO"/>
        </w:rPr>
        <w:t>ție</w:t>
      </w:r>
      <w:r w:rsidR="004C27AD" w:rsidRPr="00857CDA">
        <w:rPr>
          <w:lang w:val="ro-RO"/>
        </w:rPr>
        <w:t xml:space="preserve"> și </w:t>
      </w:r>
      <w:r w:rsidR="00906A0C" w:rsidRPr="00857CDA">
        <w:rPr>
          <w:lang w:val="ro-RO"/>
        </w:rPr>
        <w:t>construcție</w:t>
      </w:r>
      <w:r w:rsidR="00660131" w:rsidRPr="00857CDA">
        <w:rPr>
          <w:lang w:val="ro-RO"/>
        </w:rPr>
        <w:t>”</w:t>
      </w:r>
      <w:r w:rsidR="00091658" w:rsidRPr="00857CDA">
        <w:rPr>
          <w:lang w:val="ro-RO"/>
        </w:rPr>
        <w:t>:</w:t>
      </w:r>
    </w:p>
    <w:p w:rsidR="00E114C7" w:rsidRPr="00857CDA" w:rsidRDefault="00E114C7" w:rsidP="00E114C7">
      <w:pPr>
        <w:pStyle w:val="SingleTxtG"/>
        <w:rPr>
          <w:rFonts w:cs="Arial"/>
          <w:bCs/>
          <w:szCs w:val="22"/>
          <w:lang w:val="ro-RO"/>
        </w:rPr>
      </w:pPr>
      <w:r w:rsidRPr="00857CDA">
        <w:rPr>
          <w:lang w:val="ro-RO"/>
        </w:rPr>
        <w:t>–</w:t>
      </w:r>
      <w:r w:rsidRPr="00857CDA">
        <w:rPr>
          <w:lang w:val="ro-RO"/>
        </w:rPr>
        <w:tab/>
      </w:r>
      <w:r w:rsidR="00991390" w:rsidRPr="00857CDA">
        <w:rPr>
          <w:lang w:val="ro-RO"/>
        </w:rPr>
        <w:t>Pentru</w:t>
      </w:r>
      <w:r w:rsidRPr="00857CDA">
        <w:rPr>
          <w:rFonts w:cs="Arial"/>
          <w:bCs/>
          <w:szCs w:val="22"/>
          <w:lang w:val="ro-RO"/>
        </w:rPr>
        <w:t xml:space="preserve"> </w:t>
      </w:r>
      <w:r w:rsidR="006A1ED1" w:rsidRPr="00857CDA">
        <w:rPr>
          <w:rFonts w:cs="Arial"/>
          <w:bCs/>
          <w:szCs w:val="22"/>
          <w:lang w:val="ro-RO"/>
        </w:rPr>
        <w:t>standardul</w:t>
      </w:r>
      <w:r w:rsidRPr="00857CDA">
        <w:rPr>
          <w:rFonts w:cs="Arial"/>
          <w:bCs/>
          <w:szCs w:val="22"/>
          <w:lang w:val="ro-RO"/>
        </w:rPr>
        <w:t xml:space="preserve"> </w:t>
      </w:r>
      <w:r w:rsidR="00660131" w:rsidRPr="00857CDA">
        <w:rPr>
          <w:rFonts w:cs="Arial"/>
          <w:bCs/>
          <w:szCs w:val="22"/>
          <w:lang w:val="ro-RO"/>
        </w:rPr>
        <w:t>“</w:t>
      </w:r>
      <w:r w:rsidRPr="00857CDA">
        <w:rPr>
          <w:lang w:val="ro-RO"/>
        </w:rPr>
        <w:t>EN </w:t>
      </w:r>
      <w:r w:rsidRPr="00857CDA">
        <w:rPr>
          <w:rFonts w:cs="Arial"/>
          <w:szCs w:val="22"/>
          <w:lang w:val="ro-RO"/>
        </w:rPr>
        <w:t>1251</w:t>
      </w:r>
      <w:r w:rsidRPr="00857CDA">
        <w:rPr>
          <w:rFonts w:cs="Arial"/>
          <w:bCs/>
          <w:szCs w:val="22"/>
          <w:lang w:val="ro-RO"/>
        </w:rPr>
        <w:t>-2:2000</w:t>
      </w:r>
      <w:r w:rsidR="00660131" w:rsidRPr="00857CDA">
        <w:rPr>
          <w:rFonts w:cs="Arial"/>
          <w:bCs/>
          <w:szCs w:val="22"/>
          <w:lang w:val="ro-RO"/>
        </w:rPr>
        <w:t>”</w:t>
      </w:r>
      <w:r w:rsidRPr="00857CDA">
        <w:rPr>
          <w:rFonts w:cs="Arial"/>
          <w:bCs/>
          <w:szCs w:val="22"/>
          <w:lang w:val="ro-RO"/>
        </w:rPr>
        <w:t xml:space="preserve">, </w:t>
      </w:r>
      <w:r w:rsidR="002B679C" w:rsidRPr="00857CDA">
        <w:rPr>
          <w:rFonts w:cs="Arial"/>
          <w:bCs/>
          <w:szCs w:val="22"/>
          <w:lang w:val="ro-RO"/>
        </w:rPr>
        <w:t>se modifică</w:t>
      </w:r>
      <w:r w:rsidRPr="00857CDA">
        <w:rPr>
          <w:rFonts w:cs="Arial"/>
          <w:bCs/>
          <w:szCs w:val="22"/>
          <w:lang w:val="ro-RO"/>
        </w:rPr>
        <w:t xml:space="preserve"> nota </w:t>
      </w:r>
      <w:r w:rsidR="00906A0C" w:rsidRPr="00857CDA">
        <w:rPr>
          <w:rFonts w:cs="Arial"/>
          <w:bCs/>
          <w:szCs w:val="22"/>
          <w:lang w:val="ro-RO"/>
        </w:rPr>
        <w:t xml:space="preserve">care </w:t>
      </w:r>
      <w:r w:rsidR="00857CDA" w:rsidRPr="00857CDA">
        <w:rPr>
          <w:rFonts w:cs="Arial"/>
          <w:bCs/>
          <w:szCs w:val="22"/>
          <w:lang w:val="ro-RO"/>
        </w:rPr>
        <w:t>figurează</w:t>
      </w:r>
      <w:r w:rsidR="00906A0C" w:rsidRPr="00857CDA">
        <w:rPr>
          <w:rFonts w:cs="Arial"/>
          <w:bCs/>
          <w:szCs w:val="22"/>
          <w:lang w:val="ro-RO"/>
        </w:rPr>
        <w:t xml:space="preserve"> î</w:t>
      </w:r>
      <w:r w:rsidR="00902C44" w:rsidRPr="00857CDA">
        <w:rPr>
          <w:rFonts w:cs="Arial"/>
          <w:bCs/>
          <w:szCs w:val="22"/>
          <w:lang w:val="ro-RO"/>
        </w:rPr>
        <w:t xml:space="preserve">n </w:t>
      </w:r>
      <w:r w:rsidR="00121893" w:rsidRPr="00857CDA">
        <w:rPr>
          <w:rFonts w:cs="Arial"/>
          <w:bCs/>
          <w:szCs w:val="22"/>
          <w:lang w:val="ro-RO"/>
        </w:rPr>
        <w:t>coloana</w:t>
      </w:r>
      <w:r w:rsidRPr="00857CDA">
        <w:rPr>
          <w:rFonts w:cs="Arial"/>
          <w:bCs/>
          <w:szCs w:val="22"/>
          <w:lang w:val="ro-RO"/>
        </w:rPr>
        <w:t xml:space="preserve"> (2)</w:t>
      </w:r>
      <w:r w:rsidR="002B679C" w:rsidRPr="00857CDA">
        <w:rPr>
          <w:rFonts w:cs="Arial"/>
          <w:bCs/>
          <w:szCs w:val="22"/>
          <w:lang w:val="ro-RO"/>
        </w:rPr>
        <w:t>, după cum urmează</w:t>
      </w:r>
      <w:r w:rsidRPr="00857CDA">
        <w:rPr>
          <w:rFonts w:cs="Arial"/>
          <w:bCs/>
          <w:szCs w:val="22"/>
          <w:lang w:val="ro-RO"/>
        </w:rPr>
        <w:t xml:space="preserve">: </w:t>
      </w:r>
    </w:p>
    <w:p w:rsidR="00906A0C" w:rsidRPr="00857CDA" w:rsidRDefault="00FE5FC3" w:rsidP="00E114C7">
      <w:pPr>
        <w:pStyle w:val="SingleTxtG"/>
        <w:rPr>
          <w:rFonts w:cs="Arial"/>
          <w:szCs w:val="22"/>
          <w:lang w:val="ro-RO"/>
        </w:rPr>
      </w:pPr>
      <w:r w:rsidRPr="00857CDA">
        <w:rPr>
          <w:lang w:val="ro-RO"/>
        </w:rPr>
        <w:t>„</w:t>
      </w:r>
      <w:r w:rsidR="00E114C7" w:rsidRPr="00857CDA">
        <w:rPr>
          <w:b/>
          <w:bCs/>
          <w:i/>
          <w:lang w:val="ro-RO"/>
        </w:rPr>
        <w:t>NOT</w:t>
      </w:r>
      <w:r w:rsidRPr="00857CDA">
        <w:rPr>
          <w:b/>
          <w:bCs/>
          <w:i/>
          <w:lang w:val="ro-RO"/>
        </w:rPr>
        <w:t>Ă</w:t>
      </w:r>
      <w:r w:rsidR="00E114C7" w:rsidRPr="00857CDA">
        <w:rPr>
          <w:b/>
          <w:bCs/>
          <w:i/>
          <w:lang w:val="ro-RO"/>
        </w:rPr>
        <w:t>:</w:t>
      </w:r>
      <w:r w:rsidR="00E114C7" w:rsidRPr="00857CDA">
        <w:rPr>
          <w:i/>
          <w:lang w:val="ro-RO"/>
        </w:rPr>
        <w:tab/>
      </w:r>
      <w:r w:rsidR="006A1ED1" w:rsidRPr="00857CDA">
        <w:rPr>
          <w:i/>
          <w:lang w:val="ro-RO"/>
        </w:rPr>
        <w:t>Standardele</w:t>
      </w:r>
      <w:r w:rsidR="00E114C7" w:rsidRPr="00857CDA">
        <w:rPr>
          <w:i/>
          <w:lang w:val="ro-RO"/>
        </w:rPr>
        <w:t xml:space="preserve"> EN 1252-1:1998</w:t>
      </w:r>
      <w:r w:rsidR="004C27AD" w:rsidRPr="00857CDA">
        <w:rPr>
          <w:i/>
          <w:lang w:val="ro-RO"/>
        </w:rPr>
        <w:t xml:space="preserve"> și </w:t>
      </w:r>
      <w:r w:rsidR="00E114C7" w:rsidRPr="00857CDA">
        <w:rPr>
          <w:i/>
          <w:lang w:val="ro-RO"/>
        </w:rPr>
        <w:t xml:space="preserve">EN 1626 </w:t>
      </w:r>
      <w:r w:rsidR="00906A0C" w:rsidRPr="00857CDA">
        <w:rPr>
          <w:i/>
          <w:lang w:val="ro-RO"/>
        </w:rPr>
        <w:t xml:space="preserve">la care se face referire în acest standard sunt, de asemenea, </w:t>
      </w:r>
      <w:r w:rsidR="00E114C7" w:rsidRPr="00857CDA">
        <w:rPr>
          <w:i/>
          <w:lang w:val="ro-RO"/>
        </w:rPr>
        <w:t>aplicab</w:t>
      </w:r>
      <w:r w:rsidR="00906A0C" w:rsidRPr="00857CDA">
        <w:rPr>
          <w:i/>
          <w:lang w:val="ro-RO"/>
        </w:rPr>
        <w:t>i</w:t>
      </w:r>
      <w:r w:rsidR="00E114C7" w:rsidRPr="00857CDA">
        <w:rPr>
          <w:i/>
          <w:lang w:val="ro-RO"/>
        </w:rPr>
        <w:t>le r</w:t>
      </w:r>
      <w:r w:rsidR="00906A0C" w:rsidRPr="00857CDA">
        <w:rPr>
          <w:i/>
          <w:lang w:val="ro-RO"/>
        </w:rPr>
        <w:t>e</w:t>
      </w:r>
      <w:r w:rsidR="00E114C7" w:rsidRPr="00857CDA">
        <w:rPr>
          <w:i/>
          <w:lang w:val="ro-RO"/>
        </w:rPr>
        <w:t>cipient</w:t>
      </w:r>
      <w:r w:rsidR="00906A0C" w:rsidRPr="00857CDA">
        <w:rPr>
          <w:i/>
          <w:lang w:val="ro-RO"/>
        </w:rPr>
        <w:t>elor</w:t>
      </w:r>
      <w:r w:rsidR="00E114C7" w:rsidRPr="00857CDA">
        <w:rPr>
          <w:i/>
          <w:lang w:val="ro-RO"/>
        </w:rPr>
        <w:t xml:space="preserve"> cr</w:t>
      </w:r>
      <w:r w:rsidR="00906A0C" w:rsidRPr="00857CDA">
        <w:rPr>
          <w:i/>
          <w:lang w:val="ro-RO"/>
        </w:rPr>
        <w:t>i</w:t>
      </w:r>
      <w:r w:rsidR="00E114C7" w:rsidRPr="00857CDA">
        <w:rPr>
          <w:i/>
          <w:lang w:val="ro-RO"/>
        </w:rPr>
        <w:t>og</w:t>
      </w:r>
      <w:r w:rsidR="00906A0C" w:rsidRPr="00857CDA">
        <w:rPr>
          <w:i/>
          <w:lang w:val="ro-RO"/>
        </w:rPr>
        <w:t>e</w:t>
      </w:r>
      <w:r w:rsidR="00E114C7" w:rsidRPr="00857CDA">
        <w:rPr>
          <w:i/>
          <w:lang w:val="ro-RO"/>
        </w:rPr>
        <w:t>ni</w:t>
      </w:r>
      <w:r w:rsidR="00906A0C" w:rsidRPr="00857CDA">
        <w:rPr>
          <w:i/>
          <w:lang w:val="ro-RO"/>
        </w:rPr>
        <w:t>c</w:t>
      </w:r>
      <w:r w:rsidR="00E114C7" w:rsidRPr="00857CDA">
        <w:rPr>
          <w:i/>
          <w:lang w:val="ro-RO"/>
        </w:rPr>
        <w:t xml:space="preserve">e </w:t>
      </w:r>
      <w:r w:rsidR="00906A0C" w:rsidRPr="00857CDA">
        <w:rPr>
          <w:i/>
          <w:lang w:val="ro-RO"/>
        </w:rPr>
        <w:t>închise</w:t>
      </w:r>
      <w:r w:rsidR="00E114C7" w:rsidRPr="00857CDA">
        <w:rPr>
          <w:i/>
          <w:lang w:val="ro-RO"/>
        </w:rPr>
        <w:t xml:space="preserve"> </w:t>
      </w:r>
      <w:r w:rsidR="00991390" w:rsidRPr="00857CDA">
        <w:rPr>
          <w:i/>
          <w:lang w:val="ro-RO"/>
        </w:rPr>
        <w:t>pentru</w:t>
      </w:r>
      <w:r w:rsidR="00E114C7" w:rsidRPr="00857CDA">
        <w:rPr>
          <w:i/>
          <w:lang w:val="ro-RO"/>
        </w:rPr>
        <w:t xml:space="preserve"> transport</w:t>
      </w:r>
      <w:r w:rsidR="00906A0C" w:rsidRPr="00857CDA">
        <w:rPr>
          <w:i/>
          <w:lang w:val="ro-RO"/>
        </w:rPr>
        <w:t xml:space="preserve">ul </w:t>
      </w:r>
      <w:r w:rsidR="002B679C" w:rsidRPr="00857CDA">
        <w:rPr>
          <w:i/>
          <w:lang w:val="ro-RO"/>
        </w:rPr>
        <w:t>Nr. ONU</w:t>
      </w:r>
      <w:r w:rsidR="00E114C7" w:rsidRPr="00857CDA">
        <w:rPr>
          <w:i/>
          <w:lang w:val="ro-RO"/>
        </w:rPr>
        <w:t xml:space="preserve"> 1972 (M</w:t>
      </w:r>
      <w:r w:rsidR="00906A0C" w:rsidRPr="00857CDA">
        <w:rPr>
          <w:i/>
          <w:lang w:val="ro-RO"/>
        </w:rPr>
        <w:t>E</w:t>
      </w:r>
      <w:r w:rsidR="00E114C7" w:rsidRPr="00857CDA">
        <w:rPr>
          <w:i/>
          <w:lang w:val="ro-RO"/>
        </w:rPr>
        <w:t>TAN LI</w:t>
      </w:r>
      <w:r w:rsidR="00906A0C" w:rsidRPr="00857CDA">
        <w:rPr>
          <w:i/>
          <w:lang w:val="ro-RO"/>
        </w:rPr>
        <w:t>CHI</w:t>
      </w:r>
      <w:r w:rsidR="00E114C7" w:rsidRPr="00857CDA">
        <w:rPr>
          <w:i/>
          <w:lang w:val="ro-RO"/>
        </w:rPr>
        <w:t>D R</w:t>
      </w:r>
      <w:r w:rsidR="00906A0C" w:rsidRPr="00857CDA">
        <w:rPr>
          <w:i/>
          <w:lang w:val="ro-RO"/>
        </w:rPr>
        <w:t>E</w:t>
      </w:r>
      <w:r w:rsidR="00E114C7" w:rsidRPr="00857CDA">
        <w:rPr>
          <w:i/>
          <w:lang w:val="ro-RO"/>
        </w:rPr>
        <w:t>FRIG</w:t>
      </w:r>
      <w:r w:rsidR="00906A0C" w:rsidRPr="00857CDA">
        <w:rPr>
          <w:i/>
          <w:lang w:val="ro-RO"/>
        </w:rPr>
        <w:t>E</w:t>
      </w:r>
      <w:r w:rsidR="00E114C7" w:rsidRPr="00857CDA">
        <w:rPr>
          <w:i/>
          <w:lang w:val="ro-RO"/>
        </w:rPr>
        <w:t>R</w:t>
      </w:r>
      <w:r w:rsidR="00906A0C" w:rsidRPr="00857CDA">
        <w:rPr>
          <w:i/>
          <w:lang w:val="ro-RO"/>
        </w:rPr>
        <w:t>AT</w:t>
      </w:r>
      <w:r w:rsidR="00E114C7" w:rsidRPr="00857CDA">
        <w:rPr>
          <w:i/>
          <w:lang w:val="ro-RO"/>
        </w:rPr>
        <w:t xml:space="preserve"> </w:t>
      </w:r>
      <w:r w:rsidR="00906A0C" w:rsidRPr="00857CDA">
        <w:rPr>
          <w:i/>
          <w:lang w:val="ro-RO"/>
        </w:rPr>
        <w:t>sa</w:t>
      </w:r>
      <w:r w:rsidR="00E114C7" w:rsidRPr="00857CDA">
        <w:rPr>
          <w:i/>
          <w:lang w:val="ro-RO"/>
        </w:rPr>
        <w:t>u GAZ NATUR</w:t>
      </w:r>
      <w:r w:rsidR="00906A0C" w:rsidRPr="00857CDA">
        <w:rPr>
          <w:i/>
          <w:lang w:val="ro-RO"/>
        </w:rPr>
        <w:t>A</w:t>
      </w:r>
      <w:r w:rsidR="00E114C7" w:rsidRPr="00857CDA">
        <w:rPr>
          <w:i/>
          <w:lang w:val="ro-RO"/>
        </w:rPr>
        <w:t>L LI</w:t>
      </w:r>
      <w:r w:rsidR="00906A0C" w:rsidRPr="00857CDA">
        <w:rPr>
          <w:i/>
          <w:lang w:val="ro-RO"/>
        </w:rPr>
        <w:t>CHID</w:t>
      </w:r>
      <w:r w:rsidR="00E114C7" w:rsidRPr="00857CDA">
        <w:rPr>
          <w:i/>
          <w:lang w:val="ro-RO"/>
        </w:rPr>
        <w:t xml:space="preserve"> R</w:t>
      </w:r>
      <w:r w:rsidR="00906A0C" w:rsidRPr="00857CDA">
        <w:rPr>
          <w:i/>
          <w:lang w:val="ro-RO"/>
        </w:rPr>
        <w:t>E</w:t>
      </w:r>
      <w:r w:rsidR="00E114C7" w:rsidRPr="00857CDA">
        <w:rPr>
          <w:i/>
          <w:lang w:val="ro-RO"/>
        </w:rPr>
        <w:t>FRIG</w:t>
      </w:r>
      <w:r w:rsidR="00906A0C" w:rsidRPr="00857CDA">
        <w:rPr>
          <w:i/>
          <w:lang w:val="ro-RO"/>
        </w:rPr>
        <w:t>E</w:t>
      </w:r>
      <w:r w:rsidR="00E114C7" w:rsidRPr="00857CDA">
        <w:rPr>
          <w:i/>
          <w:lang w:val="ro-RO"/>
        </w:rPr>
        <w:t>R</w:t>
      </w:r>
      <w:r w:rsidR="00906A0C" w:rsidRPr="00857CDA">
        <w:rPr>
          <w:i/>
          <w:lang w:val="ro-RO"/>
        </w:rPr>
        <w:t>AT</w:t>
      </w:r>
      <w:r w:rsidR="00E114C7" w:rsidRPr="00857CDA">
        <w:rPr>
          <w:i/>
          <w:lang w:val="ro-RO"/>
        </w:rPr>
        <w:t>).</w:t>
      </w:r>
      <w:r w:rsidR="00660131" w:rsidRPr="00857CDA">
        <w:rPr>
          <w:i/>
          <w:lang w:val="ro-RO"/>
        </w:rPr>
        <w:t>”</w:t>
      </w:r>
      <w:r w:rsidR="00E114C7" w:rsidRPr="00857CDA">
        <w:rPr>
          <w:rFonts w:cs="Arial"/>
          <w:szCs w:val="22"/>
          <w:lang w:val="ro-RO"/>
        </w:rPr>
        <w:t>.</w:t>
      </w:r>
    </w:p>
    <w:p w:rsidR="00A51568" w:rsidRPr="00857CDA" w:rsidRDefault="00A20C06" w:rsidP="00A20C06">
      <w:pPr>
        <w:pStyle w:val="SingleTxtG"/>
        <w:tabs>
          <w:tab w:val="left" w:pos="2268"/>
        </w:tabs>
        <w:rPr>
          <w:lang w:val="ro-RO"/>
        </w:rPr>
      </w:pPr>
      <w:r w:rsidRPr="00857CDA">
        <w:rPr>
          <w:lang w:val="ro-RO"/>
        </w:rPr>
        <w:t>6.2.4.1</w:t>
      </w:r>
      <w:r w:rsidR="00A51568" w:rsidRPr="00857CDA">
        <w:rPr>
          <w:lang w:val="ro-RO"/>
        </w:rPr>
        <w:tab/>
      </w:r>
      <w:r w:rsidR="00902C44" w:rsidRPr="00857CDA">
        <w:rPr>
          <w:lang w:val="ro-RO"/>
        </w:rPr>
        <w:t xml:space="preserve">În </w:t>
      </w:r>
      <w:r w:rsidR="00463BBB" w:rsidRPr="00857CDA">
        <w:rPr>
          <w:lang w:val="ro-RO"/>
        </w:rPr>
        <w:t>tabel</w:t>
      </w:r>
      <w:r w:rsidR="00A51568" w:rsidRPr="00857CDA">
        <w:rPr>
          <w:lang w:val="ro-RO"/>
        </w:rPr>
        <w:t>, su</w:t>
      </w:r>
      <w:r w:rsidR="00906A0C" w:rsidRPr="00857CDA">
        <w:rPr>
          <w:lang w:val="ro-RO"/>
        </w:rPr>
        <w:t>b</w:t>
      </w:r>
      <w:r w:rsidR="00A51568" w:rsidRPr="00857CDA">
        <w:rPr>
          <w:lang w:val="ro-RO"/>
        </w:rPr>
        <w:t xml:space="preserve"> </w:t>
      </w:r>
      <w:r w:rsidR="00FE5FC3" w:rsidRPr="00857CDA">
        <w:rPr>
          <w:lang w:val="ro-RO"/>
        </w:rPr>
        <w:t>„</w:t>
      </w:r>
      <w:r w:rsidR="00991390" w:rsidRPr="00857CDA">
        <w:rPr>
          <w:lang w:val="ro-RO"/>
        </w:rPr>
        <w:t>Pentru</w:t>
      </w:r>
      <w:r w:rsidR="00A51568" w:rsidRPr="00857CDA">
        <w:rPr>
          <w:lang w:val="ro-RO"/>
        </w:rPr>
        <w:t xml:space="preserve"> concep</w:t>
      </w:r>
      <w:r w:rsidR="00906A0C" w:rsidRPr="00857CDA">
        <w:rPr>
          <w:lang w:val="ro-RO"/>
        </w:rPr>
        <w:t>ție</w:t>
      </w:r>
      <w:r w:rsidR="004C27AD" w:rsidRPr="00857CDA">
        <w:rPr>
          <w:lang w:val="ro-RO"/>
        </w:rPr>
        <w:t xml:space="preserve"> și </w:t>
      </w:r>
      <w:r w:rsidR="00906A0C" w:rsidRPr="00857CDA">
        <w:rPr>
          <w:lang w:val="ro-RO"/>
        </w:rPr>
        <w:t>construcție</w:t>
      </w:r>
      <w:r w:rsidR="00660131" w:rsidRPr="00857CDA">
        <w:rPr>
          <w:lang w:val="ro-RO"/>
        </w:rPr>
        <w:t>”</w:t>
      </w:r>
      <w:r w:rsidR="00A51568" w:rsidRPr="00857CDA">
        <w:rPr>
          <w:lang w:val="ro-RO"/>
        </w:rPr>
        <w:t xml:space="preserve">, </w:t>
      </w:r>
      <w:r w:rsidR="00991390" w:rsidRPr="00857CDA">
        <w:rPr>
          <w:lang w:val="ro-RO"/>
        </w:rPr>
        <w:t>pentru</w:t>
      </w:r>
      <w:r w:rsidR="00A51568" w:rsidRPr="00857CDA">
        <w:rPr>
          <w:lang w:val="ro-RO"/>
        </w:rPr>
        <w:t xml:space="preserve"> </w:t>
      </w:r>
      <w:r w:rsidR="00FE5FC3" w:rsidRPr="00857CDA">
        <w:rPr>
          <w:lang w:val="ro-RO"/>
        </w:rPr>
        <w:t>„</w:t>
      </w:r>
      <w:r w:rsidR="00A51568" w:rsidRPr="00857CDA">
        <w:rPr>
          <w:lang w:val="ro-RO"/>
        </w:rPr>
        <w:t>EN 14140:2014 +AC:2015</w:t>
      </w:r>
      <w:r w:rsidR="00660131" w:rsidRPr="00857CDA">
        <w:rPr>
          <w:lang w:val="ro-RO"/>
        </w:rPr>
        <w:t>”</w:t>
      </w:r>
      <w:r w:rsidR="00A51568" w:rsidRPr="00857CDA">
        <w:rPr>
          <w:lang w:val="ro-RO"/>
        </w:rPr>
        <w:t xml:space="preserve">, </w:t>
      </w:r>
      <w:r w:rsidR="00906A0C" w:rsidRPr="00857CDA">
        <w:rPr>
          <w:lang w:val="ro-RO"/>
        </w:rPr>
        <w:t>î</w:t>
      </w:r>
      <w:r w:rsidR="00902C44" w:rsidRPr="00857CDA">
        <w:rPr>
          <w:lang w:val="ro-RO"/>
        </w:rPr>
        <w:t xml:space="preserve">n </w:t>
      </w:r>
      <w:r w:rsidR="00121893" w:rsidRPr="00857CDA">
        <w:rPr>
          <w:lang w:val="ro-RO"/>
        </w:rPr>
        <w:t>coloana</w:t>
      </w:r>
      <w:r w:rsidR="00A51568" w:rsidRPr="00857CDA">
        <w:rPr>
          <w:lang w:val="ro-RO"/>
        </w:rPr>
        <w:t xml:space="preserve"> </w:t>
      </w:r>
      <w:r w:rsidR="00906A0C" w:rsidRPr="00857CDA">
        <w:rPr>
          <w:lang w:val="ro-RO"/>
        </w:rPr>
        <w:t>(</w:t>
      </w:r>
      <w:r w:rsidR="00A51568" w:rsidRPr="00857CDA">
        <w:rPr>
          <w:lang w:val="ro-RO"/>
        </w:rPr>
        <w:t xml:space="preserve">1), </w:t>
      </w:r>
      <w:r w:rsidR="00906A0C" w:rsidRPr="00857CDA">
        <w:rPr>
          <w:lang w:val="ro-RO"/>
        </w:rPr>
        <w:t>s</w:t>
      </w:r>
      <w:r w:rsidR="00902C44" w:rsidRPr="00857CDA">
        <w:rPr>
          <w:lang w:val="ro-RO"/>
        </w:rPr>
        <w:t>e șterge</w:t>
      </w:r>
      <w:r w:rsidR="00A51568" w:rsidRPr="00857CDA">
        <w:rPr>
          <w:lang w:val="ro-RO"/>
        </w:rPr>
        <w:t xml:space="preserve"> </w:t>
      </w:r>
      <w:r w:rsidR="00FE5FC3" w:rsidRPr="00857CDA">
        <w:rPr>
          <w:lang w:val="ro-RO"/>
        </w:rPr>
        <w:t xml:space="preserve">„ </w:t>
      </w:r>
      <w:r w:rsidR="00A51568" w:rsidRPr="00857CDA">
        <w:rPr>
          <w:lang w:val="ro-RO"/>
        </w:rPr>
        <w:t>(</w:t>
      </w:r>
      <w:r w:rsidR="00BF5B4C" w:rsidRPr="00857CDA">
        <w:rPr>
          <w:lang w:val="ro-RO"/>
        </w:rPr>
        <w:t>cu excepția buteliilor protejate printr-o carcasă nedetașabilă</w:t>
      </w:r>
      <w:r w:rsidR="00A51568" w:rsidRPr="00857CDA">
        <w:rPr>
          <w:lang w:val="ro-RO"/>
        </w:rPr>
        <w:t>).</w:t>
      </w:r>
    </w:p>
    <w:p w:rsidR="00E114C7" w:rsidRPr="00857CDA" w:rsidRDefault="00A20C06" w:rsidP="00A20C06">
      <w:pPr>
        <w:pStyle w:val="SingleTxtG"/>
        <w:tabs>
          <w:tab w:val="left" w:pos="2268"/>
        </w:tabs>
        <w:rPr>
          <w:rFonts w:cs="Arial"/>
          <w:szCs w:val="22"/>
          <w:lang w:val="ro-RO"/>
        </w:rPr>
      </w:pPr>
      <w:r w:rsidRPr="00857CDA">
        <w:rPr>
          <w:rFonts w:cs="Arial"/>
          <w:szCs w:val="22"/>
          <w:lang w:val="ro-RO"/>
        </w:rPr>
        <w:t>6.2.4.1</w:t>
      </w:r>
      <w:r w:rsidR="00E114C7" w:rsidRPr="00857CDA">
        <w:rPr>
          <w:rFonts w:cs="Arial"/>
          <w:szCs w:val="22"/>
          <w:lang w:val="ro-RO"/>
        </w:rPr>
        <w:tab/>
      </w:r>
      <w:r w:rsidR="00902C44" w:rsidRPr="00857CDA">
        <w:rPr>
          <w:rFonts w:cs="Arial"/>
          <w:szCs w:val="22"/>
          <w:lang w:val="ro-RO"/>
        </w:rPr>
        <w:t xml:space="preserve">În </w:t>
      </w:r>
      <w:r w:rsidR="00463BBB" w:rsidRPr="00857CDA">
        <w:rPr>
          <w:lang w:val="ro-RO"/>
        </w:rPr>
        <w:t>tabelul</w:t>
      </w:r>
      <w:r w:rsidR="00E114C7" w:rsidRPr="00857CDA">
        <w:rPr>
          <w:lang w:val="ro-RO"/>
        </w:rPr>
        <w:t>, su</w:t>
      </w:r>
      <w:r w:rsidR="00BF5B4C" w:rsidRPr="00857CDA">
        <w:rPr>
          <w:lang w:val="ro-RO"/>
        </w:rPr>
        <w:t>b</w:t>
      </w:r>
      <w:r w:rsidR="00E114C7" w:rsidRPr="00857CDA">
        <w:rPr>
          <w:lang w:val="ro-RO"/>
        </w:rPr>
        <w:t xml:space="preserve"> </w:t>
      </w:r>
      <w:r w:rsidR="00FE5FC3" w:rsidRPr="00857CDA">
        <w:rPr>
          <w:lang w:val="ro-RO"/>
        </w:rPr>
        <w:t>„</w:t>
      </w:r>
      <w:r w:rsidR="00991390" w:rsidRPr="00857CDA">
        <w:rPr>
          <w:lang w:val="ro-RO"/>
        </w:rPr>
        <w:t>Pentru</w:t>
      </w:r>
      <w:r w:rsidR="00E114C7" w:rsidRPr="00857CDA">
        <w:rPr>
          <w:lang w:val="ro-RO"/>
        </w:rPr>
        <w:t xml:space="preserve"> </w:t>
      </w:r>
      <w:r w:rsidR="00BF5B4C" w:rsidRPr="00857CDA">
        <w:rPr>
          <w:lang w:val="ro-RO"/>
        </w:rPr>
        <w:t>închizătoare</w:t>
      </w:r>
      <w:r w:rsidR="00660131" w:rsidRPr="00857CDA">
        <w:rPr>
          <w:lang w:val="ro-RO"/>
        </w:rPr>
        <w:t>”</w:t>
      </w:r>
      <w:r w:rsidR="00091658" w:rsidRPr="00857CDA">
        <w:rPr>
          <w:lang w:val="ro-RO"/>
        </w:rPr>
        <w:t>:</w:t>
      </w:r>
    </w:p>
    <w:p w:rsidR="00E114C7" w:rsidRPr="00857CDA" w:rsidRDefault="00E114C7" w:rsidP="00E114C7">
      <w:pPr>
        <w:pStyle w:val="SingleTxtG"/>
        <w:rPr>
          <w:bCs/>
          <w:lang w:val="ro-RO"/>
        </w:rPr>
      </w:pPr>
      <w:r w:rsidRPr="00857CDA">
        <w:rPr>
          <w:lang w:val="ro-RO"/>
        </w:rPr>
        <w:t>–</w:t>
      </w:r>
      <w:r w:rsidRPr="00857CDA">
        <w:rPr>
          <w:lang w:val="ro-RO"/>
        </w:rPr>
        <w:tab/>
      </w:r>
      <w:r w:rsidR="00991390" w:rsidRPr="00857CDA">
        <w:rPr>
          <w:rFonts w:cs="Arial"/>
          <w:szCs w:val="22"/>
          <w:lang w:val="ro-RO"/>
        </w:rPr>
        <w:t>Pentru</w:t>
      </w:r>
      <w:r w:rsidRPr="00857CDA">
        <w:rPr>
          <w:rFonts w:cs="Arial"/>
          <w:bCs/>
          <w:szCs w:val="22"/>
          <w:lang w:val="ro-RO"/>
        </w:rPr>
        <w:t xml:space="preserve"> </w:t>
      </w:r>
      <w:r w:rsidR="006A1ED1" w:rsidRPr="00857CDA">
        <w:rPr>
          <w:rFonts w:cs="Arial"/>
          <w:bCs/>
          <w:szCs w:val="22"/>
          <w:lang w:val="ro-RO"/>
        </w:rPr>
        <w:t>standardul</w:t>
      </w:r>
      <w:r w:rsidRPr="00857CDA">
        <w:rPr>
          <w:rFonts w:cs="Arial"/>
          <w:bCs/>
          <w:szCs w:val="22"/>
          <w:lang w:val="ro-RO"/>
        </w:rPr>
        <w:t xml:space="preserve"> </w:t>
      </w:r>
      <w:r w:rsidR="00660131" w:rsidRPr="00857CDA">
        <w:rPr>
          <w:rFonts w:cs="Arial"/>
          <w:bCs/>
          <w:szCs w:val="22"/>
          <w:lang w:val="ro-RO"/>
        </w:rPr>
        <w:t>“</w:t>
      </w:r>
      <w:r w:rsidRPr="00857CDA">
        <w:rPr>
          <w:rFonts w:cs="Arial"/>
          <w:bCs/>
          <w:szCs w:val="22"/>
          <w:lang w:val="ro-RO"/>
        </w:rPr>
        <w:t>EN ISO 10297:</w:t>
      </w:r>
      <w:r w:rsidRPr="00857CDA">
        <w:rPr>
          <w:rFonts w:cs="Arial"/>
          <w:szCs w:val="22"/>
          <w:lang w:val="ro-RO"/>
        </w:rPr>
        <w:t>2014</w:t>
      </w:r>
      <w:r w:rsidR="00660131" w:rsidRPr="00857CDA">
        <w:rPr>
          <w:rFonts w:cs="Arial"/>
          <w:szCs w:val="22"/>
          <w:lang w:val="ro-RO"/>
        </w:rPr>
        <w:t>”</w:t>
      </w:r>
      <w:r w:rsidRPr="00857CDA">
        <w:rPr>
          <w:rFonts w:cs="Arial"/>
          <w:bCs/>
          <w:szCs w:val="22"/>
          <w:lang w:val="ro-RO"/>
        </w:rPr>
        <w:t xml:space="preserve">, </w:t>
      </w:r>
      <w:r w:rsidR="00BF5B4C" w:rsidRPr="00857CDA">
        <w:rPr>
          <w:rFonts w:cs="Arial"/>
          <w:bCs/>
          <w:szCs w:val="22"/>
          <w:lang w:val="ro-RO"/>
        </w:rPr>
        <w:t>î</w:t>
      </w:r>
      <w:r w:rsidR="00902C44" w:rsidRPr="00857CDA">
        <w:rPr>
          <w:rFonts w:cs="Arial"/>
          <w:bCs/>
          <w:szCs w:val="22"/>
          <w:lang w:val="ro-RO"/>
        </w:rPr>
        <w:t xml:space="preserve">n </w:t>
      </w:r>
      <w:r w:rsidR="00121893" w:rsidRPr="00857CDA">
        <w:rPr>
          <w:rFonts w:cs="Arial"/>
          <w:bCs/>
          <w:szCs w:val="22"/>
          <w:lang w:val="ro-RO"/>
        </w:rPr>
        <w:t>coloana</w:t>
      </w:r>
      <w:r w:rsidRPr="00857CDA">
        <w:rPr>
          <w:rFonts w:cs="Arial"/>
          <w:bCs/>
          <w:szCs w:val="22"/>
          <w:lang w:val="ro-RO"/>
        </w:rPr>
        <w:t xml:space="preserve"> (2), </w:t>
      </w:r>
      <w:r w:rsidR="00BF5B4C" w:rsidRPr="00857CDA">
        <w:rPr>
          <w:rFonts w:cs="Arial"/>
          <w:bCs/>
          <w:szCs w:val="22"/>
          <w:lang w:val="ro-RO"/>
        </w:rPr>
        <w:t>s</w:t>
      </w:r>
      <w:r w:rsidR="00902C44" w:rsidRPr="00857CDA">
        <w:rPr>
          <w:rFonts w:cs="Arial"/>
          <w:bCs/>
          <w:szCs w:val="22"/>
          <w:lang w:val="ro-RO"/>
        </w:rPr>
        <w:t>e șterge</w:t>
      </w:r>
      <w:r w:rsidRPr="00857CDA">
        <w:rPr>
          <w:rFonts w:cs="Arial"/>
          <w:bCs/>
          <w:szCs w:val="22"/>
          <w:lang w:val="ro-RO"/>
        </w:rPr>
        <w:t xml:space="preserve"> </w:t>
      </w:r>
      <w:r w:rsidR="00FE5FC3" w:rsidRPr="00857CDA">
        <w:rPr>
          <w:lang w:val="ro-RO"/>
        </w:rPr>
        <w:t>„</w:t>
      </w:r>
      <w:r w:rsidR="00FE5FC3" w:rsidRPr="00857CDA">
        <w:rPr>
          <w:bCs/>
          <w:lang w:val="ro-RO"/>
        </w:rPr>
        <w:t xml:space="preserve"> </w:t>
      </w:r>
      <w:r w:rsidRPr="00857CDA">
        <w:rPr>
          <w:bCs/>
          <w:lang w:val="ro-RO"/>
        </w:rPr>
        <w:t>(ISO/DIS 10297:2012)</w:t>
      </w:r>
      <w:r w:rsidR="00660131" w:rsidRPr="00857CDA">
        <w:rPr>
          <w:bCs/>
          <w:lang w:val="ro-RO"/>
        </w:rPr>
        <w:t>”</w:t>
      </w:r>
      <w:r w:rsidRPr="00857CDA">
        <w:rPr>
          <w:bCs/>
          <w:lang w:val="ro-RO"/>
        </w:rPr>
        <w:t>.</w:t>
      </w:r>
    </w:p>
    <w:p w:rsidR="00E114C7" w:rsidRPr="00857CDA" w:rsidRDefault="00E114C7" w:rsidP="00E114C7">
      <w:pPr>
        <w:pStyle w:val="SingleTxtG"/>
        <w:rPr>
          <w:lang w:val="ro-RO"/>
        </w:rPr>
      </w:pPr>
      <w:r w:rsidRPr="00857CDA">
        <w:rPr>
          <w:lang w:val="ro-RO"/>
        </w:rPr>
        <w:lastRenderedPageBreak/>
        <w:tab/>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lang w:val="ro-RO"/>
        </w:rPr>
        <w:t>EN ISO 10297:2014</w:t>
      </w:r>
      <w:r w:rsidR="00660131" w:rsidRPr="00857CDA">
        <w:rPr>
          <w:lang w:val="ro-RO"/>
        </w:rPr>
        <w:t>”</w:t>
      </w:r>
      <w:r w:rsidRPr="00857CDA">
        <w:rPr>
          <w:lang w:val="ro-RO"/>
        </w:rPr>
        <w:t xml:space="preserve">, </w:t>
      </w:r>
      <w:r w:rsidR="00BF5B4C" w:rsidRPr="00857CDA">
        <w:rPr>
          <w:lang w:val="ro-RO"/>
        </w:rPr>
        <w:t>î</w:t>
      </w:r>
      <w:r w:rsidR="00902C44" w:rsidRPr="00857CDA">
        <w:rPr>
          <w:lang w:val="ro-RO"/>
        </w:rPr>
        <w:t xml:space="preserve">n </w:t>
      </w:r>
      <w:r w:rsidR="00121893" w:rsidRPr="00857CDA">
        <w:rPr>
          <w:lang w:val="ro-RO"/>
        </w:rPr>
        <w:t>coloana</w:t>
      </w:r>
      <w:r w:rsidRPr="00857CDA">
        <w:rPr>
          <w:lang w:val="ro-RO"/>
        </w:rPr>
        <w:t xml:space="preserve"> (4), </w:t>
      </w:r>
      <w:r w:rsidR="00BF5B4C" w:rsidRPr="00857CDA">
        <w:rPr>
          <w:lang w:val="ro-RO"/>
        </w:rPr>
        <w:t>s</w:t>
      </w:r>
      <w:r w:rsidR="00902C44" w:rsidRPr="00857CDA">
        <w:rPr>
          <w:lang w:val="ro-RO"/>
        </w:rPr>
        <w:t>e modifică</w:t>
      </w:r>
      <w:r w:rsidRPr="00857CDA">
        <w:rPr>
          <w:lang w:val="ro-RO"/>
        </w:rPr>
        <w:t xml:space="preserve"> </w:t>
      </w:r>
      <w:r w:rsidR="00FE5FC3"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FE5FC3" w:rsidRPr="00857CDA">
        <w:rPr>
          <w:lang w:val="ro-RO"/>
        </w:rPr>
        <w:t>„</w:t>
      </w:r>
      <w:r w:rsidR="00BF5B4C" w:rsidRPr="00857CDA">
        <w:rPr>
          <w:lang w:val="ro-RO"/>
        </w:rPr>
        <w:t>Între</w:t>
      </w:r>
      <w:r w:rsidRPr="00857CDA">
        <w:rPr>
          <w:lang w:val="ro-RO"/>
        </w:rPr>
        <w:t xml:space="preserve"> 1</w:t>
      </w:r>
      <w:r w:rsidR="00BF5B4C" w:rsidRPr="00857CDA">
        <w:rPr>
          <w:lang w:val="ro-RO"/>
        </w:rPr>
        <w:t xml:space="preserve"> ianuarie</w:t>
      </w:r>
      <w:r w:rsidRPr="00857CDA">
        <w:rPr>
          <w:lang w:val="ro-RO"/>
        </w:rPr>
        <w:t xml:space="preserve"> 2015</w:t>
      </w:r>
      <w:r w:rsidR="004C27AD" w:rsidRPr="00857CDA">
        <w:rPr>
          <w:lang w:val="ro-RO"/>
        </w:rPr>
        <w:t xml:space="preserve"> și </w:t>
      </w:r>
      <w:r w:rsidRPr="00857CDA">
        <w:rPr>
          <w:lang w:val="ro-RO"/>
        </w:rPr>
        <w:t>31 d</w:t>
      </w:r>
      <w:r w:rsidR="00BF5B4C" w:rsidRPr="00857CDA">
        <w:rPr>
          <w:lang w:val="ro-RO"/>
        </w:rPr>
        <w:t>e</w:t>
      </w:r>
      <w:r w:rsidRPr="00857CDA">
        <w:rPr>
          <w:lang w:val="ro-RO"/>
        </w:rPr>
        <w:t>cembr</w:t>
      </w:r>
      <w:r w:rsidR="00BF5B4C" w:rsidRPr="00857CDA">
        <w:rPr>
          <w:lang w:val="ro-RO"/>
        </w:rPr>
        <w:t>i</w:t>
      </w:r>
      <w:r w:rsidRPr="00857CDA">
        <w:rPr>
          <w:lang w:val="ro-RO"/>
        </w:rPr>
        <w:t>e 2020</w:t>
      </w:r>
      <w:r w:rsidR="00660131" w:rsidRPr="00857CDA">
        <w:rPr>
          <w:lang w:val="ro-RO"/>
        </w:rPr>
        <w:t>”</w:t>
      </w:r>
      <w:r w:rsidRPr="00857CDA">
        <w:rPr>
          <w:lang w:val="ro-RO"/>
        </w:rPr>
        <w:t>.</w:t>
      </w:r>
    </w:p>
    <w:p w:rsidR="00E114C7" w:rsidRPr="00857CDA" w:rsidRDefault="00E114C7" w:rsidP="00E114C7">
      <w:pPr>
        <w:pStyle w:val="SingleTxtG"/>
        <w:rPr>
          <w:lang w:val="ro-RO"/>
        </w:rPr>
      </w:pPr>
      <w:r w:rsidRPr="00857CDA">
        <w:rPr>
          <w:lang w:val="ro-RO"/>
        </w:rPr>
        <w:t>–</w:t>
      </w:r>
      <w:r w:rsidRPr="00857CDA">
        <w:rPr>
          <w:lang w:val="ro-RO"/>
        </w:rPr>
        <w:tab/>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lang w:val="ro-RO"/>
        </w:rPr>
        <w:t>EN ISO 10297:2014</w:t>
      </w:r>
      <w:r w:rsidR="00660131" w:rsidRPr="00857CDA">
        <w:rPr>
          <w:lang w:val="ro-RO"/>
        </w:rPr>
        <w:t>”</w:t>
      </w:r>
      <w:r w:rsidRPr="00857CDA">
        <w:rPr>
          <w:lang w:val="ro-RO"/>
        </w:rPr>
        <w:t xml:space="preserve">, </w:t>
      </w:r>
      <w:r w:rsidR="000022EF" w:rsidRPr="00857CDA">
        <w:rPr>
          <w:lang w:val="ro-RO"/>
        </w:rPr>
        <w:t>se introduce</w:t>
      </w:r>
      <w:r w:rsidRPr="00857CDA">
        <w:rPr>
          <w:lang w:val="ro-RO"/>
        </w:rPr>
        <w:t xml:space="preserve"> </w:t>
      </w:r>
      <w:r w:rsidR="00BF5B4C" w:rsidRPr="00857CDA">
        <w:rPr>
          <w:lang w:val="ro-RO"/>
        </w:rPr>
        <w:t xml:space="preserve">un </w:t>
      </w:r>
      <w:r w:rsidRPr="00857CDA">
        <w:rPr>
          <w:lang w:val="ro-RO"/>
        </w:rPr>
        <w:t xml:space="preserve">nou </w:t>
      </w:r>
      <w:r w:rsidR="00BF5B4C" w:rsidRPr="00857CDA">
        <w:rPr>
          <w:lang w:val="ro-RO"/>
        </w:rPr>
        <w:t>standard, după cum urmează</w:t>
      </w:r>
      <w:r w:rsidR="00091658" w:rsidRPr="00857CDA">
        <w:rPr>
          <w:lang w:val="ro-RO"/>
        </w:rPr>
        <w:t>:</w:t>
      </w:r>
    </w:p>
    <w:tbl>
      <w:tblPr>
        <w:tblW w:w="74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44"/>
        <w:gridCol w:w="1134"/>
        <w:gridCol w:w="1275"/>
      </w:tblGrid>
      <w:tr w:rsidR="00E114C7" w:rsidRPr="007D305F" w:rsidTr="00725BE1">
        <w:trPr>
          <w:cantSplit/>
        </w:trPr>
        <w:tc>
          <w:tcPr>
            <w:tcW w:w="1531" w:type="dxa"/>
          </w:tcPr>
          <w:p w:rsidR="00E114C7" w:rsidRPr="00857CDA" w:rsidRDefault="00E114C7" w:rsidP="00AC0D7D">
            <w:pPr>
              <w:tabs>
                <w:tab w:val="left" w:pos="1418"/>
              </w:tabs>
              <w:rPr>
                <w:rFonts w:cs="Arial"/>
                <w:lang w:val="ro-RO"/>
              </w:rPr>
            </w:pPr>
            <w:r w:rsidRPr="00857CDA">
              <w:rPr>
                <w:rFonts w:cs="Arial"/>
                <w:lang w:val="ro-RO"/>
              </w:rPr>
              <w:t>EN ISO </w:t>
            </w:r>
            <w:r w:rsidRPr="00857CDA">
              <w:rPr>
                <w:rFonts w:cs="Arial"/>
                <w:bCs/>
                <w:szCs w:val="22"/>
                <w:lang w:val="ro-RO"/>
              </w:rPr>
              <w:t>10297:</w:t>
            </w:r>
            <w:r w:rsidR="00725BE1" w:rsidRPr="00857CDA">
              <w:rPr>
                <w:rFonts w:cs="Arial"/>
                <w:szCs w:val="22"/>
                <w:lang w:val="ro-RO"/>
              </w:rPr>
              <w:t xml:space="preserve"> </w:t>
            </w:r>
            <w:r w:rsidRPr="00857CDA">
              <w:rPr>
                <w:rFonts w:cs="Arial"/>
                <w:szCs w:val="22"/>
                <w:lang w:val="ro-RO"/>
              </w:rPr>
              <w:t>2014+</w:t>
            </w:r>
            <w:r w:rsidR="00AC0D7D" w:rsidRPr="00857CDA">
              <w:rPr>
                <w:rFonts w:cs="Arial"/>
                <w:szCs w:val="22"/>
                <w:lang w:val="ro-RO"/>
              </w:rPr>
              <w:t xml:space="preserve"> </w:t>
            </w:r>
            <w:r w:rsidRPr="00857CDA">
              <w:rPr>
                <w:rFonts w:cs="Arial"/>
                <w:szCs w:val="22"/>
                <w:lang w:val="ro-RO"/>
              </w:rPr>
              <w:t>A1:2017</w:t>
            </w:r>
          </w:p>
        </w:tc>
        <w:tc>
          <w:tcPr>
            <w:tcW w:w="3544" w:type="dxa"/>
            <w:vAlign w:val="center"/>
          </w:tcPr>
          <w:p w:rsidR="00E114C7" w:rsidRPr="00857CDA" w:rsidRDefault="00BF5B4C" w:rsidP="00BF5B4C">
            <w:pPr>
              <w:rPr>
                <w:rFonts w:cs="Arial"/>
                <w:lang w:val="ro-RO"/>
              </w:rPr>
            </w:pPr>
            <w:r w:rsidRPr="00857CDA">
              <w:rPr>
                <w:lang w:val="ro-RO"/>
              </w:rPr>
              <w:t>Butelii transportabile de gaz - Robinete de butelii - Specificații și încercări de tip</w:t>
            </w:r>
          </w:p>
        </w:tc>
        <w:tc>
          <w:tcPr>
            <w:tcW w:w="1134" w:type="dxa"/>
            <w:vAlign w:val="center"/>
          </w:tcPr>
          <w:p w:rsidR="00E114C7" w:rsidRPr="00857CDA" w:rsidRDefault="00E114C7" w:rsidP="007A2A1D">
            <w:pPr>
              <w:rPr>
                <w:rFonts w:cs="Arial"/>
                <w:lang w:val="ro-RO"/>
              </w:rPr>
            </w:pPr>
            <w:r w:rsidRPr="00857CDA">
              <w:rPr>
                <w:rFonts w:cs="Arial"/>
                <w:lang w:val="ro-RO"/>
              </w:rPr>
              <w:t>6.2.3.1</w:t>
            </w:r>
            <w:r w:rsidR="004C27AD" w:rsidRPr="00857CDA">
              <w:rPr>
                <w:rFonts w:cs="Arial"/>
                <w:lang w:val="ro-RO"/>
              </w:rPr>
              <w:t xml:space="preserve"> și </w:t>
            </w:r>
            <w:r w:rsidRPr="00857CDA">
              <w:rPr>
                <w:rFonts w:cs="Arial"/>
                <w:lang w:val="ro-RO"/>
              </w:rPr>
              <w:t>6.2.3.3</w:t>
            </w:r>
          </w:p>
        </w:tc>
        <w:tc>
          <w:tcPr>
            <w:tcW w:w="1275" w:type="dxa"/>
            <w:vAlign w:val="center"/>
          </w:tcPr>
          <w:p w:rsidR="00E114C7" w:rsidRPr="00857CDA" w:rsidRDefault="00B77817" w:rsidP="007A2A1D">
            <w:pPr>
              <w:jc w:val="center"/>
              <w:rPr>
                <w:rFonts w:cs="Arial"/>
                <w:lang w:val="ro-RO"/>
              </w:rPr>
            </w:pPr>
            <w:r w:rsidRPr="00857CDA">
              <w:rPr>
                <w:color w:val="000000"/>
                <w:lang w:val="ro-RO" w:eastAsia="fr-FR"/>
              </w:rPr>
              <w:t>Până la o notificare ulterioară</w:t>
            </w:r>
          </w:p>
        </w:tc>
      </w:tr>
    </w:tbl>
    <w:p w:rsidR="00E114C7" w:rsidRPr="00857CDA" w:rsidRDefault="00E114C7" w:rsidP="008B2D82">
      <w:pPr>
        <w:pStyle w:val="SingleTxtG"/>
        <w:spacing w:before="120"/>
        <w:rPr>
          <w:lang w:val="ro-RO"/>
        </w:rPr>
      </w:pPr>
      <w:r w:rsidRPr="00857CDA">
        <w:rPr>
          <w:lang w:val="ro-RO"/>
        </w:rPr>
        <w:t>–</w:t>
      </w:r>
      <w:r w:rsidRPr="00857CDA">
        <w:rPr>
          <w:lang w:val="ro-RO"/>
        </w:rPr>
        <w:tab/>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lang w:val="ro-RO"/>
        </w:rPr>
        <w:t>EN 1626:2008</w:t>
      </w:r>
      <w:r w:rsidR="00660131" w:rsidRPr="00857CDA">
        <w:rPr>
          <w:lang w:val="ro-RO"/>
        </w:rPr>
        <w:t>”</w:t>
      </w:r>
      <w:r w:rsidRPr="00857CDA">
        <w:rPr>
          <w:lang w:val="ro-RO"/>
        </w:rPr>
        <w:t xml:space="preserve">, </w:t>
      </w:r>
      <w:r w:rsidR="00BF5B4C" w:rsidRPr="00857CDA">
        <w:rPr>
          <w:lang w:val="ro-RO"/>
        </w:rPr>
        <w:t>î</w:t>
      </w:r>
      <w:r w:rsidR="00902C44" w:rsidRPr="00857CDA">
        <w:rPr>
          <w:lang w:val="ro-RO"/>
        </w:rPr>
        <w:t>n</w:t>
      </w:r>
      <w:r w:rsidRPr="00857CDA">
        <w:rPr>
          <w:lang w:val="ro-RO"/>
        </w:rPr>
        <w:t xml:space="preserve"> </w:t>
      </w:r>
      <w:r w:rsidR="00121893" w:rsidRPr="00857CDA">
        <w:rPr>
          <w:lang w:val="ro-RO"/>
        </w:rPr>
        <w:t>coloana</w:t>
      </w:r>
      <w:r w:rsidRPr="00857CDA">
        <w:rPr>
          <w:lang w:val="ro-RO"/>
        </w:rPr>
        <w:t xml:space="preserve"> (2), </w:t>
      </w:r>
      <w:r w:rsidR="00902C44" w:rsidRPr="00857CDA">
        <w:rPr>
          <w:lang w:val="ro-RO"/>
        </w:rPr>
        <w:t>se adaugă</w:t>
      </w:r>
      <w:r w:rsidRPr="00857CDA">
        <w:rPr>
          <w:lang w:val="ro-RO"/>
        </w:rPr>
        <w:t xml:space="preserve"> </w:t>
      </w:r>
      <w:r w:rsidR="00BF5B4C" w:rsidRPr="00857CDA">
        <w:rPr>
          <w:lang w:val="ro-RO"/>
        </w:rPr>
        <w:t>o</w:t>
      </w:r>
      <w:r w:rsidRPr="00857CDA">
        <w:rPr>
          <w:lang w:val="ro-RO"/>
        </w:rPr>
        <w:t xml:space="preserve"> not</w:t>
      </w:r>
      <w:r w:rsidR="00BF5B4C" w:rsidRPr="00857CDA">
        <w:rPr>
          <w:lang w:val="ro-RO"/>
        </w:rPr>
        <w:t>ă, după cum urmează</w:t>
      </w:r>
      <w:r w:rsidR="00091658" w:rsidRPr="00857CDA">
        <w:rPr>
          <w:lang w:val="ro-RO"/>
        </w:rPr>
        <w:t>:</w:t>
      </w:r>
    </w:p>
    <w:p w:rsidR="00E114C7" w:rsidRPr="00857CDA" w:rsidRDefault="00FE5FC3" w:rsidP="00E114C7">
      <w:pPr>
        <w:pStyle w:val="SingleTxtG"/>
        <w:rPr>
          <w:lang w:val="ro-RO"/>
        </w:rPr>
      </w:pPr>
      <w:r w:rsidRPr="00857CDA">
        <w:rPr>
          <w:lang w:val="ro-RO"/>
        </w:rPr>
        <w:t>„</w:t>
      </w:r>
      <w:r w:rsidR="00E114C7" w:rsidRPr="00857CDA">
        <w:rPr>
          <w:b/>
          <w:i/>
          <w:lang w:val="ro-RO"/>
        </w:rPr>
        <w:t>NOT</w:t>
      </w:r>
      <w:r w:rsidRPr="00857CDA">
        <w:rPr>
          <w:b/>
          <w:i/>
          <w:lang w:val="ro-RO"/>
        </w:rPr>
        <w:t>Ă</w:t>
      </w:r>
      <w:r w:rsidR="00E114C7" w:rsidRPr="00857CDA">
        <w:rPr>
          <w:b/>
          <w:i/>
          <w:lang w:val="ro-RO"/>
        </w:rPr>
        <w:t>:</w:t>
      </w:r>
      <w:r w:rsidR="00E114C7" w:rsidRPr="00857CDA">
        <w:rPr>
          <w:i/>
          <w:lang w:val="ro-RO"/>
        </w:rPr>
        <w:tab/>
      </w:r>
      <w:r w:rsidR="00BF5B4C" w:rsidRPr="00857CDA">
        <w:rPr>
          <w:i/>
          <w:lang w:val="ro-RO"/>
        </w:rPr>
        <w:t>Acest standard se aplică, de asemenea,</w:t>
      </w:r>
      <w:r w:rsidR="00E114C7" w:rsidRPr="00857CDA">
        <w:rPr>
          <w:i/>
          <w:lang w:val="ro-RO"/>
        </w:rPr>
        <w:t xml:space="preserve"> robinet</w:t>
      </w:r>
      <w:r w:rsidR="00BF5B4C" w:rsidRPr="00857CDA">
        <w:rPr>
          <w:i/>
          <w:lang w:val="ro-RO"/>
        </w:rPr>
        <w:t>elor</w:t>
      </w:r>
      <w:r w:rsidR="00E114C7" w:rsidRPr="00857CDA">
        <w:rPr>
          <w:i/>
          <w:lang w:val="ro-RO"/>
        </w:rPr>
        <w:t xml:space="preserve"> </w:t>
      </w:r>
      <w:r w:rsidR="00991390" w:rsidRPr="00857CDA">
        <w:rPr>
          <w:i/>
          <w:lang w:val="ro-RO"/>
        </w:rPr>
        <w:t>pentru</w:t>
      </w:r>
      <w:r w:rsidR="00E114C7" w:rsidRPr="00857CDA">
        <w:rPr>
          <w:i/>
          <w:lang w:val="ro-RO"/>
        </w:rPr>
        <w:t xml:space="preserve"> transport</w:t>
      </w:r>
      <w:r w:rsidR="00BF5B4C" w:rsidRPr="00857CDA">
        <w:rPr>
          <w:i/>
          <w:lang w:val="ro-RO"/>
        </w:rPr>
        <w:t>ul</w:t>
      </w:r>
      <w:r w:rsidR="00E114C7" w:rsidRPr="00857CDA">
        <w:rPr>
          <w:i/>
          <w:lang w:val="ro-RO"/>
        </w:rPr>
        <w:t xml:space="preserve"> </w:t>
      </w:r>
      <w:r w:rsidR="002B679C" w:rsidRPr="00857CDA">
        <w:rPr>
          <w:i/>
          <w:lang w:val="ro-RO"/>
        </w:rPr>
        <w:t>Nr. ONU</w:t>
      </w:r>
      <w:r w:rsidR="00E114C7" w:rsidRPr="00857CDA">
        <w:rPr>
          <w:i/>
          <w:lang w:val="ro-RO"/>
        </w:rPr>
        <w:t xml:space="preserve"> 1972 (M</w:t>
      </w:r>
      <w:r w:rsidR="00BE42CE">
        <w:rPr>
          <w:i/>
          <w:lang w:val="ro-RO"/>
        </w:rPr>
        <w:t>E</w:t>
      </w:r>
      <w:r w:rsidR="00E114C7" w:rsidRPr="00857CDA">
        <w:rPr>
          <w:i/>
          <w:lang w:val="ro-RO"/>
        </w:rPr>
        <w:t>TAN LI</w:t>
      </w:r>
      <w:r w:rsidR="00BF5B4C" w:rsidRPr="00857CDA">
        <w:rPr>
          <w:i/>
          <w:lang w:val="ro-RO"/>
        </w:rPr>
        <w:t>CHID</w:t>
      </w:r>
      <w:r w:rsidR="00E114C7" w:rsidRPr="00857CDA">
        <w:rPr>
          <w:i/>
          <w:lang w:val="ro-RO"/>
        </w:rPr>
        <w:t xml:space="preserve"> R</w:t>
      </w:r>
      <w:r w:rsidR="00BF5B4C" w:rsidRPr="00857CDA">
        <w:rPr>
          <w:i/>
          <w:lang w:val="ro-RO"/>
        </w:rPr>
        <w:t>E</w:t>
      </w:r>
      <w:r w:rsidR="00E114C7" w:rsidRPr="00857CDA">
        <w:rPr>
          <w:i/>
          <w:lang w:val="ro-RO"/>
        </w:rPr>
        <w:t>FRIG</w:t>
      </w:r>
      <w:r w:rsidR="00BF5B4C" w:rsidRPr="00857CDA">
        <w:rPr>
          <w:i/>
          <w:lang w:val="ro-RO"/>
        </w:rPr>
        <w:t>E</w:t>
      </w:r>
      <w:r w:rsidR="00E114C7" w:rsidRPr="00857CDA">
        <w:rPr>
          <w:i/>
          <w:lang w:val="ro-RO"/>
        </w:rPr>
        <w:t>R</w:t>
      </w:r>
      <w:r w:rsidR="00BF5B4C" w:rsidRPr="00857CDA">
        <w:rPr>
          <w:i/>
          <w:lang w:val="ro-RO"/>
        </w:rPr>
        <w:t>AT</w:t>
      </w:r>
      <w:r w:rsidR="00E114C7" w:rsidRPr="00857CDA">
        <w:rPr>
          <w:i/>
          <w:lang w:val="ro-RO"/>
        </w:rPr>
        <w:t xml:space="preserve"> </w:t>
      </w:r>
      <w:r w:rsidR="00BF5B4C" w:rsidRPr="00857CDA">
        <w:rPr>
          <w:i/>
          <w:lang w:val="ro-RO"/>
        </w:rPr>
        <w:t>sa</w:t>
      </w:r>
      <w:r w:rsidR="00E114C7" w:rsidRPr="00857CDA">
        <w:rPr>
          <w:i/>
          <w:lang w:val="ro-RO"/>
        </w:rPr>
        <w:t>u GAZ NATUR</w:t>
      </w:r>
      <w:r w:rsidR="00BF5B4C" w:rsidRPr="00857CDA">
        <w:rPr>
          <w:i/>
          <w:lang w:val="ro-RO"/>
        </w:rPr>
        <w:t>A</w:t>
      </w:r>
      <w:r w:rsidR="00E114C7" w:rsidRPr="00857CDA">
        <w:rPr>
          <w:i/>
          <w:lang w:val="ro-RO"/>
        </w:rPr>
        <w:t>L LI</w:t>
      </w:r>
      <w:r w:rsidR="00BF5B4C" w:rsidRPr="00857CDA">
        <w:rPr>
          <w:i/>
          <w:lang w:val="ro-RO"/>
        </w:rPr>
        <w:t>CHID</w:t>
      </w:r>
      <w:r w:rsidR="00E114C7" w:rsidRPr="00857CDA">
        <w:rPr>
          <w:i/>
          <w:lang w:val="ro-RO"/>
        </w:rPr>
        <w:t xml:space="preserve"> R</w:t>
      </w:r>
      <w:r w:rsidR="00BF5B4C" w:rsidRPr="00857CDA">
        <w:rPr>
          <w:i/>
          <w:lang w:val="ro-RO"/>
        </w:rPr>
        <w:t>E</w:t>
      </w:r>
      <w:r w:rsidR="00E114C7" w:rsidRPr="00857CDA">
        <w:rPr>
          <w:i/>
          <w:lang w:val="ro-RO"/>
        </w:rPr>
        <w:t>FRIG</w:t>
      </w:r>
      <w:r w:rsidR="00BF5B4C" w:rsidRPr="00857CDA">
        <w:rPr>
          <w:i/>
          <w:lang w:val="ro-RO"/>
        </w:rPr>
        <w:t>E</w:t>
      </w:r>
      <w:r w:rsidR="00E114C7" w:rsidRPr="00857CDA">
        <w:rPr>
          <w:i/>
          <w:lang w:val="ro-RO"/>
        </w:rPr>
        <w:t>R</w:t>
      </w:r>
      <w:r w:rsidR="00BF5B4C" w:rsidRPr="00857CDA">
        <w:rPr>
          <w:i/>
          <w:lang w:val="ro-RO"/>
        </w:rPr>
        <w:t>AT</w:t>
      </w:r>
      <w:r w:rsidR="00E114C7" w:rsidRPr="00857CDA">
        <w:rPr>
          <w:i/>
          <w:lang w:val="ro-RO"/>
        </w:rPr>
        <w:t>).</w:t>
      </w:r>
      <w:r w:rsidR="00660131" w:rsidRPr="00857CDA">
        <w:rPr>
          <w:i/>
          <w:lang w:val="ro-RO"/>
        </w:rPr>
        <w:t>”</w:t>
      </w:r>
      <w:r w:rsidR="00E114C7" w:rsidRPr="00857CDA">
        <w:rPr>
          <w:lang w:val="ro-RO"/>
        </w:rPr>
        <w:t>.</w:t>
      </w:r>
    </w:p>
    <w:p w:rsidR="000B1500" w:rsidRPr="00857CDA" w:rsidRDefault="000B1500" w:rsidP="00AC0D7D">
      <w:pPr>
        <w:pStyle w:val="SingleTxtG"/>
        <w:rPr>
          <w:lang w:val="ro-RO"/>
        </w:rPr>
      </w:pPr>
      <w:r w:rsidRPr="00857CDA">
        <w:rPr>
          <w:bCs/>
          <w:lang w:val="ro-RO"/>
        </w:rPr>
        <w:t>6.2.4.1</w:t>
      </w:r>
      <w:r w:rsidRPr="00857CDA">
        <w:rPr>
          <w:b/>
          <w:lang w:val="ro-RO"/>
        </w:rPr>
        <w:tab/>
      </w:r>
      <w:r w:rsidR="00902C44" w:rsidRPr="00857CDA">
        <w:rPr>
          <w:rFonts w:cs="Arial"/>
          <w:szCs w:val="22"/>
          <w:lang w:val="ro-RO"/>
        </w:rPr>
        <w:t xml:space="preserve">În </w:t>
      </w:r>
      <w:r w:rsidR="00463BBB" w:rsidRPr="00857CDA">
        <w:rPr>
          <w:lang w:val="ro-RO"/>
        </w:rPr>
        <w:t>tabel</w:t>
      </w:r>
      <w:r w:rsidRPr="00857CDA">
        <w:rPr>
          <w:lang w:val="ro-RO"/>
        </w:rPr>
        <w:t>, su</w:t>
      </w:r>
      <w:r w:rsidR="00AC0D7D" w:rsidRPr="00857CDA">
        <w:rPr>
          <w:lang w:val="ro-RO"/>
        </w:rPr>
        <w:t>b</w:t>
      </w:r>
      <w:r w:rsidRPr="00857CDA">
        <w:rPr>
          <w:lang w:val="ro-RO"/>
        </w:rPr>
        <w:t xml:space="preserve"> </w:t>
      </w:r>
      <w:r w:rsidR="00FE5FC3" w:rsidRPr="00857CDA">
        <w:rPr>
          <w:lang w:val="ro-RO"/>
        </w:rPr>
        <w:t>„</w:t>
      </w:r>
      <w:r w:rsidR="00991390" w:rsidRPr="00857CDA">
        <w:rPr>
          <w:lang w:val="ro-RO"/>
        </w:rPr>
        <w:t>Pentru</w:t>
      </w:r>
      <w:r w:rsidRPr="00857CDA">
        <w:rPr>
          <w:lang w:val="ro-RO"/>
        </w:rPr>
        <w:t xml:space="preserve"> </w:t>
      </w:r>
      <w:r w:rsidR="00AC0D7D" w:rsidRPr="00857CDA">
        <w:rPr>
          <w:lang w:val="ro-RO"/>
        </w:rPr>
        <w:t>închizătoare</w:t>
      </w:r>
      <w:r w:rsidR="00660131" w:rsidRPr="00857CDA">
        <w:rPr>
          <w:lang w:val="ro-RO"/>
        </w:rPr>
        <w:t>”</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rFonts w:eastAsia="MS Mincho"/>
          <w:lang w:val="ro-RO" w:eastAsia="de-DE"/>
        </w:rPr>
        <w:t xml:space="preserve">EN ISO </w:t>
      </w:r>
      <w:r w:rsidR="00AC0D7D" w:rsidRPr="00857CDA">
        <w:rPr>
          <w:rFonts w:eastAsia="MS Mincho"/>
          <w:lang w:val="ro-RO" w:eastAsia="de-DE"/>
        </w:rPr>
        <w:t>1</w:t>
      </w:r>
      <w:r w:rsidRPr="00857CDA">
        <w:rPr>
          <w:rFonts w:eastAsia="MS Mincho"/>
          <w:lang w:val="ro-RO" w:eastAsia="de-DE"/>
        </w:rPr>
        <w:t>7871:2015</w:t>
      </w:r>
      <w:r w:rsidR="00660131" w:rsidRPr="00857CDA">
        <w:rPr>
          <w:rFonts w:eastAsia="MS Mincho"/>
          <w:lang w:val="ro-RO" w:eastAsia="de-DE"/>
        </w:rPr>
        <w:t>”</w:t>
      </w:r>
      <w:r w:rsidRPr="00857CDA">
        <w:rPr>
          <w:lang w:val="ro-RO"/>
        </w:rPr>
        <w:t xml:space="preserve">, </w:t>
      </w:r>
      <w:r w:rsidR="00AC0D7D" w:rsidRPr="00857CDA">
        <w:rPr>
          <w:lang w:val="ro-RO"/>
        </w:rPr>
        <w:t>î</w:t>
      </w:r>
      <w:r w:rsidR="00902C44" w:rsidRPr="00857CDA">
        <w:rPr>
          <w:lang w:val="ro-RO"/>
        </w:rPr>
        <w:t>n</w:t>
      </w:r>
      <w:r w:rsidRPr="00857CDA">
        <w:rPr>
          <w:lang w:val="ro-RO"/>
        </w:rPr>
        <w:t xml:space="preserve"> </w:t>
      </w:r>
      <w:r w:rsidR="00121893" w:rsidRPr="00857CDA">
        <w:rPr>
          <w:lang w:val="ro-RO"/>
        </w:rPr>
        <w:t>coloana</w:t>
      </w:r>
      <w:r w:rsidRPr="00857CDA">
        <w:rPr>
          <w:lang w:val="ro-RO"/>
        </w:rPr>
        <w:t xml:space="preserve"> (4), </w:t>
      </w:r>
      <w:r w:rsidR="00AC0D7D" w:rsidRPr="00857CDA">
        <w:rPr>
          <w:lang w:val="ro-RO"/>
        </w:rPr>
        <w:t>s</w:t>
      </w:r>
      <w:r w:rsidR="00902C44" w:rsidRPr="00857CDA">
        <w:rPr>
          <w:lang w:val="ro-RO"/>
        </w:rPr>
        <w:t>e modifică</w:t>
      </w:r>
      <w:r w:rsidRPr="00857CDA">
        <w:rPr>
          <w:lang w:val="ro-RO"/>
        </w:rPr>
        <w:t xml:space="preserve"> </w:t>
      </w:r>
      <w:r w:rsidR="00FE5FC3"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FE5FC3" w:rsidRPr="00857CDA">
        <w:rPr>
          <w:lang w:val="ro-RO"/>
        </w:rPr>
        <w:t>„</w:t>
      </w:r>
      <w:r w:rsidR="00AC0D7D" w:rsidRPr="00857CDA">
        <w:rPr>
          <w:lang w:val="ro-RO"/>
        </w:rPr>
        <w:t>Între</w:t>
      </w:r>
      <w:r w:rsidRPr="00857CDA">
        <w:rPr>
          <w:lang w:val="ro-RO"/>
        </w:rPr>
        <w:t xml:space="preserve"> 1</w:t>
      </w:r>
      <w:r w:rsidR="00AC0D7D" w:rsidRPr="00857CDA">
        <w:rPr>
          <w:lang w:val="ro-RO"/>
        </w:rPr>
        <w:t xml:space="preserve"> ianuarie</w:t>
      </w:r>
      <w:r w:rsidRPr="00857CDA">
        <w:rPr>
          <w:lang w:val="ro-RO"/>
        </w:rPr>
        <w:t xml:space="preserve"> 2017</w:t>
      </w:r>
      <w:r w:rsidR="004C27AD" w:rsidRPr="00857CDA">
        <w:rPr>
          <w:lang w:val="ro-RO"/>
        </w:rPr>
        <w:t xml:space="preserve"> și </w:t>
      </w:r>
      <w:r w:rsidRPr="00857CDA">
        <w:rPr>
          <w:lang w:val="ro-RO"/>
        </w:rPr>
        <w:t>31 d</w:t>
      </w:r>
      <w:r w:rsidR="00AC0D7D" w:rsidRPr="00857CDA">
        <w:rPr>
          <w:lang w:val="ro-RO"/>
        </w:rPr>
        <w:t>e</w:t>
      </w:r>
      <w:r w:rsidRPr="00857CDA">
        <w:rPr>
          <w:lang w:val="ro-RO"/>
        </w:rPr>
        <w:t>cembr</w:t>
      </w:r>
      <w:r w:rsidR="00AC0D7D" w:rsidRPr="00857CDA">
        <w:rPr>
          <w:lang w:val="ro-RO"/>
        </w:rPr>
        <w:t>i</w:t>
      </w:r>
      <w:r w:rsidRPr="00857CDA">
        <w:rPr>
          <w:lang w:val="ro-RO"/>
        </w:rPr>
        <w:t>e 2020</w:t>
      </w:r>
      <w:r w:rsidR="00660131" w:rsidRPr="00857CDA">
        <w:rPr>
          <w:lang w:val="ro-RO"/>
        </w:rPr>
        <w:t>”</w:t>
      </w:r>
      <w:r w:rsidRPr="00857CDA">
        <w:rPr>
          <w:lang w:val="ro-RO"/>
        </w:rPr>
        <w:t xml:space="preserve">. </w:t>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FE5FC3" w:rsidRPr="00857CDA">
        <w:rPr>
          <w:lang w:val="ro-RO"/>
        </w:rPr>
        <w:t>„</w:t>
      </w:r>
      <w:r w:rsidRPr="00857CDA">
        <w:rPr>
          <w:rFonts w:eastAsia="MS Mincho"/>
          <w:lang w:val="ro-RO" w:eastAsia="de-DE"/>
        </w:rPr>
        <w:t>EN ISO 17871:2015</w:t>
      </w:r>
      <w:r w:rsidR="00660131" w:rsidRPr="00857CDA">
        <w:rPr>
          <w:rFonts w:eastAsia="MS Mincho"/>
          <w:lang w:val="ro-RO" w:eastAsia="de-DE"/>
        </w:rPr>
        <w:t>”</w:t>
      </w:r>
      <w:r w:rsidRPr="00857CDA">
        <w:rPr>
          <w:lang w:val="ro-RO"/>
        </w:rPr>
        <w:t xml:space="preserve">, </w:t>
      </w:r>
      <w:r w:rsidR="00902C44" w:rsidRPr="00857CDA">
        <w:rPr>
          <w:lang w:val="ro-RO"/>
        </w:rPr>
        <w:t>se</w:t>
      </w:r>
      <w:r w:rsidR="00AC0D7D" w:rsidRPr="00857CDA">
        <w:rPr>
          <w:lang w:val="ro-RO"/>
        </w:rPr>
        <w:t xml:space="preserve"> introduce un nou standard, după cum urmează:</w:t>
      </w:r>
    </w:p>
    <w:tbl>
      <w:tblPr>
        <w:tblW w:w="776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44"/>
        <w:gridCol w:w="1134"/>
        <w:gridCol w:w="1275"/>
        <w:gridCol w:w="284"/>
      </w:tblGrid>
      <w:tr w:rsidR="000B1500" w:rsidRPr="007D305F" w:rsidTr="00725BE1">
        <w:trPr>
          <w:cantSplit/>
        </w:trPr>
        <w:tc>
          <w:tcPr>
            <w:tcW w:w="1531" w:type="dxa"/>
          </w:tcPr>
          <w:p w:rsidR="000B1500" w:rsidRPr="00857CDA" w:rsidRDefault="000B1500" w:rsidP="000B1500">
            <w:pPr>
              <w:tabs>
                <w:tab w:val="left" w:pos="1418"/>
              </w:tabs>
              <w:rPr>
                <w:lang w:val="ro-RO"/>
              </w:rPr>
            </w:pPr>
            <w:r w:rsidRPr="00857CDA">
              <w:rPr>
                <w:lang w:val="ro-RO"/>
              </w:rPr>
              <w:t>EN ISO 17871:2015 + A1:2018</w:t>
            </w:r>
          </w:p>
        </w:tc>
        <w:tc>
          <w:tcPr>
            <w:tcW w:w="3544" w:type="dxa"/>
            <w:vAlign w:val="center"/>
          </w:tcPr>
          <w:p w:rsidR="000B1500" w:rsidRPr="00857CDA" w:rsidRDefault="00AC0D7D" w:rsidP="00140003">
            <w:pPr>
              <w:rPr>
                <w:bCs/>
                <w:lang w:val="ro-RO"/>
              </w:rPr>
            </w:pPr>
            <w:r w:rsidRPr="00857CDA">
              <w:rPr>
                <w:bCs/>
                <w:lang w:val="ro-RO"/>
              </w:rPr>
              <w:t>Butelii de gaz – Robinete de butelii cu deschidere rapidă – Specificaţii şi încercări de tip</w:t>
            </w:r>
          </w:p>
        </w:tc>
        <w:tc>
          <w:tcPr>
            <w:tcW w:w="1134" w:type="dxa"/>
            <w:vAlign w:val="center"/>
          </w:tcPr>
          <w:p w:rsidR="000B1500" w:rsidRPr="00857CDA" w:rsidRDefault="000B1500" w:rsidP="000B1500">
            <w:pPr>
              <w:rPr>
                <w:lang w:val="ro-RO"/>
              </w:rPr>
            </w:pPr>
            <w:r w:rsidRPr="00857CDA">
              <w:rPr>
                <w:lang w:val="ro-RO"/>
              </w:rPr>
              <w:t>6.2.3.1, 6.2.3.3</w:t>
            </w:r>
            <w:r w:rsidR="004C27AD" w:rsidRPr="00857CDA">
              <w:rPr>
                <w:lang w:val="ro-RO"/>
              </w:rPr>
              <w:t xml:space="preserve"> și </w:t>
            </w:r>
            <w:r w:rsidRPr="00857CDA">
              <w:rPr>
                <w:lang w:val="ro-RO"/>
              </w:rPr>
              <w:t>6.2.3.4</w:t>
            </w:r>
          </w:p>
        </w:tc>
        <w:tc>
          <w:tcPr>
            <w:tcW w:w="1275" w:type="dxa"/>
            <w:vAlign w:val="center"/>
          </w:tcPr>
          <w:p w:rsidR="000B1500" w:rsidRPr="00857CDA" w:rsidRDefault="00B77817" w:rsidP="000B1500">
            <w:pPr>
              <w:jc w:val="center"/>
              <w:rPr>
                <w:lang w:val="ro-RO"/>
              </w:rPr>
            </w:pPr>
            <w:r w:rsidRPr="00857CDA">
              <w:rPr>
                <w:color w:val="000000"/>
                <w:lang w:val="ro-RO" w:eastAsia="fr-FR"/>
              </w:rPr>
              <w:t>Până la o notificare ulterioară</w:t>
            </w:r>
          </w:p>
        </w:tc>
        <w:tc>
          <w:tcPr>
            <w:tcW w:w="284" w:type="dxa"/>
          </w:tcPr>
          <w:p w:rsidR="000B1500" w:rsidRPr="00857CDA" w:rsidRDefault="000B1500" w:rsidP="000B1500">
            <w:pPr>
              <w:tabs>
                <w:tab w:val="left" w:pos="1418"/>
              </w:tabs>
              <w:rPr>
                <w:lang w:val="ro-RO"/>
              </w:rPr>
            </w:pPr>
          </w:p>
        </w:tc>
      </w:tr>
    </w:tbl>
    <w:p w:rsidR="000B1500" w:rsidRPr="00857CDA" w:rsidRDefault="00A20C06" w:rsidP="006762D1">
      <w:pPr>
        <w:pStyle w:val="SingleTxtG"/>
        <w:tabs>
          <w:tab w:val="left" w:pos="2268"/>
        </w:tabs>
        <w:spacing w:before="120"/>
        <w:rPr>
          <w:lang w:val="ro-RO"/>
        </w:rPr>
      </w:pPr>
      <w:r w:rsidRPr="00857CDA">
        <w:rPr>
          <w:iCs/>
          <w:lang w:val="ro-RO"/>
        </w:rPr>
        <w:t>6.2.4.1</w:t>
      </w:r>
      <w:r w:rsidR="000B1500" w:rsidRPr="00857CDA">
        <w:rPr>
          <w:iCs/>
          <w:lang w:val="ro-RO"/>
        </w:rPr>
        <w:tab/>
      </w:r>
      <w:r w:rsidR="00902C44" w:rsidRPr="00857CDA">
        <w:rPr>
          <w:iCs/>
          <w:lang w:val="ro-RO"/>
        </w:rPr>
        <w:t xml:space="preserve">În </w:t>
      </w:r>
      <w:r w:rsidR="00463BBB" w:rsidRPr="00857CDA">
        <w:rPr>
          <w:iCs/>
          <w:lang w:val="ro-RO"/>
        </w:rPr>
        <w:t>tabelul</w:t>
      </w:r>
      <w:r w:rsidR="000B1500" w:rsidRPr="00857CDA">
        <w:rPr>
          <w:iCs/>
          <w:lang w:val="ro-RO"/>
        </w:rPr>
        <w:t xml:space="preserve">, </w:t>
      </w:r>
      <w:r w:rsidR="000B1500" w:rsidRPr="00857CDA">
        <w:rPr>
          <w:lang w:val="ro-RO"/>
        </w:rPr>
        <w:t>su</w:t>
      </w:r>
      <w:r w:rsidR="00AC0D7D" w:rsidRPr="00857CDA">
        <w:rPr>
          <w:lang w:val="ro-RO"/>
        </w:rPr>
        <w:t>b</w:t>
      </w:r>
      <w:r w:rsidR="000B1500" w:rsidRPr="00857CDA">
        <w:rPr>
          <w:lang w:val="ro-RO"/>
        </w:rPr>
        <w:t xml:space="preserve"> </w:t>
      </w:r>
      <w:r w:rsidR="00FE5FC3" w:rsidRPr="00857CDA">
        <w:rPr>
          <w:lang w:val="ro-RO"/>
        </w:rPr>
        <w:t>„</w:t>
      </w:r>
      <w:r w:rsidR="00991390" w:rsidRPr="00857CDA">
        <w:rPr>
          <w:lang w:val="ro-RO"/>
        </w:rPr>
        <w:t>Pentru</w:t>
      </w:r>
      <w:r w:rsidR="000B1500" w:rsidRPr="00857CDA">
        <w:rPr>
          <w:lang w:val="ro-RO"/>
        </w:rPr>
        <w:t xml:space="preserve"> </w:t>
      </w:r>
      <w:r w:rsidR="00AC0D7D" w:rsidRPr="00857CDA">
        <w:rPr>
          <w:lang w:val="ro-RO"/>
        </w:rPr>
        <w:t>închizătoare</w:t>
      </w:r>
      <w:r w:rsidR="00660131" w:rsidRPr="00857CDA">
        <w:rPr>
          <w:lang w:val="ro-RO"/>
        </w:rPr>
        <w:t>”</w:t>
      </w:r>
      <w:r w:rsidR="000B1500" w:rsidRPr="00857CDA">
        <w:rPr>
          <w:lang w:val="ro-RO"/>
        </w:rPr>
        <w:t xml:space="preserve">, </w:t>
      </w:r>
      <w:r w:rsidR="00AC0D7D" w:rsidRPr="00857CDA">
        <w:rPr>
          <w:lang w:val="ro-RO"/>
        </w:rPr>
        <w:t xml:space="preserve">la sfârșit </w:t>
      </w:r>
      <w:r w:rsidR="00902C44" w:rsidRPr="00857CDA">
        <w:rPr>
          <w:lang w:val="ro-RO"/>
        </w:rPr>
        <w:t xml:space="preserve">se </w:t>
      </w:r>
      <w:r w:rsidR="00AC0D7D" w:rsidRPr="00857CDA">
        <w:rPr>
          <w:lang w:val="ro-RO"/>
        </w:rPr>
        <w:t>introduce un nou standard, după cum urmează</w:t>
      </w:r>
      <w:r w:rsidR="00091658" w:rsidRPr="00857CDA">
        <w:rPr>
          <w:lang w:val="ro-RO"/>
        </w:rPr>
        <w:t>:</w:t>
      </w:r>
    </w:p>
    <w:tbl>
      <w:tblPr>
        <w:tblW w:w="785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44"/>
        <w:gridCol w:w="1134"/>
        <w:gridCol w:w="1275"/>
        <w:gridCol w:w="366"/>
      </w:tblGrid>
      <w:tr w:rsidR="000B1500" w:rsidRPr="007D305F" w:rsidTr="00725BE1">
        <w:trPr>
          <w:cantSplit/>
        </w:trPr>
        <w:tc>
          <w:tcPr>
            <w:tcW w:w="1531" w:type="dxa"/>
          </w:tcPr>
          <w:p w:rsidR="000B1500" w:rsidRPr="00857CDA" w:rsidRDefault="000B1500" w:rsidP="000B1500">
            <w:pPr>
              <w:tabs>
                <w:tab w:val="left" w:pos="1418"/>
              </w:tabs>
              <w:rPr>
                <w:lang w:val="ro-RO"/>
              </w:rPr>
            </w:pPr>
            <w:r w:rsidRPr="00857CDA">
              <w:rPr>
                <w:bCs/>
                <w:lang w:val="ro-RO"/>
              </w:rPr>
              <w:t>EN ISO 17879:2017</w:t>
            </w:r>
          </w:p>
        </w:tc>
        <w:tc>
          <w:tcPr>
            <w:tcW w:w="3544" w:type="dxa"/>
            <w:vAlign w:val="center"/>
          </w:tcPr>
          <w:p w:rsidR="000B1500" w:rsidRPr="00857CDA" w:rsidRDefault="00AC0D7D" w:rsidP="00AC0D7D">
            <w:pPr>
              <w:rPr>
                <w:lang w:val="ro-RO"/>
              </w:rPr>
            </w:pPr>
            <w:r w:rsidRPr="00857CDA">
              <w:rPr>
                <w:bCs/>
                <w:lang w:val="ro-RO"/>
              </w:rPr>
              <w:t>Butelii pentru gaz - Supape cu auto-închidere pentru butelii - Specificaţii şi încercări de tip</w:t>
            </w:r>
          </w:p>
        </w:tc>
        <w:tc>
          <w:tcPr>
            <w:tcW w:w="1134" w:type="dxa"/>
            <w:vAlign w:val="center"/>
          </w:tcPr>
          <w:p w:rsidR="000B1500" w:rsidRPr="00857CDA" w:rsidRDefault="000B1500" w:rsidP="000B1500">
            <w:pPr>
              <w:rPr>
                <w:lang w:val="ro-RO"/>
              </w:rPr>
            </w:pPr>
            <w:r w:rsidRPr="00857CDA">
              <w:rPr>
                <w:bCs/>
                <w:lang w:val="ro-RO"/>
              </w:rPr>
              <w:t>6.2.3.1</w:t>
            </w:r>
            <w:r w:rsidR="004C27AD" w:rsidRPr="00857CDA">
              <w:rPr>
                <w:bCs/>
                <w:lang w:val="ro-RO"/>
              </w:rPr>
              <w:t xml:space="preserve"> și </w:t>
            </w:r>
            <w:r w:rsidRPr="00857CDA">
              <w:rPr>
                <w:bCs/>
                <w:lang w:val="ro-RO"/>
              </w:rPr>
              <w:t>6.2.3.4</w:t>
            </w:r>
          </w:p>
        </w:tc>
        <w:tc>
          <w:tcPr>
            <w:tcW w:w="1275" w:type="dxa"/>
            <w:vAlign w:val="center"/>
          </w:tcPr>
          <w:p w:rsidR="000B1500" w:rsidRPr="00857CDA" w:rsidRDefault="00B77817" w:rsidP="000B1500">
            <w:pPr>
              <w:jc w:val="center"/>
              <w:rPr>
                <w:lang w:val="ro-RO"/>
              </w:rPr>
            </w:pPr>
            <w:r w:rsidRPr="00857CDA">
              <w:rPr>
                <w:color w:val="000000"/>
                <w:lang w:val="ro-RO" w:eastAsia="fr-FR"/>
              </w:rPr>
              <w:t>Până la o notificare ulterioară</w:t>
            </w:r>
          </w:p>
        </w:tc>
        <w:tc>
          <w:tcPr>
            <w:tcW w:w="366" w:type="dxa"/>
          </w:tcPr>
          <w:p w:rsidR="000B1500" w:rsidRPr="00857CDA" w:rsidRDefault="000B1500" w:rsidP="000B1500">
            <w:pPr>
              <w:tabs>
                <w:tab w:val="left" w:pos="1418"/>
              </w:tabs>
              <w:rPr>
                <w:lang w:val="ro-RO"/>
              </w:rPr>
            </w:pPr>
          </w:p>
        </w:tc>
      </w:tr>
    </w:tbl>
    <w:p w:rsidR="000B1500" w:rsidRPr="00857CDA" w:rsidRDefault="000B1500" w:rsidP="006762D1">
      <w:pPr>
        <w:pStyle w:val="SingleTxtG"/>
        <w:tabs>
          <w:tab w:val="left" w:pos="2268"/>
        </w:tabs>
        <w:spacing w:before="120"/>
        <w:rPr>
          <w:lang w:val="ro-RO"/>
        </w:rPr>
      </w:pPr>
      <w:r w:rsidRPr="00857CDA">
        <w:rPr>
          <w:lang w:val="ro-RO"/>
        </w:rPr>
        <w:t>6.2.4.2</w:t>
      </w:r>
      <w:r w:rsidRPr="00857CDA">
        <w:rPr>
          <w:lang w:val="ro-RO"/>
        </w:rPr>
        <w:tab/>
      </w:r>
      <w:r w:rsidR="00902C44" w:rsidRPr="00857CDA">
        <w:rPr>
          <w:lang w:val="ro-RO"/>
        </w:rPr>
        <w:t xml:space="preserve">În </w:t>
      </w:r>
      <w:r w:rsidR="00463BBB" w:rsidRPr="00857CDA">
        <w:rPr>
          <w:lang w:val="ro-RO"/>
        </w:rPr>
        <w:t>tabel</w:t>
      </w:r>
      <w:r w:rsidRPr="00857CDA">
        <w:rPr>
          <w:lang w:val="ro-RO"/>
        </w:rPr>
        <w:t xml:space="preserve">, </w:t>
      </w:r>
      <w:r w:rsidR="00AC0D7D" w:rsidRPr="00857CDA">
        <w:rPr>
          <w:lang w:val="ro-RO"/>
        </w:rPr>
        <w:t>s</w:t>
      </w:r>
      <w:r w:rsidR="00902C44" w:rsidRPr="00857CDA">
        <w:rPr>
          <w:lang w:val="ro-RO"/>
        </w:rPr>
        <w:t>e șterg</w:t>
      </w:r>
      <w:r w:rsidR="00AC0D7D" w:rsidRPr="00857CDA">
        <w:rPr>
          <w:lang w:val="ro-RO"/>
        </w:rPr>
        <w:t xml:space="preserve"> rândurile</w:t>
      </w:r>
      <w:r w:rsidRPr="00857CDA">
        <w:rPr>
          <w:lang w:val="ro-RO"/>
        </w:rPr>
        <w:t xml:space="preserve"> </w:t>
      </w:r>
      <w:r w:rsidR="00991390" w:rsidRPr="00857CDA">
        <w:rPr>
          <w:lang w:val="ro-RO"/>
        </w:rPr>
        <w:t>pentru</w:t>
      </w:r>
      <w:r w:rsidRPr="00857CDA">
        <w:rPr>
          <w:lang w:val="ro-RO"/>
        </w:rPr>
        <w:t xml:space="preserve"> </w:t>
      </w:r>
      <w:r w:rsidR="00FE5FC3" w:rsidRPr="00857CDA">
        <w:rPr>
          <w:lang w:val="ro-RO"/>
        </w:rPr>
        <w:t>„</w:t>
      </w:r>
      <w:r w:rsidRPr="00857CDA">
        <w:rPr>
          <w:lang w:val="ro-RO"/>
        </w:rPr>
        <w:t>EN ISO 11623:2002 (</w:t>
      </w:r>
      <w:r w:rsidR="00AC0D7D" w:rsidRPr="00857CDA">
        <w:rPr>
          <w:lang w:val="ro-RO"/>
        </w:rPr>
        <w:t>cu excepția clauzei 4</w:t>
      </w:r>
      <w:r w:rsidRPr="00857CDA">
        <w:rPr>
          <w:lang w:val="ro-RO"/>
        </w:rPr>
        <w:t>)</w:t>
      </w:r>
      <w:r w:rsidR="00660131" w:rsidRPr="00857CDA">
        <w:rPr>
          <w:lang w:val="ro-RO"/>
        </w:rPr>
        <w:t>”</w:t>
      </w:r>
      <w:r w:rsidRPr="00857CDA">
        <w:rPr>
          <w:lang w:val="ro-RO"/>
        </w:rPr>
        <w:t xml:space="preserve">, </w:t>
      </w:r>
      <w:r w:rsidR="00FE5FC3" w:rsidRPr="00857CDA">
        <w:rPr>
          <w:lang w:val="ro-RO"/>
        </w:rPr>
        <w:t>„</w:t>
      </w:r>
      <w:r w:rsidRPr="00857CDA">
        <w:rPr>
          <w:lang w:val="ro-RO"/>
        </w:rPr>
        <w:t>EN 14912:2005</w:t>
      </w:r>
      <w:r w:rsidR="00660131" w:rsidRPr="00857CDA">
        <w:rPr>
          <w:lang w:val="ro-RO"/>
        </w:rPr>
        <w:t>”</w:t>
      </w:r>
      <w:r w:rsidR="004C27AD" w:rsidRPr="00857CDA">
        <w:rPr>
          <w:lang w:val="ro-RO"/>
        </w:rPr>
        <w:t xml:space="preserve"> și </w:t>
      </w:r>
      <w:r w:rsidR="00FE5FC3" w:rsidRPr="00857CDA">
        <w:rPr>
          <w:lang w:val="ro-RO"/>
        </w:rPr>
        <w:t>„</w:t>
      </w:r>
      <w:r w:rsidRPr="00857CDA">
        <w:rPr>
          <w:lang w:val="ro-RO"/>
        </w:rPr>
        <w:t>EN 1440:2008 +A1:2012 (</w:t>
      </w:r>
      <w:r w:rsidR="00AC0D7D" w:rsidRPr="00857CDA">
        <w:rPr>
          <w:lang w:val="ro-RO"/>
        </w:rPr>
        <w:t>cu excepția anexelor</w:t>
      </w:r>
      <w:r w:rsidRPr="00857CDA">
        <w:rPr>
          <w:lang w:val="ro-RO"/>
        </w:rPr>
        <w:t xml:space="preserve"> G</w:t>
      </w:r>
      <w:r w:rsidR="004C27AD" w:rsidRPr="00857CDA">
        <w:rPr>
          <w:lang w:val="ro-RO"/>
        </w:rPr>
        <w:t xml:space="preserve"> și </w:t>
      </w:r>
      <w:r w:rsidRPr="00857CDA">
        <w:rPr>
          <w:lang w:val="ro-RO"/>
        </w:rPr>
        <w:t>H)</w:t>
      </w:r>
      <w:r w:rsidR="00660131" w:rsidRPr="00857CDA">
        <w:rPr>
          <w:lang w:val="ro-RO"/>
        </w:rPr>
        <w:t>”</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1440:2016 (</w:t>
      </w:r>
      <w:r w:rsidR="00AC0D7D" w:rsidRPr="00857CDA">
        <w:rPr>
          <w:lang w:val="ro-RO"/>
        </w:rPr>
        <w:t>cu excepția</w:t>
      </w:r>
      <w:r w:rsidRPr="00857CDA">
        <w:rPr>
          <w:lang w:val="ro-RO"/>
        </w:rPr>
        <w:t xml:space="preserve"> anexe</w:t>
      </w:r>
      <w:r w:rsidR="00AC0D7D" w:rsidRPr="00857CDA">
        <w:rPr>
          <w:lang w:val="ro-RO"/>
        </w:rPr>
        <w:t>i</w:t>
      </w:r>
      <w:r w:rsidRPr="00857CDA">
        <w:rPr>
          <w:lang w:val="ro-RO"/>
        </w:rPr>
        <w:t xml:space="preserve"> C)</w:t>
      </w:r>
      <w:r w:rsidR="00660131" w:rsidRPr="00857CDA">
        <w:rPr>
          <w:lang w:val="ro-RO"/>
        </w:rPr>
        <w:t>”</w:t>
      </w:r>
      <w:r w:rsidRPr="00857CDA">
        <w:rPr>
          <w:lang w:val="ro-RO"/>
        </w:rPr>
        <w:t xml:space="preserve">, </w:t>
      </w:r>
      <w:r w:rsidR="00121893" w:rsidRPr="00857CDA">
        <w:rPr>
          <w:lang w:val="ro-RO"/>
        </w:rPr>
        <w:t>în coloana</w:t>
      </w:r>
      <w:r w:rsidRPr="00857CDA">
        <w:rPr>
          <w:lang w:val="ro-RO"/>
        </w:rPr>
        <w:t xml:space="preserve"> </w:t>
      </w:r>
      <w:r w:rsidR="00AC0D7D" w:rsidRPr="00857CDA">
        <w:rPr>
          <w:lang w:val="ro-RO"/>
        </w:rPr>
        <w:t>(</w:t>
      </w:r>
      <w:r w:rsidRPr="00857CDA">
        <w:rPr>
          <w:lang w:val="ro-RO"/>
        </w:rPr>
        <w:t xml:space="preserve">3), </w:t>
      </w:r>
      <w:r w:rsidR="00AC0D7D" w:rsidRPr="00857CDA">
        <w:rPr>
          <w:lang w:val="ro-RO"/>
        </w:rPr>
        <w:t>s</w:t>
      </w:r>
      <w:r w:rsidR="00902C44" w:rsidRPr="00857CDA">
        <w:rPr>
          <w:lang w:val="ro-RO"/>
        </w:rPr>
        <w:t>e modifică</w:t>
      </w:r>
      <w:r w:rsidRPr="00857CDA">
        <w:rPr>
          <w:lang w:val="ro-RO"/>
        </w:rPr>
        <w:t xml:space="preserve"> </w:t>
      </w:r>
      <w:r w:rsidR="008B288A" w:rsidRPr="00857CDA">
        <w:rPr>
          <w:lang w:val="ro-RO"/>
        </w:rPr>
        <w:t>„</w:t>
      </w:r>
      <w:r w:rsidR="00AC0D7D" w:rsidRPr="00857CDA">
        <w:rPr>
          <w:lang w:val="ro-RO"/>
        </w:rPr>
        <w:t>Obligatoriu de la 1 ianuarie 2019</w:t>
      </w:r>
      <w:r w:rsidR="00660131" w:rsidRPr="00857CDA">
        <w:rPr>
          <w:lang w:val="ro-RO"/>
        </w:rPr>
        <w:t>”</w:t>
      </w:r>
      <w:r w:rsidR="00902C44" w:rsidRPr="00857CDA">
        <w:rPr>
          <w:lang w:val="ro-RO"/>
        </w:rPr>
        <w:t xml:space="preserve"> cu </w:t>
      </w:r>
      <w:r w:rsidR="008B288A" w:rsidRPr="00857CDA">
        <w:rPr>
          <w:lang w:val="ro-RO"/>
        </w:rPr>
        <w:t>„</w:t>
      </w:r>
      <w:r w:rsidR="00AC0D7D" w:rsidRPr="00857CDA">
        <w:rPr>
          <w:lang w:val="ro-RO"/>
        </w:rPr>
        <w:t>Până la 31 decembrie</w:t>
      </w:r>
      <w:r w:rsidRPr="00857CDA">
        <w:rPr>
          <w:lang w:val="ro-RO"/>
        </w:rPr>
        <w:t xml:space="preserve"> 2020</w:t>
      </w:r>
      <w:r w:rsidR="00660131" w:rsidRPr="00857CDA">
        <w:rPr>
          <w:lang w:val="ro-RO"/>
        </w:rPr>
        <w:t>”</w:t>
      </w:r>
      <w:r w:rsidRPr="00857CDA">
        <w:rPr>
          <w:lang w:val="ro-RO"/>
        </w:rPr>
        <w:t xml:space="preserve">. </w:t>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1440:2016 (</w:t>
      </w:r>
      <w:r w:rsidR="00AC0D7D" w:rsidRPr="00857CDA">
        <w:rPr>
          <w:lang w:val="ro-RO"/>
        </w:rPr>
        <w:t>cu excepția anexei</w:t>
      </w:r>
      <w:r w:rsidRPr="00857CDA">
        <w:rPr>
          <w:lang w:val="ro-RO"/>
        </w:rPr>
        <w:t xml:space="preserve"> C)</w:t>
      </w:r>
      <w:r w:rsidR="00660131" w:rsidRPr="00857CDA">
        <w:rPr>
          <w:lang w:val="ro-RO"/>
        </w:rPr>
        <w:t>”</w:t>
      </w:r>
      <w:r w:rsidRPr="00857CDA">
        <w:rPr>
          <w:lang w:val="ro-RO"/>
        </w:rPr>
        <w:t xml:space="preserve">, </w:t>
      </w:r>
      <w:r w:rsidR="00902C44" w:rsidRPr="00857CDA">
        <w:rPr>
          <w:lang w:val="ro-RO"/>
        </w:rPr>
        <w:t xml:space="preserve">se </w:t>
      </w:r>
      <w:r w:rsidR="00AC0D7D" w:rsidRPr="00857CDA">
        <w:rPr>
          <w:lang w:val="ro-RO"/>
        </w:rPr>
        <w:t>introduce un nou rând, după cum urmează</w:t>
      </w:r>
      <w:r w:rsidR="00091658" w:rsidRPr="00857CDA">
        <w:rPr>
          <w:lang w:val="ro-RO"/>
        </w:rPr>
        <w:t>:</w:t>
      </w:r>
    </w:p>
    <w:tbl>
      <w:tblPr>
        <w:tblW w:w="74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252"/>
        <w:gridCol w:w="1701"/>
      </w:tblGrid>
      <w:tr w:rsidR="000B1500" w:rsidRPr="00857CDA" w:rsidTr="00725BE1">
        <w:trPr>
          <w:cantSplit/>
        </w:trPr>
        <w:tc>
          <w:tcPr>
            <w:tcW w:w="1531" w:type="dxa"/>
          </w:tcPr>
          <w:p w:rsidR="000B1500" w:rsidRPr="00857CDA" w:rsidRDefault="000B1500" w:rsidP="00AC0D7D">
            <w:pPr>
              <w:tabs>
                <w:tab w:val="left" w:pos="1418"/>
              </w:tabs>
              <w:rPr>
                <w:lang w:val="ro-RO"/>
              </w:rPr>
            </w:pPr>
            <w:r w:rsidRPr="00857CDA">
              <w:rPr>
                <w:bCs/>
                <w:lang w:val="ro-RO"/>
              </w:rPr>
              <w:t>EN 1440:2016 +A1:2018 (</w:t>
            </w:r>
            <w:r w:rsidR="00AC0D7D" w:rsidRPr="00857CDA">
              <w:rPr>
                <w:bCs/>
                <w:lang w:val="ro-RO"/>
              </w:rPr>
              <w:t>cu excepția anexei</w:t>
            </w:r>
            <w:r w:rsidRPr="00857CDA">
              <w:rPr>
                <w:bCs/>
                <w:lang w:val="ro-RO"/>
              </w:rPr>
              <w:t xml:space="preserve"> C)</w:t>
            </w:r>
          </w:p>
        </w:tc>
        <w:tc>
          <w:tcPr>
            <w:tcW w:w="4252" w:type="dxa"/>
            <w:vAlign w:val="center"/>
          </w:tcPr>
          <w:p w:rsidR="000B1500" w:rsidRPr="00857CDA" w:rsidRDefault="00291BAC" w:rsidP="00140003">
            <w:pPr>
              <w:rPr>
                <w:bCs/>
                <w:lang w:val="ro-RO"/>
              </w:rPr>
            </w:pPr>
            <w:r w:rsidRPr="00857CDA">
              <w:rPr>
                <w:bCs/>
                <w:lang w:val="ro-RO"/>
              </w:rPr>
              <w:t>Echipamente și accesorii pentru GPL – Butelii pentru GPL transportabile și reîncărcabile, din oțel, sudate și alămite – Inspecție periodică</w:t>
            </w:r>
          </w:p>
        </w:tc>
        <w:tc>
          <w:tcPr>
            <w:tcW w:w="1701" w:type="dxa"/>
            <w:vAlign w:val="center"/>
          </w:tcPr>
          <w:p w:rsidR="000B1500" w:rsidRPr="00857CDA" w:rsidRDefault="00291BAC" w:rsidP="000B1500">
            <w:pPr>
              <w:jc w:val="center"/>
              <w:rPr>
                <w:lang w:val="ro-RO"/>
              </w:rPr>
            </w:pPr>
            <w:r w:rsidRPr="00857CDA">
              <w:rPr>
                <w:lang w:val="ro-RO"/>
              </w:rPr>
              <w:t xml:space="preserve">Obligatoriu de la 1 ianuarie </w:t>
            </w:r>
            <w:r w:rsidR="000B1500" w:rsidRPr="00857CDA">
              <w:rPr>
                <w:bCs/>
                <w:lang w:val="ro-RO"/>
              </w:rPr>
              <w:t>2021</w:t>
            </w:r>
          </w:p>
        </w:tc>
      </w:tr>
    </w:tbl>
    <w:p w:rsidR="000B1500" w:rsidRPr="00857CDA" w:rsidRDefault="00627472" w:rsidP="00627472">
      <w:pPr>
        <w:pStyle w:val="SingleTxtG"/>
        <w:tabs>
          <w:tab w:val="left" w:pos="2268"/>
        </w:tabs>
        <w:spacing w:before="120"/>
        <w:rPr>
          <w:iCs/>
          <w:lang w:val="ro-RO"/>
        </w:rPr>
      </w:pPr>
      <w:r w:rsidRPr="00857CDA">
        <w:rPr>
          <w:lang w:val="ro-RO"/>
        </w:rPr>
        <w:t>6.2.4.2</w:t>
      </w:r>
      <w:r w:rsidRPr="00857CDA">
        <w:rPr>
          <w:lang w:val="ro-RO"/>
        </w:rPr>
        <w:tab/>
      </w:r>
      <w:r w:rsidR="00991390" w:rsidRPr="00857CDA">
        <w:rPr>
          <w:lang w:val="ro-RO"/>
        </w:rPr>
        <w:t>Pentru</w:t>
      </w:r>
      <w:r w:rsidR="000B1500" w:rsidRPr="00857CDA">
        <w:rPr>
          <w:lang w:val="ro-RO"/>
        </w:rPr>
        <w:t xml:space="preserve"> </w:t>
      </w:r>
      <w:r w:rsidR="006A1ED1" w:rsidRPr="00857CDA">
        <w:rPr>
          <w:lang w:val="ro-RO"/>
        </w:rPr>
        <w:t>standardul</w:t>
      </w:r>
      <w:r w:rsidR="000B1500" w:rsidRPr="00857CDA">
        <w:rPr>
          <w:lang w:val="ro-RO"/>
        </w:rPr>
        <w:t xml:space="preserve"> </w:t>
      </w:r>
      <w:r w:rsidR="008B288A" w:rsidRPr="00857CDA">
        <w:rPr>
          <w:lang w:val="ro-RO"/>
        </w:rPr>
        <w:t>„</w:t>
      </w:r>
      <w:r w:rsidR="000B1500" w:rsidRPr="00857CDA">
        <w:rPr>
          <w:lang w:val="ro-RO"/>
        </w:rPr>
        <w:t>EN 16728:2016 (</w:t>
      </w:r>
      <w:r w:rsidR="001B172E" w:rsidRPr="00857CDA">
        <w:rPr>
          <w:lang w:val="ro-RO"/>
        </w:rPr>
        <w:t>cu excepția clauzei</w:t>
      </w:r>
      <w:r w:rsidR="000B1500" w:rsidRPr="00857CDA">
        <w:rPr>
          <w:lang w:val="ro-RO"/>
        </w:rPr>
        <w:t xml:space="preserve"> 3.5, anex</w:t>
      </w:r>
      <w:r w:rsidR="001B172E" w:rsidRPr="00857CDA">
        <w:rPr>
          <w:lang w:val="ro-RO"/>
        </w:rPr>
        <w:t>a</w:t>
      </w:r>
      <w:r w:rsidR="000B1500" w:rsidRPr="00857CDA">
        <w:rPr>
          <w:lang w:val="ro-RO"/>
        </w:rPr>
        <w:t xml:space="preserve"> F</w:t>
      </w:r>
      <w:r w:rsidR="004C27AD" w:rsidRPr="00857CDA">
        <w:rPr>
          <w:lang w:val="ro-RO"/>
        </w:rPr>
        <w:t xml:space="preserve"> și </w:t>
      </w:r>
      <w:r w:rsidR="000B1500" w:rsidRPr="00857CDA">
        <w:rPr>
          <w:lang w:val="ro-RO"/>
        </w:rPr>
        <w:t>anex</w:t>
      </w:r>
      <w:r w:rsidR="001B172E" w:rsidRPr="00857CDA">
        <w:rPr>
          <w:lang w:val="ro-RO"/>
        </w:rPr>
        <w:t>a</w:t>
      </w:r>
      <w:r w:rsidR="000B1500" w:rsidRPr="00857CDA">
        <w:rPr>
          <w:lang w:val="ro-RO"/>
        </w:rPr>
        <w:t xml:space="preserve"> G)</w:t>
      </w:r>
      <w:r w:rsidR="00660131" w:rsidRPr="00857CDA">
        <w:rPr>
          <w:lang w:val="ro-RO"/>
        </w:rPr>
        <w:t>”</w:t>
      </w:r>
      <w:r w:rsidR="000B1500" w:rsidRPr="00857CDA">
        <w:rPr>
          <w:lang w:val="ro-RO"/>
        </w:rPr>
        <w:t xml:space="preserve">, </w:t>
      </w:r>
      <w:r w:rsidR="00121893" w:rsidRPr="00857CDA">
        <w:rPr>
          <w:lang w:val="ro-RO"/>
        </w:rPr>
        <w:t>în coloana</w:t>
      </w:r>
      <w:r w:rsidR="000B1500" w:rsidRPr="00857CDA">
        <w:rPr>
          <w:lang w:val="ro-RO"/>
        </w:rPr>
        <w:t xml:space="preserve"> </w:t>
      </w:r>
      <w:r w:rsidR="001B172E" w:rsidRPr="00857CDA">
        <w:rPr>
          <w:lang w:val="ro-RO"/>
        </w:rPr>
        <w:t>(</w:t>
      </w:r>
      <w:r w:rsidR="000B1500" w:rsidRPr="00857CDA">
        <w:rPr>
          <w:lang w:val="ro-RO"/>
        </w:rPr>
        <w:t xml:space="preserve">3), </w:t>
      </w:r>
      <w:r w:rsidR="001B172E" w:rsidRPr="00857CDA">
        <w:rPr>
          <w:lang w:val="ro-RO"/>
        </w:rPr>
        <w:t>s</w:t>
      </w:r>
      <w:r w:rsidR="00902C44" w:rsidRPr="00857CDA">
        <w:rPr>
          <w:lang w:val="ro-RO"/>
        </w:rPr>
        <w:t>e modifică</w:t>
      </w:r>
      <w:r w:rsidR="000B1500" w:rsidRPr="00857CDA">
        <w:rPr>
          <w:lang w:val="ro-RO"/>
        </w:rPr>
        <w:t xml:space="preserve"> </w:t>
      </w:r>
      <w:r w:rsidR="008B288A" w:rsidRPr="00857CDA">
        <w:rPr>
          <w:lang w:val="ro-RO"/>
        </w:rPr>
        <w:t>„</w:t>
      </w:r>
      <w:r w:rsidR="001B172E" w:rsidRPr="00857CDA">
        <w:rPr>
          <w:lang w:val="ro-RO"/>
        </w:rPr>
        <w:t>Obligatoriu de la 1 ianuarie</w:t>
      </w:r>
      <w:r w:rsidR="000B1500" w:rsidRPr="00857CDA">
        <w:rPr>
          <w:lang w:val="ro-RO"/>
        </w:rPr>
        <w:t xml:space="preserve"> 2019</w:t>
      </w:r>
      <w:r w:rsidR="00660131" w:rsidRPr="00857CDA">
        <w:rPr>
          <w:lang w:val="ro-RO"/>
        </w:rPr>
        <w:t>”</w:t>
      </w:r>
      <w:r w:rsidR="00902C44" w:rsidRPr="00857CDA">
        <w:rPr>
          <w:lang w:val="ro-RO"/>
        </w:rPr>
        <w:t xml:space="preserve"> cu </w:t>
      </w:r>
      <w:r w:rsidR="008B288A" w:rsidRPr="00857CDA">
        <w:rPr>
          <w:lang w:val="ro-RO"/>
        </w:rPr>
        <w:t>„</w:t>
      </w:r>
      <w:r w:rsidR="001B172E" w:rsidRPr="00857CDA">
        <w:rPr>
          <w:lang w:val="ro-RO"/>
        </w:rPr>
        <w:t>Până la</w:t>
      </w:r>
      <w:r w:rsidR="000B1500" w:rsidRPr="00857CDA">
        <w:rPr>
          <w:lang w:val="ro-RO"/>
        </w:rPr>
        <w:t xml:space="preserve"> 31 d</w:t>
      </w:r>
      <w:r w:rsidR="001B172E" w:rsidRPr="00857CDA">
        <w:rPr>
          <w:lang w:val="ro-RO"/>
        </w:rPr>
        <w:t>e</w:t>
      </w:r>
      <w:r w:rsidR="000B1500" w:rsidRPr="00857CDA">
        <w:rPr>
          <w:lang w:val="ro-RO"/>
        </w:rPr>
        <w:t>cembr</w:t>
      </w:r>
      <w:r w:rsidR="001B172E" w:rsidRPr="00857CDA">
        <w:rPr>
          <w:lang w:val="ro-RO"/>
        </w:rPr>
        <w:t>i</w:t>
      </w:r>
      <w:r w:rsidR="000B1500" w:rsidRPr="00857CDA">
        <w:rPr>
          <w:lang w:val="ro-RO"/>
        </w:rPr>
        <w:t>e 2020</w:t>
      </w:r>
      <w:r w:rsidR="00660131" w:rsidRPr="00857CDA">
        <w:rPr>
          <w:lang w:val="ro-RO"/>
        </w:rPr>
        <w:t>”</w:t>
      </w:r>
      <w:r w:rsidR="000B1500" w:rsidRPr="00857CDA">
        <w:rPr>
          <w:lang w:val="ro-RO"/>
        </w:rPr>
        <w:t xml:space="preserve">. </w:t>
      </w:r>
      <w:r w:rsidR="00991390" w:rsidRPr="00857CDA">
        <w:rPr>
          <w:lang w:val="ro-RO"/>
        </w:rPr>
        <w:t>După</w:t>
      </w:r>
      <w:r w:rsidR="000B1500" w:rsidRPr="00857CDA">
        <w:rPr>
          <w:lang w:val="ro-RO"/>
        </w:rPr>
        <w:t xml:space="preserve"> </w:t>
      </w:r>
      <w:r w:rsidR="006A1ED1" w:rsidRPr="00857CDA">
        <w:rPr>
          <w:lang w:val="ro-RO"/>
        </w:rPr>
        <w:t>standardul</w:t>
      </w:r>
      <w:r w:rsidR="000B1500" w:rsidRPr="00857CDA">
        <w:rPr>
          <w:lang w:val="ro-RO"/>
        </w:rPr>
        <w:t xml:space="preserve"> </w:t>
      </w:r>
      <w:r w:rsidR="008B288A" w:rsidRPr="00857CDA">
        <w:rPr>
          <w:lang w:val="ro-RO"/>
        </w:rPr>
        <w:t>„</w:t>
      </w:r>
      <w:r w:rsidR="000B1500" w:rsidRPr="00857CDA">
        <w:rPr>
          <w:lang w:val="ro-RO"/>
        </w:rPr>
        <w:t>EN 16728:2016 (</w:t>
      </w:r>
      <w:r w:rsidR="001B172E" w:rsidRPr="00857CDA">
        <w:rPr>
          <w:lang w:val="ro-RO"/>
        </w:rPr>
        <w:t>cu excepția clauzei</w:t>
      </w:r>
      <w:r w:rsidR="000B1500" w:rsidRPr="00857CDA">
        <w:rPr>
          <w:lang w:val="ro-RO"/>
        </w:rPr>
        <w:t xml:space="preserve"> 3.5, anex</w:t>
      </w:r>
      <w:r w:rsidR="001B172E" w:rsidRPr="00857CDA">
        <w:rPr>
          <w:lang w:val="ro-RO"/>
        </w:rPr>
        <w:t>a</w:t>
      </w:r>
      <w:r w:rsidR="000B1500" w:rsidRPr="00857CDA">
        <w:rPr>
          <w:lang w:val="ro-RO"/>
        </w:rPr>
        <w:t xml:space="preserve"> F</w:t>
      </w:r>
      <w:r w:rsidR="004C27AD" w:rsidRPr="00857CDA">
        <w:rPr>
          <w:lang w:val="ro-RO"/>
        </w:rPr>
        <w:t xml:space="preserve"> și </w:t>
      </w:r>
      <w:r w:rsidR="000B1500" w:rsidRPr="00857CDA">
        <w:rPr>
          <w:lang w:val="ro-RO"/>
        </w:rPr>
        <w:t>anex</w:t>
      </w:r>
      <w:r w:rsidR="001B172E" w:rsidRPr="00857CDA">
        <w:rPr>
          <w:lang w:val="ro-RO"/>
        </w:rPr>
        <w:t>a</w:t>
      </w:r>
      <w:r w:rsidR="000B1500" w:rsidRPr="00857CDA">
        <w:rPr>
          <w:lang w:val="ro-RO"/>
        </w:rPr>
        <w:t xml:space="preserve"> G)</w:t>
      </w:r>
      <w:r w:rsidR="00660131" w:rsidRPr="00857CDA">
        <w:rPr>
          <w:lang w:val="ro-RO"/>
        </w:rPr>
        <w:t>”</w:t>
      </w:r>
      <w:r w:rsidR="000B1500" w:rsidRPr="00857CDA">
        <w:rPr>
          <w:lang w:val="ro-RO"/>
        </w:rPr>
        <w:t xml:space="preserve">, </w:t>
      </w:r>
      <w:r w:rsidR="00902C44" w:rsidRPr="00857CDA">
        <w:rPr>
          <w:lang w:val="ro-RO"/>
        </w:rPr>
        <w:t xml:space="preserve">se </w:t>
      </w:r>
      <w:r w:rsidR="007E2816" w:rsidRPr="00857CDA">
        <w:rPr>
          <w:lang w:val="ro-RO"/>
        </w:rPr>
        <w:t>introduce</w:t>
      </w:r>
      <w:r w:rsidR="000B1500" w:rsidRPr="00857CDA">
        <w:rPr>
          <w:lang w:val="ro-RO"/>
        </w:rPr>
        <w:t xml:space="preserve"> </w:t>
      </w:r>
      <w:r w:rsidR="001B172E" w:rsidRPr="00857CDA">
        <w:rPr>
          <w:lang w:val="ro-RO"/>
        </w:rPr>
        <w:t>un nou rând, după cum urmează</w:t>
      </w:r>
      <w:r w:rsidR="00091658" w:rsidRPr="00857CDA">
        <w:rPr>
          <w:lang w:val="ro-RO"/>
        </w:rPr>
        <w:t>:</w:t>
      </w:r>
    </w:p>
    <w:tbl>
      <w:tblPr>
        <w:tblW w:w="74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252"/>
        <w:gridCol w:w="1701"/>
      </w:tblGrid>
      <w:tr w:rsidR="000B1500" w:rsidRPr="00857CDA" w:rsidTr="00725BE1">
        <w:trPr>
          <w:cantSplit/>
        </w:trPr>
        <w:tc>
          <w:tcPr>
            <w:tcW w:w="1531" w:type="dxa"/>
          </w:tcPr>
          <w:p w:rsidR="000B1500" w:rsidRPr="00857CDA" w:rsidRDefault="009668E0" w:rsidP="009668E0">
            <w:pPr>
              <w:tabs>
                <w:tab w:val="left" w:pos="1418"/>
              </w:tabs>
              <w:rPr>
                <w:lang w:val="ro-RO"/>
              </w:rPr>
            </w:pPr>
            <w:r w:rsidRPr="00857CDA">
              <w:rPr>
                <w:bCs/>
                <w:lang w:val="ro-RO"/>
              </w:rPr>
              <w:t>EN 16728:2016 +A1:2018</w:t>
            </w:r>
          </w:p>
        </w:tc>
        <w:tc>
          <w:tcPr>
            <w:tcW w:w="4252" w:type="dxa"/>
            <w:vAlign w:val="center"/>
          </w:tcPr>
          <w:p w:rsidR="000B1500" w:rsidRPr="00857CDA" w:rsidRDefault="007E2816" w:rsidP="000B1500">
            <w:pPr>
              <w:rPr>
                <w:lang w:val="ro-RO"/>
              </w:rPr>
            </w:pPr>
            <w:r w:rsidRPr="00857CDA">
              <w:rPr>
                <w:bCs/>
                <w:lang w:val="ro-RO"/>
              </w:rPr>
              <w:t>Echipamente şi accesorii pentru GPL – Butelii pentru GPL transportabile şi reîncărcabile, altele decât cele de oţel, sudate şi alămite – Inspecţie periodică</w:t>
            </w:r>
          </w:p>
        </w:tc>
        <w:tc>
          <w:tcPr>
            <w:tcW w:w="1701" w:type="dxa"/>
            <w:vAlign w:val="center"/>
          </w:tcPr>
          <w:p w:rsidR="000B1500" w:rsidRPr="00857CDA" w:rsidRDefault="007E2816" w:rsidP="000B1500">
            <w:pPr>
              <w:jc w:val="center"/>
              <w:rPr>
                <w:lang w:val="ro-RO"/>
              </w:rPr>
            </w:pPr>
            <w:r w:rsidRPr="00857CDA">
              <w:rPr>
                <w:lang w:val="ro-RO"/>
              </w:rPr>
              <w:t xml:space="preserve">Obligatoriu de la 1 ianuarie </w:t>
            </w:r>
            <w:r w:rsidR="000B1500" w:rsidRPr="00857CDA">
              <w:rPr>
                <w:bCs/>
                <w:lang w:val="ro-RO"/>
              </w:rPr>
              <w:t>2021</w:t>
            </w:r>
          </w:p>
        </w:tc>
      </w:tr>
    </w:tbl>
    <w:p w:rsidR="00E114C7" w:rsidRPr="00857CDA" w:rsidRDefault="00E114C7" w:rsidP="006762D1">
      <w:pPr>
        <w:pStyle w:val="SingleTxtG"/>
        <w:tabs>
          <w:tab w:val="left" w:pos="2268"/>
        </w:tabs>
        <w:spacing w:before="120"/>
        <w:rPr>
          <w:lang w:val="ro-RO"/>
        </w:rPr>
      </w:pPr>
      <w:r w:rsidRPr="00857CDA">
        <w:rPr>
          <w:lang w:val="ro-RO"/>
        </w:rPr>
        <w:t>6.2.6.4</w:t>
      </w:r>
      <w:r w:rsidRPr="00857CDA">
        <w:rPr>
          <w:lang w:val="ro-RO"/>
        </w:rPr>
        <w:tab/>
      </w:r>
      <w:r w:rsidR="007E2816" w:rsidRPr="00857CDA">
        <w:rPr>
          <w:iCs/>
          <w:lang w:val="ro-RO"/>
        </w:rPr>
        <w:t>În cel de al treilea</w:t>
      </w:r>
      <w:r w:rsidRPr="00857CDA">
        <w:rPr>
          <w:iCs/>
          <w:lang w:val="ro-RO"/>
        </w:rPr>
        <w:t xml:space="preserve"> </w:t>
      </w:r>
      <w:r w:rsidR="00970E20" w:rsidRPr="00857CDA">
        <w:rPr>
          <w:iCs/>
          <w:lang w:val="ro-RO"/>
        </w:rPr>
        <w:t>alineat</w:t>
      </w:r>
      <w:r w:rsidRPr="00857CDA">
        <w:rPr>
          <w:iCs/>
          <w:lang w:val="ro-RO"/>
        </w:rPr>
        <w:t xml:space="preserve">, la </w:t>
      </w:r>
      <w:r w:rsidR="007E2816" w:rsidRPr="00857CDA">
        <w:rPr>
          <w:iCs/>
          <w:lang w:val="ro-RO"/>
        </w:rPr>
        <w:t>s</w:t>
      </w:r>
      <w:r w:rsidRPr="00857CDA">
        <w:rPr>
          <w:iCs/>
          <w:lang w:val="ro-RO"/>
        </w:rPr>
        <w:t>f</w:t>
      </w:r>
      <w:r w:rsidR="007E2816" w:rsidRPr="00857CDA">
        <w:rPr>
          <w:iCs/>
          <w:lang w:val="ro-RO"/>
        </w:rPr>
        <w:t>ârșit</w:t>
      </w:r>
      <w:r w:rsidRPr="00857CDA">
        <w:rPr>
          <w:iCs/>
          <w:lang w:val="ro-RO"/>
        </w:rPr>
        <w:t xml:space="preserve">, </w:t>
      </w:r>
      <w:r w:rsidR="007E2816" w:rsidRPr="00857CDA">
        <w:rPr>
          <w:iCs/>
          <w:lang w:val="ro-RO"/>
        </w:rPr>
        <w:t>s</w:t>
      </w:r>
      <w:r w:rsidR="00902C44" w:rsidRPr="00857CDA">
        <w:rPr>
          <w:iCs/>
          <w:lang w:val="ro-RO"/>
        </w:rPr>
        <w:t>e șterge</w:t>
      </w:r>
      <w:r w:rsidRPr="00857CDA">
        <w:rPr>
          <w:iCs/>
          <w:lang w:val="ro-RO"/>
        </w:rPr>
        <w:t xml:space="preserve"> </w:t>
      </w:r>
      <w:r w:rsidR="008B288A" w:rsidRPr="00857CDA">
        <w:rPr>
          <w:lang w:val="ro-RO"/>
        </w:rPr>
        <w:t>„</w:t>
      </w:r>
      <w:r w:rsidRPr="00857CDA">
        <w:rPr>
          <w:iCs/>
          <w:lang w:val="ro-RO"/>
        </w:rPr>
        <w:t>(</w:t>
      </w:r>
      <w:r w:rsidR="007E2816" w:rsidRPr="00857CDA">
        <w:rPr>
          <w:iCs/>
          <w:lang w:val="ro-RO"/>
        </w:rPr>
        <w:t>cu excepția articolului 9</w:t>
      </w:r>
      <w:r w:rsidRPr="00857CDA">
        <w:rPr>
          <w:iCs/>
          <w:lang w:val="ro-RO"/>
        </w:rPr>
        <w:t>)</w:t>
      </w:r>
      <w:r w:rsidR="00660131" w:rsidRPr="00857CDA">
        <w:rPr>
          <w:iCs/>
          <w:lang w:val="ro-RO"/>
        </w:rPr>
        <w:t>”</w:t>
      </w:r>
      <w:r w:rsidR="004C27AD" w:rsidRPr="00857CDA">
        <w:rPr>
          <w:iCs/>
          <w:lang w:val="ro-RO"/>
        </w:rPr>
        <w:t xml:space="preserve"> și </w:t>
      </w:r>
      <w:r w:rsidR="00902C44" w:rsidRPr="00857CDA">
        <w:rPr>
          <w:iCs/>
          <w:lang w:val="ro-RO"/>
        </w:rPr>
        <w:t xml:space="preserve">se </w:t>
      </w:r>
      <w:r w:rsidR="007E2816" w:rsidRPr="00857CDA">
        <w:rPr>
          <w:iCs/>
          <w:lang w:val="ro-RO"/>
        </w:rPr>
        <w:t>adaugă o nouă frază, după cum urmează:</w:t>
      </w:r>
      <w:r w:rsidRPr="00857CDA">
        <w:rPr>
          <w:iCs/>
          <w:lang w:val="ro-RO"/>
        </w:rPr>
        <w:t xml:space="preserve"> </w:t>
      </w:r>
      <w:r w:rsidR="008B288A" w:rsidRPr="00857CDA">
        <w:rPr>
          <w:lang w:val="ro-RO"/>
        </w:rPr>
        <w:t>„</w:t>
      </w:r>
      <w:r w:rsidR="007E2816" w:rsidRPr="00857CDA">
        <w:rPr>
          <w:iCs/>
          <w:lang w:val="ro-RO"/>
        </w:rPr>
        <w:t xml:space="preserve">În plus față de mărcile prevăzute în acest standard, cartușul pentru gaze poartă marca </w:t>
      </w:r>
      <w:r w:rsidR="007E2816" w:rsidRPr="00857CDA">
        <w:rPr>
          <w:lang w:val="ro-RO"/>
        </w:rPr>
        <w:t>„</w:t>
      </w:r>
      <w:r w:rsidR="007E2816" w:rsidRPr="00857CDA">
        <w:rPr>
          <w:b/>
          <w:iCs/>
          <w:lang w:val="ro-RO"/>
        </w:rPr>
        <w:t>UN 2037/EN 16509</w:t>
      </w:r>
      <w:r w:rsidR="00660131" w:rsidRPr="00857CDA">
        <w:rPr>
          <w:iCs/>
          <w:lang w:val="ro-RO"/>
        </w:rPr>
        <w:t>”</w:t>
      </w:r>
      <w:r w:rsidRPr="00857CDA">
        <w:rPr>
          <w:iCs/>
          <w:lang w:val="ro-RO"/>
        </w:rPr>
        <w:t>.</w:t>
      </w:r>
      <w:r w:rsidR="00660131" w:rsidRPr="00857CDA">
        <w:rPr>
          <w:iCs/>
          <w:lang w:val="ro-RO"/>
        </w:rPr>
        <w:t>”</w:t>
      </w:r>
    </w:p>
    <w:p w:rsidR="00196C06" w:rsidRPr="00857CDA" w:rsidRDefault="00196C06" w:rsidP="00196C06">
      <w:pPr>
        <w:pStyle w:val="H1G"/>
        <w:rPr>
          <w:lang w:val="ro-RO"/>
        </w:rPr>
      </w:pPr>
      <w:r w:rsidRPr="00857CDA">
        <w:rPr>
          <w:lang w:val="ro-RO"/>
        </w:rPr>
        <w:lastRenderedPageBreak/>
        <w:tab/>
      </w:r>
      <w:r w:rsidRPr="00857CDA">
        <w:rPr>
          <w:lang w:val="ro-RO"/>
        </w:rPr>
        <w:tab/>
      </w:r>
      <w:r w:rsidR="00902C44" w:rsidRPr="00857CDA">
        <w:rPr>
          <w:lang w:val="ro-RO"/>
        </w:rPr>
        <w:t>Capitolul</w:t>
      </w:r>
      <w:r w:rsidRPr="00857CDA">
        <w:rPr>
          <w:lang w:val="ro-RO"/>
        </w:rPr>
        <w:t xml:space="preserve"> 6.5</w:t>
      </w:r>
    </w:p>
    <w:p w:rsidR="00196C06" w:rsidRPr="00857CDA" w:rsidRDefault="00196C06" w:rsidP="00196C06">
      <w:pPr>
        <w:pStyle w:val="SingleTxtG"/>
        <w:rPr>
          <w:iCs/>
          <w:lang w:val="ro-RO"/>
        </w:rPr>
      </w:pPr>
      <w:r w:rsidRPr="00857CDA">
        <w:rPr>
          <w:iCs/>
          <w:lang w:val="ro-RO"/>
        </w:rPr>
        <w:t>6.5.6.9.3</w:t>
      </w:r>
      <w:r w:rsidRPr="00857CDA">
        <w:rPr>
          <w:iCs/>
          <w:lang w:val="ro-RO"/>
        </w:rPr>
        <w:tab/>
      </w:r>
      <w:r w:rsidR="002B679C" w:rsidRPr="00857CDA">
        <w:rPr>
          <w:iCs/>
          <w:lang w:val="ro-RO"/>
        </w:rPr>
        <w:t>Se modifică</w:t>
      </w:r>
      <w:r w:rsidRPr="00857CDA">
        <w:rPr>
          <w:iCs/>
          <w:lang w:val="ro-RO"/>
        </w:rPr>
        <w:t xml:space="preserve"> </w:t>
      </w:r>
      <w:r w:rsidR="00970E20" w:rsidRPr="00857CDA">
        <w:rPr>
          <w:iCs/>
          <w:lang w:val="ro-RO"/>
        </w:rPr>
        <w:t>ultimul</w:t>
      </w:r>
      <w:r w:rsidRPr="00857CDA">
        <w:rPr>
          <w:iCs/>
          <w:lang w:val="ro-RO"/>
        </w:rPr>
        <w:t xml:space="preserve"> </w:t>
      </w:r>
      <w:r w:rsidR="00970E20" w:rsidRPr="00857CDA">
        <w:rPr>
          <w:iCs/>
          <w:lang w:val="ro-RO"/>
        </w:rPr>
        <w:t>paragraf</w:t>
      </w:r>
      <w:r w:rsidR="002B679C" w:rsidRPr="00857CDA">
        <w:rPr>
          <w:iCs/>
          <w:lang w:val="ro-RO"/>
        </w:rPr>
        <w:t>, după cum urmează</w:t>
      </w:r>
      <w:r w:rsidRPr="00857CDA">
        <w:rPr>
          <w:iCs/>
          <w:lang w:val="ro-RO"/>
        </w:rPr>
        <w:t>:</w:t>
      </w:r>
    </w:p>
    <w:p w:rsidR="00196C06" w:rsidRPr="00857CDA" w:rsidRDefault="008B288A" w:rsidP="00196C06">
      <w:pPr>
        <w:pStyle w:val="SingleTxtG"/>
        <w:rPr>
          <w:iCs/>
          <w:lang w:val="ro-RO"/>
        </w:rPr>
      </w:pPr>
      <w:r w:rsidRPr="00857CDA">
        <w:rPr>
          <w:lang w:val="ro-RO"/>
        </w:rPr>
        <w:t>„</w:t>
      </w:r>
      <w:r w:rsidR="00DD09F6" w:rsidRPr="00857CDA">
        <w:rPr>
          <w:iCs/>
          <w:lang w:val="ro-RO"/>
        </w:rPr>
        <w:t>Același IBC poate fi utilizat pentru toate încercările sau pentru fiecare încercare poate fi utilizat un alt IBC din același model tip</w:t>
      </w:r>
      <w:r w:rsidR="006611ED">
        <w:rPr>
          <w:iCs/>
          <w:lang w:val="ro-RO"/>
        </w:rPr>
        <w:t>.</w:t>
      </w:r>
      <w:r w:rsidR="00660131" w:rsidRPr="00857CDA">
        <w:rPr>
          <w:lang w:val="ro-RO"/>
        </w:rPr>
        <w:t>”</w:t>
      </w:r>
      <w:r w:rsidR="00CE5D3F" w:rsidRPr="00857CDA">
        <w:rPr>
          <w:iCs/>
          <w:lang w:val="ro-RO"/>
        </w:rPr>
        <w:t>.</w:t>
      </w:r>
    </w:p>
    <w:p w:rsidR="00196C06" w:rsidRPr="00857CDA" w:rsidRDefault="00196C06" w:rsidP="00196C06">
      <w:pPr>
        <w:pStyle w:val="SingleTxtG"/>
        <w:rPr>
          <w:iCs/>
          <w:lang w:val="ro-RO"/>
        </w:rPr>
      </w:pPr>
      <w:r w:rsidRPr="00857CDA">
        <w:rPr>
          <w:iCs/>
          <w:lang w:val="ro-RO"/>
        </w:rPr>
        <w:t>6.5.6.14.1</w:t>
      </w:r>
      <w:r w:rsidRPr="00857CDA">
        <w:rPr>
          <w:iCs/>
          <w:lang w:val="ro-RO"/>
        </w:rPr>
        <w:tab/>
      </w:r>
      <w:r w:rsidR="00902C44" w:rsidRPr="00857CDA">
        <w:rPr>
          <w:iCs/>
          <w:lang w:val="ro-RO"/>
        </w:rPr>
        <w:t>Se adaugă</w:t>
      </w:r>
      <w:r w:rsidRPr="00857CDA">
        <w:rPr>
          <w:iCs/>
          <w:lang w:val="ro-RO"/>
        </w:rPr>
        <w:t xml:space="preserve"> </w:t>
      </w:r>
      <w:r w:rsidR="00DD09F6" w:rsidRPr="00857CDA">
        <w:rPr>
          <w:iCs/>
          <w:lang w:val="ro-RO"/>
        </w:rPr>
        <w:t>la sfârșitul punctului 8.</w:t>
      </w:r>
      <w:r w:rsidRPr="00857CDA">
        <w:rPr>
          <w:iCs/>
          <w:lang w:val="ro-RO"/>
        </w:rPr>
        <w:t xml:space="preserve"> </w:t>
      </w:r>
      <w:r w:rsidR="00DD09F6" w:rsidRPr="00857CDA">
        <w:rPr>
          <w:iCs/>
          <w:lang w:val="ro-RO"/>
        </w:rPr>
        <w:t>F</w:t>
      </w:r>
      <w:r w:rsidR="00970E20" w:rsidRPr="00857CDA">
        <w:rPr>
          <w:iCs/>
          <w:lang w:val="ro-RO"/>
        </w:rPr>
        <w:t>raz</w:t>
      </w:r>
      <w:r w:rsidR="00DD09F6" w:rsidRPr="00857CDA">
        <w:rPr>
          <w:iCs/>
          <w:lang w:val="ro-RO"/>
        </w:rPr>
        <w:t>a</w:t>
      </w:r>
      <w:r w:rsidR="00DD09F6" w:rsidRPr="00857CDA">
        <w:rPr>
          <w:lang w:val="ro-RO"/>
        </w:rPr>
        <w:t xml:space="preserve"> următoare</w:t>
      </w:r>
      <w:r w:rsidR="00091658" w:rsidRPr="00857CDA">
        <w:rPr>
          <w:lang w:val="ro-RO"/>
        </w:rPr>
        <w:t>:</w:t>
      </w:r>
      <w:r w:rsidRPr="00857CDA">
        <w:rPr>
          <w:iCs/>
          <w:lang w:val="ro-RO"/>
        </w:rPr>
        <w:t xml:space="preserve"> </w:t>
      </w:r>
      <w:r w:rsidR="008B288A" w:rsidRPr="00857CDA">
        <w:rPr>
          <w:lang w:val="ro-RO"/>
        </w:rPr>
        <w:t>„</w:t>
      </w:r>
      <w:r w:rsidR="00991390" w:rsidRPr="00857CDA">
        <w:rPr>
          <w:iCs/>
          <w:lang w:val="ro-RO"/>
        </w:rPr>
        <w:t>Pentru</w:t>
      </w:r>
      <w:r w:rsidRPr="00857CDA">
        <w:rPr>
          <w:iCs/>
          <w:lang w:val="ro-RO"/>
        </w:rPr>
        <w:t xml:space="preserve"> </w:t>
      </w:r>
      <w:r w:rsidR="008B288A" w:rsidRPr="00857CDA">
        <w:rPr>
          <w:iCs/>
          <w:lang w:val="ro-RO"/>
        </w:rPr>
        <w:t>RMV-uri din</w:t>
      </w:r>
      <w:r w:rsidRPr="00857CDA">
        <w:rPr>
          <w:iCs/>
          <w:lang w:val="ro-RO"/>
        </w:rPr>
        <w:t xml:space="preserve"> plasti</w:t>
      </w:r>
      <w:r w:rsidR="008B288A" w:rsidRPr="00857CDA">
        <w:rPr>
          <w:iCs/>
          <w:lang w:val="ro-RO"/>
        </w:rPr>
        <w:t>c</w:t>
      </w:r>
      <w:r w:rsidRPr="00857CDA">
        <w:rPr>
          <w:iCs/>
          <w:lang w:val="ro-RO"/>
        </w:rPr>
        <w:t xml:space="preserve"> rigid</w:t>
      </w:r>
      <w:r w:rsidR="004C27AD" w:rsidRPr="00857CDA">
        <w:rPr>
          <w:iCs/>
          <w:lang w:val="ro-RO"/>
        </w:rPr>
        <w:t xml:space="preserve"> și </w:t>
      </w:r>
      <w:r w:rsidR="008B288A" w:rsidRPr="00857CDA">
        <w:rPr>
          <w:iCs/>
          <w:lang w:val="ro-RO"/>
        </w:rPr>
        <w:t xml:space="preserve">RMV-urile </w:t>
      </w:r>
      <w:r w:rsidRPr="00857CDA">
        <w:rPr>
          <w:iCs/>
          <w:lang w:val="ro-RO"/>
        </w:rPr>
        <w:t>compo</w:t>
      </w:r>
      <w:r w:rsidR="008B288A" w:rsidRPr="00857CDA">
        <w:rPr>
          <w:iCs/>
          <w:lang w:val="ro-RO"/>
        </w:rPr>
        <w:t>zite</w:t>
      </w:r>
      <w:r w:rsidRPr="00857CDA">
        <w:rPr>
          <w:iCs/>
          <w:lang w:val="ro-RO"/>
        </w:rPr>
        <w:t xml:space="preserve"> su</w:t>
      </w:r>
      <w:r w:rsidR="008B288A" w:rsidRPr="00857CDA">
        <w:rPr>
          <w:iCs/>
          <w:lang w:val="ro-RO"/>
        </w:rPr>
        <w:t>puse la încercarea</w:t>
      </w:r>
      <w:r w:rsidRPr="00857CDA">
        <w:rPr>
          <w:iCs/>
          <w:lang w:val="ro-RO"/>
        </w:rPr>
        <w:t xml:space="preserve"> de presi</w:t>
      </w:r>
      <w:r w:rsidR="008B288A" w:rsidRPr="00857CDA">
        <w:rPr>
          <w:iCs/>
          <w:lang w:val="ro-RO"/>
        </w:rPr>
        <w:t>u</w:t>
      </w:r>
      <w:r w:rsidRPr="00857CDA">
        <w:rPr>
          <w:iCs/>
          <w:lang w:val="ro-RO"/>
        </w:rPr>
        <w:t>n</w:t>
      </w:r>
      <w:r w:rsidR="008B288A" w:rsidRPr="00857CDA">
        <w:rPr>
          <w:iCs/>
          <w:lang w:val="ro-RO"/>
        </w:rPr>
        <w:t>e</w:t>
      </w:r>
      <w:r w:rsidRPr="00857CDA">
        <w:rPr>
          <w:iCs/>
          <w:lang w:val="ro-RO"/>
        </w:rPr>
        <w:t xml:space="preserve"> intern</w:t>
      </w:r>
      <w:r w:rsidR="008B288A" w:rsidRPr="00857CDA">
        <w:rPr>
          <w:iCs/>
          <w:lang w:val="ro-RO"/>
        </w:rPr>
        <w:t>ă</w:t>
      </w:r>
      <w:r w:rsidRPr="00857CDA">
        <w:rPr>
          <w:iCs/>
          <w:lang w:val="ro-RO"/>
        </w:rPr>
        <w:t xml:space="preserve"> d</w:t>
      </w:r>
      <w:r w:rsidR="008B288A" w:rsidRPr="00857CDA">
        <w:rPr>
          <w:iCs/>
          <w:lang w:val="ro-RO"/>
        </w:rPr>
        <w:t xml:space="preserve">e la 6.5.6.8, </w:t>
      </w:r>
      <w:r w:rsidRPr="00857CDA">
        <w:rPr>
          <w:iCs/>
          <w:lang w:val="ro-RO"/>
        </w:rPr>
        <w:t>temp</w:t>
      </w:r>
      <w:r w:rsidR="008B288A" w:rsidRPr="00857CDA">
        <w:rPr>
          <w:iCs/>
          <w:lang w:val="ro-RO"/>
        </w:rPr>
        <w:t>e</w:t>
      </w:r>
      <w:r w:rsidRPr="00857CDA">
        <w:rPr>
          <w:iCs/>
          <w:lang w:val="ro-RO"/>
        </w:rPr>
        <w:t>ratur</w:t>
      </w:r>
      <w:r w:rsidR="008B288A" w:rsidRPr="00857CDA">
        <w:rPr>
          <w:iCs/>
          <w:lang w:val="ro-RO"/>
        </w:rPr>
        <w:t>a apei</w:t>
      </w:r>
      <w:r w:rsidRPr="00857CDA">
        <w:rPr>
          <w:iCs/>
          <w:lang w:val="ro-RO"/>
        </w:rPr>
        <w:t xml:space="preserve"> utili</w:t>
      </w:r>
      <w:r w:rsidR="008B288A" w:rsidRPr="00857CDA">
        <w:rPr>
          <w:iCs/>
          <w:lang w:val="ro-RO"/>
        </w:rPr>
        <w:t>zate</w:t>
      </w:r>
      <w:r w:rsidR="006611ED">
        <w:rPr>
          <w:iCs/>
          <w:lang w:val="ro-RO"/>
        </w:rPr>
        <w:t>;</w:t>
      </w:r>
      <w:r w:rsidR="00660131" w:rsidRPr="00857CDA">
        <w:rPr>
          <w:lang w:val="ro-RO"/>
        </w:rPr>
        <w:t>”</w:t>
      </w:r>
      <w:r w:rsidRPr="00857CDA">
        <w:rPr>
          <w:iCs/>
          <w:lang w:val="ro-RO"/>
        </w:rPr>
        <w:t>.</w:t>
      </w:r>
    </w:p>
    <w:p w:rsidR="00196C06" w:rsidRPr="00857CDA" w:rsidRDefault="00196C06" w:rsidP="00196C06">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6.7</w:t>
      </w:r>
    </w:p>
    <w:p w:rsidR="00196C06" w:rsidRPr="00857CDA" w:rsidRDefault="00196C06" w:rsidP="00196C06">
      <w:pPr>
        <w:spacing w:before="120" w:after="120" w:line="240" w:lineRule="auto"/>
        <w:ind w:left="1134" w:right="1134"/>
        <w:jc w:val="both"/>
        <w:rPr>
          <w:i/>
          <w:iCs/>
          <w:lang w:val="ro-RO"/>
        </w:rPr>
      </w:pPr>
      <w:r w:rsidRPr="00857CDA">
        <w:rPr>
          <w:lang w:val="ro-RO"/>
        </w:rPr>
        <w:t>6.7.2.2.16</w:t>
      </w:r>
      <w:r w:rsidRPr="00857CDA">
        <w:rPr>
          <w:lang w:val="ro-RO"/>
        </w:rPr>
        <w:tab/>
      </w:r>
      <w:r w:rsidR="00902C44" w:rsidRPr="00857CDA">
        <w:rPr>
          <w:lang w:val="ro-RO"/>
        </w:rPr>
        <w:t>Se modifică</w:t>
      </w:r>
      <w:r w:rsidRPr="00857CDA">
        <w:rPr>
          <w:lang w:val="ro-RO"/>
        </w:rPr>
        <w:t xml:space="preserve"> </w:t>
      </w:r>
      <w:r w:rsidR="008B288A" w:rsidRPr="00857CDA">
        <w:rPr>
          <w:lang w:val="ro-RO"/>
        </w:rPr>
        <w:t>„</w:t>
      </w:r>
      <w:r w:rsidR="004C3122" w:rsidRPr="00857CDA">
        <w:rPr>
          <w:lang w:val="ro-RO"/>
        </w:rPr>
        <w:t>riscurile inerente asociate transportului respectivelor substanțe</w:t>
      </w:r>
      <w:r w:rsidR="00660131" w:rsidRPr="00857CDA">
        <w:rPr>
          <w:lang w:val="ro-RO"/>
        </w:rPr>
        <w:t>”</w:t>
      </w:r>
      <w:r w:rsidR="00902C44" w:rsidRPr="00857CDA">
        <w:rPr>
          <w:lang w:val="ro-RO"/>
        </w:rPr>
        <w:t xml:space="preserve"> cu </w:t>
      </w:r>
      <w:r w:rsidR="008B288A" w:rsidRPr="00857CDA">
        <w:rPr>
          <w:lang w:val="ro-RO"/>
        </w:rPr>
        <w:t>„</w:t>
      </w:r>
      <w:r w:rsidR="004C3122" w:rsidRPr="00857CDA">
        <w:rPr>
          <w:lang w:val="ro-RO"/>
        </w:rPr>
        <w:t>riscurile inerente asociate transportului substanțelor respective</w:t>
      </w:r>
      <w:r w:rsidR="00660131" w:rsidRPr="00857CDA">
        <w:rPr>
          <w:lang w:val="ro-RO"/>
        </w:rPr>
        <w:t>”</w:t>
      </w:r>
      <w:r w:rsidRPr="00857CDA">
        <w:rPr>
          <w:lang w:val="ro-RO"/>
        </w:rPr>
        <w:t>.</w:t>
      </w:r>
    </w:p>
    <w:p w:rsidR="005612F9" w:rsidRPr="00857CDA" w:rsidRDefault="005612F9" w:rsidP="004C3122">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6.8</w:t>
      </w:r>
    </w:p>
    <w:p w:rsidR="000B1500" w:rsidRPr="00857CDA" w:rsidRDefault="000B1500" w:rsidP="000B1500">
      <w:pPr>
        <w:pStyle w:val="SingleTxtG"/>
        <w:rPr>
          <w:lang w:val="ro-RO"/>
        </w:rPr>
      </w:pPr>
      <w:r w:rsidRPr="00857CDA">
        <w:rPr>
          <w:lang w:val="ro-RO"/>
        </w:rPr>
        <w:t>6.8.2.1.23</w:t>
      </w:r>
      <w:r w:rsidRPr="00857CDA">
        <w:rPr>
          <w:lang w:val="ro-RO"/>
        </w:rPr>
        <w:tab/>
      </w:r>
      <w:r w:rsidR="00902C44" w:rsidRPr="00857CDA">
        <w:rPr>
          <w:lang w:val="ro-RO"/>
        </w:rPr>
        <w:t xml:space="preserve">În </w:t>
      </w:r>
      <w:r w:rsidR="003634AA" w:rsidRPr="00857CDA">
        <w:rPr>
          <w:lang w:val="ro-RO"/>
        </w:rPr>
        <w:t>prima frază</w:t>
      </w:r>
      <w:r w:rsidRPr="00857CDA">
        <w:rPr>
          <w:lang w:val="ro-RO"/>
        </w:rPr>
        <w:t xml:space="preserve"> </w:t>
      </w:r>
      <w:r w:rsidR="004C3122" w:rsidRPr="00857CDA">
        <w:rPr>
          <w:lang w:val="ro-RO"/>
        </w:rPr>
        <w:t>a</w:t>
      </w:r>
      <w:r w:rsidRPr="00857CDA">
        <w:rPr>
          <w:lang w:val="ro-RO"/>
        </w:rPr>
        <w:t xml:space="preserve"> pr</w:t>
      </w:r>
      <w:r w:rsidR="004C3122" w:rsidRPr="00857CDA">
        <w:rPr>
          <w:lang w:val="ro-RO"/>
        </w:rPr>
        <w:t>i</w:t>
      </w:r>
      <w:r w:rsidRPr="00857CDA">
        <w:rPr>
          <w:lang w:val="ro-RO"/>
        </w:rPr>
        <w:t>m</w:t>
      </w:r>
      <w:r w:rsidR="004C3122" w:rsidRPr="00857CDA">
        <w:rPr>
          <w:lang w:val="ro-RO"/>
        </w:rPr>
        <w:t>ului</w:t>
      </w:r>
      <w:r w:rsidRPr="00857CDA">
        <w:rPr>
          <w:lang w:val="ro-RO"/>
        </w:rPr>
        <w:t xml:space="preserve"> </w:t>
      </w:r>
      <w:r w:rsidR="00970E20" w:rsidRPr="00857CDA">
        <w:rPr>
          <w:lang w:val="ro-RO"/>
        </w:rPr>
        <w:t>paragraf</w:t>
      </w:r>
      <w:r w:rsidRPr="00857CDA">
        <w:rPr>
          <w:lang w:val="ro-RO"/>
        </w:rPr>
        <w:t xml:space="preserve">, </w:t>
      </w:r>
      <w:r w:rsidR="00991390" w:rsidRPr="00857CDA">
        <w:rPr>
          <w:lang w:val="ro-RO"/>
        </w:rPr>
        <w:t>după</w:t>
      </w:r>
      <w:r w:rsidRPr="00857CDA">
        <w:rPr>
          <w:lang w:val="ro-RO"/>
        </w:rPr>
        <w:t xml:space="preserve"> </w:t>
      </w:r>
      <w:r w:rsidR="008B288A" w:rsidRPr="00857CDA">
        <w:rPr>
          <w:lang w:val="ro-RO"/>
        </w:rPr>
        <w:t>„</w:t>
      </w:r>
      <w:r w:rsidR="0079453B" w:rsidRPr="00857CDA">
        <w:rPr>
          <w:lang w:val="ro-RO"/>
        </w:rPr>
        <w:t>Calificarea constructorului</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8B288A" w:rsidRPr="00857CDA">
        <w:rPr>
          <w:lang w:val="ro-RO"/>
        </w:rPr>
        <w:t>„</w:t>
      </w:r>
      <w:r w:rsidR="0079453B" w:rsidRPr="00857CDA">
        <w:rPr>
          <w:lang w:val="ro-RO"/>
        </w:rPr>
        <w:t xml:space="preserve">sau a </w:t>
      </w:r>
      <w:r w:rsidRPr="00857CDA">
        <w:rPr>
          <w:lang w:val="ro-RO"/>
        </w:rPr>
        <w:t>atelier</w:t>
      </w:r>
      <w:r w:rsidR="0079453B" w:rsidRPr="00857CDA">
        <w:rPr>
          <w:lang w:val="ro-RO"/>
        </w:rPr>
        <w:t>ului</w:t>
      </w:r>
      <w:r w:rsidRPr="00857CDA">
        <w:rPr>
          <w:lang w:val="ro-RO"/>
        </w:rPr>
        <w:t xml:space="preserve"> de </w:t>
      </w:r>
      <w:r w:rsidR="0079453B" w:rsidRPr="00857CDA">
        <w:rPr>
          <w:lang w:val="ro-RO"/>
        </w:rPr>
        <w:t>întreținere sau de reparație</w:t>
      </w:r>
      <w:r w:rsidRPr="00857CDA">
        <w:rPr>
          <w:lang w:val="ro-RO"/>
        </w:rPr>
        <w:t>,</w:t>
      </w:r>
      <w:r w:rsidR="00660131" w:rsidRPr="00857CDA">
        <w:rPr>
          <w:lang w:val="ro-RO"/>
        </w:rPr>
        <w:t>”</w:t>
      </w:r>
      <w:r w:rsidRPr="00857CDA">
        <w:rPr>
          <w:lang w:val="ro-RO"/>
        </w:rPr>
        <w:t xml:space="preserve"> </w:t>
      </w:r>
      <w:r w:rsidR="0079453B" w:rsidRPr="00857CDA">
        <w:rPr>
          <w:lang w:val="ro-RO"/>
        </w:rPr>
        <w:t>și</w:t>
      </w:r>
      <w:r w:rsidRPr="00857CDA">
        <w:rPr>
          <w:lang w:val="ro-RO"/>
        </w:rPr>
        <w:t xml:space="preserve"> la </w:t>
      </w:r>
      <w:r w:rsidR="0079453B" w:rsidRPr="00857CDA">
        <w:rPr>
          <w:lang w:val="ro-RO"/>
        </w:rPr>
        <w:t>s</w:t>
      </w:r>
      <w:r w:rsidRPr="00857CDA">
        <w:rPr>
          <w:lang w:val="ro-RO"/>
        </w:rPr>
        <w:t>f</w:t>
      </w:r>
      <w:r w:rsidR="0079453B" w:rsidRPr="00857CDA">
        <w:rPr>
          <w:lang w:val="ro-RO"/>
        </w:rPr>
        <w:t>ârșit</w:t>
      </w:r>
      <w:r w:rsidRPr="00857CDA">
        <w:rPr>
          <w:lang w:val="ro-RO"/>
        </w:rPr>
        <w:t xml:space="preserve">, </w:t>
      </w:r>
      <w:r w:rsidR="0079453B" w:rsidRPr="00857CDA">
        <w:rPr>
          <w:lang w:val="ro-RO"/>
        </w:rPr>
        <w:t>s</w:t>
      </w:r>
      <w:r w:rsidR="00902C44" w:rsidRPr="00857CDA">
        <w:rPr>
          <w:lang w:val="ro-RO"/>
        </w:rPr>
        <w:t>e șterge</w:t>
      </w:r>
      <w:r w:rsidRPr="00857CDA">
        <w:rPr>
          <w:lang w:val="ro-RO"/>
        </w:rPr>
        <w:t xml:space="preserve"> </w:t>
      </w:r>
      <w:r w:rsidR="008B288A" w:rsidRPr="00857CDA">
        <w:rPr>
          <w:lang w:val="ro-RO"/>
        </w:rPr>
        <w:t xml:space="preserve">„ </w:t>
      </w:r>
      <w:r w:rsidRPr="00857CDA">
        <w:rPr>
          <w:lang w:val="ro-RO"/>
        </w:rPr>
        <w:t xml:space="preserve">, </w:t>
      </w:r>
      <w:r w:rsidR="0079453B" w:rsidRPr="00857CDA">
        <w:rPr>
          <w:lang w:val="ro-RO"/>
        </w:rPr>
        <w:t>care emite certificatul de omologare de tip</w:t>
      </w:r>
      <w:r w:rsidR="00660131" w:rsidRPr="00857CDA">
        <w:rPr>
          <w:lang w:val="ro-RO"/>
        </w:rPr>
        <w:t>”</w:t>
      </w:r>
      <w:r w:rsidRPr="00857CDA">
        <w:rPr>
          <w:lang w:val="ro-RO"/>
        </w:rPr>
        <w:t xml:space="preserve">. </w:t>
      </w:r>
      <w:r w:rsidR="00902C44" w:rsidRPr="00857CDA">
        <w:rPr>
          <w:lang w:val="ro-RO"/>
        </w:rPr>
        <w:t xml:space="preserve">În </w:t>
      </w:r>
      <w:r w:rsidR="00970E20" w:rsidRPr="00857CDA">
        <w:rPr>
          <w:lang w:val="ro-RO"/>
        </w:rPr>
        <w:t>a doua frază</w:t>
      </w:r>
      <w:r w:rsidRPr="00857CDA">
        <w:rPr>
          <w:lang w:val="ro-RO"/>
        </w:rPr>
        <w:t xml:space="preserve"> d</w:t>
      </w:r>
      <w:r w:rsidR="0079453B" w:rsidRPr="00857CDA">
        <w:rPr>
          <w:lang w:val="ro-RO"/>
        </w:rPr>
        <w:t>e la</w:t>
      </w:r>
      <w:r w:rsidRPr="00857CDA">
        <w:rPr>
          <w:lang w:val="ro-RO"/>
        </w:rPr>
        <w:t xml:space="preserve"> pr</w:t>
      </w:r>
      <w:r w:rsidR="0079453B" w:rsidRPr="00857CDA">
        <w:rPr>
          <w:lang w:val="ro-RO"/>
        </w:rPr>
        <w:t>i</w:t>
      </w:r>
      <w:r w:rsidRPr="00857CDA">
        <w:rPr>
          <w:lang w:val="ro-RO"/>
        </w:rPr>
        <w:t>m</w:t>
      </w:r>
      <w:r w:rsidR="0079453B" w:rsidRPr="00857CDA">
        <w:rPr>
          <w:lang w:val="ro-RO"/>
        </w:rPr>
        <w:t>ul</w:t>
      </w:r>
      <w:r w:rsidRPr="00857CDA">
        <w:rPr>
          <w:lang w:val="ro-RO"/>
        </w:rPr>
        <w:t xml:space="preserve"> </w:t>
      </w:r>
      <w:r w:rsidR="00970E20" w:rsidRPr="00857CDA">
        <w:rPr>
          <w:lang w:val="ro-RO"/>
        </w:rPr>
        <w:t>paragraf</w:t>
      </w:r>
      <w:r w:rsidRPr="00857CDA">
        <w:rPr>
          <w:lang w:val="ro-RO"/>
        </w:rPr>
        <w:t xml:space="preserve">, la </w:t>
      </w:r>
      <w:r w:rsidR="0079453B" w:rsidRPr="00857CDA">
        <w:rPr>
          <w:lang w:val="ro-RO"/>
        </w:rPr>
        <w:t>s</w:t>
      </w:r>
      <w:r w:rsidRPr="00857CDA">
        <w:rPr>
          <w:lang w:val="ro-RO"/>
        </w:rPr>
        <w:t>f</w:t>
      </w:r>
      <w:r w:rsidR="0079453B" w:rsidRPr="00857CDA">
        <w:rPr>
          <w:lang w:val="ro-RO"/>
        </w:rPr>
        <w:t>ârșit</w:t>
      </w:r>
      <w:r w:rsidRPr="00857CDA">
        <w:rPr>
          <w:lang w:val="ro-RO"/>
        </w:rPr>
        <w:t xml:space="preserve">, </w:t>
      </w:r>
      <w:r w:rsidR="00902C44" w:rsidRPr="00857CDA">
        <w:rPr>
          <w:lang w:val="ro-RO"/>
        </w:rPr>
        <w:t>se adaugă</w:t>
      </w:r>
      <w:r w:rsidRPr="00857CDA">
        <w:rPr>
          <w:lang w:val="ro-RO"/>
        </w:rPr>
        <w:t xml:space="preserve"> </w:t>
      </w:r>
      <w:r w:rsidR="008B288A" w:rsidRPr="00857CDA">
        <w:rPr>
          <w:lang w:val="ro-RO"/>
        </w:rPr>
        <w:t>„</w:t>
      </w:r>
      <w:r w:rsidR="0079453B" w:rsidRPr="00857CDA">
        <w:rPr>
          <w:lang w:val="ro-RO"/>
        </w:rPr>
        <w:t>sa</w:t>
      </w:r>
      <w:r w:rsidRPr="00857CDA">
        <w:rPr>
          <w:lang w:val="ro-RO"/>
        </w:rPr>
        <w:t>u atelier</w:t>
      </w:r>
      <w:r w:rsidR="0079453B" w:rsidRPr="00857CDA">
        <w:rPr>
          <w:lang w:val="ro-RO"/>
        </w:rPr>
        <w:t>ul</w:t>
      </w:r>
      <w:r w:rsidRPr="00857CDA">
        <w:rPr>
          <w:lang w:val="ro-RO"/>
        </w:rPr>
        <w:t xml:space="preserve"> de </w:t>
      </w:r>
      <w:r w:rsidR="0079453B" w:rsidRPr="00857CDA">
        <w:rPr>
          <w:lang w:val="ro-RO"/>
        </w:rPr>
        <w:t>întreținere sa</w:t>
      </w:r>
      <w:r w:rsidRPr="00857CDA">
        <w:rPr>
          <w:lang w:val="ro-RO"/>
        </w:rPr>
        <w:t>u de r</w:t>
      </w:r>
      <w:r w:rsidR="0079453B" w:rsidRPr="00857CDA">
        <w:rPr>
          <w:lang w:val="ro-RO"/>
        </w:rPr>
        <w:t>e</w:t>
      </w:r>
      <w:r w:rsidRPr="00857CDA">
        <w:rPr>
          <w:lang w:val="ro-RO"/>
        </w:rPr>
        <w:t>para</w:t>
      </w:r>
      <w:r w:rsidR="0079453B" w:rsidRPr="00857CDA">
        <w:rPr>
          <w:lang w:val="ro-RO"/>
        </w:rPr>
        <w:t>ție</w:t>
      </w:r>
      <w:r w:rsidR="00660131" w:rsidRPr="00857CDA">
        <w:rPr>
          <w:lang w:val="ro-RO"/>
        </w:rPr>
        <w:t>”</w:t>
      </w:r>
      <w:r w:rsidRPr="00857CDA">
        <w:rPr>
          <w:lang w:val="ro-RO"/>
        </w:rPr>
        <w:t>.</w:t>
      </w:r>
    </w:p>
    <w:p w:rsidR="00805662" w:rsidRPr="00857CDA" w:rsidRDefault="00805662" w:rsidP="00805662">
      <w:pPr>
        <w:pStyle w:val="SingleTxtG"/>
        <w:rPr>
          <w:lang w:val="ro-RO"/>
        </w:rPr>
      </w:pPr>
      <w:r w:rsidRPr="00857CDA">
        <w:rPr>
          <w:bCs/>
          <w:lang w:val="ro-RO"/>
        </w:rPr>
        <w:t>6.8.2.1.23</w:t>
      </w:r>
      <w:r w:rsidRPr="00857CDA">
        <w:rPr>
          <w:b/>
          <w:lang w:val="ro-RO"/>
        </w:rPr>
        <w:tab/>
      </w:r>
      <w:r w:rsidR="00902C44" w:rsidRPr="00857CDA">
        <w:rPr>
          <w:lang w:val="ro-RO"/>
        </w:rPr>
        <w:t xml:space="preserve">În </w:t>
      </w:r>
      <w:r w:rsidR="00970E20" w:rsidRPr="00857CDA">
        <w:rPr>
          <w:lang w:val="ro-RO"/>
        </w:rPr>
        <w:t>ultima frază</w:t>
      </w:r>
      <w:r w:rsidRPr="00857CDA">
        <w:rPr>
          <w:lang w:val="ro-RO"/>
        </w:rPr>
        <w:t xml:space="preserve"> </w:t>
      </w:r>
      <w:r w:rsidR="0079453B" w:rsidRPr="00857CDA">
        <w:rPr>
          <w:lang w:val="ro-RO"/>
        </w:rPr>
        <w:t>a</w:t>
      </w:r>
      <w:r w:rsidRPr="00857CDA">
        <w:rPr>
          <w:lang w:val="ro-RO"/>
        </w:rPr>
        <w:t xml:space="preserve"> pr</w:t>
      </w:r>
      <w:r w:rsidR="0079453B" w:rsidRPr="00857CDA">
        <w:rPr>
          <w:lang w:val="ro-RO"/>
        </w:rPr>
        <w:t>i</w:t>
      </w:r>
      <w:r w:rsidRPr="00857CDA">
        <w:rPr>
          <w:lang w:val="ro-RO"/>
        </w:rPr>
        <w:t>m</w:t>
      </w:r>
      <w:r w:rsidR="0079453B" w:rsidRPr="00857CDA">
        <w:rPr>
          <w:lang w:val="ro-RO"/>
        </w:rPr>
        <w:t>ului</w:t>
      </w:r>
      <w:r w:rsidRPr="00857CDA">
        <w:rPr>
          <w:lang w:val="ro-RO"/>
        </w:rPr>
        <w:t xml:space="preserve"> </w:t>
      </w:r>
      <w:r w:rsidR="00970E20" w:rsidRPr="00857CDA">
        <w:rPr>
          <w:lang w:val="ro-RO"/>
        </w:rPr>
        <w:t>paragraf</w:t>
      </w:r>
      <w:r w:rsidRPr="00857CDA">
        <w:rPr>
          <w:lang w:val="ro-RO"/>
        </w:rPr>
        <w:t xml:space="preserve">, </w:t>
      </w:r>
      <w:r w:rsidR="00991390" w:rsidRPr="00857CDA">
        <w:rPr>
          <w:lang w:val="ro-RO"/>
        </w:rPr>
        <w:t>după</w:t>
      </w:r>
      <w:r w:rsidRPr="00857CDA">
        <w:rPr>
          <w:lang w:val="ro-RO"/>
        </w:rPr>
        <w:t xml:space="preserve"> </w:t>
      </w:r>
      <w:r w:rsidR="008B288A" w:rsidRPr="00857CDA">
        <w:rPr>
          <w:lang w:val="ro-RO"/>
        </w:rPr>
        <w:t>„</w:t>
      </w:r>
      <w:r w:rsidR="00902C44" w:rsidRPr="00857CDA">
        <w:rPr>
          <w:lang w:val="ro-RO"/>
        </w:rPr>
        <w:t xml:space="preserve">cu </w:t>
      </w:r>
      <w:r w:rsidRPr="00857CDA">
        <w:rPr>
          <w:lang w:val="ro-RO"/>
        </w:rPr>
        <w:t>ultras</w:t>
      </w:r>
      <w:r w:rsidR="0079453B" w:rsidRPr="00857CDA">
        <w:rPr>
          <w:lang w:val="ro-RO"/>
        </w:rPr>
        <w:t>unete</w:t>
      </w:r>
      <w:r w:rsidR="00660131" w:rsidRPr="00857CDA">
        <w:rPr>
          <w:lang w:val="ro-RO"/>
        </w:rPr>
        <w:t>”</w:t>
      </w:r>
      <w:r w:rsidRPr="00857CDA">
        <w:rPr>
          <w:lang w:val="ro-RO"/>
        </w:rPr>
        <w:t xml:space="preserve">, </w:t>
      </w:r>
      <w:r w:rsidR="000022EF" w:rsidRPr="00857CDA">
        <w:rPr>
          <w:lang w:val="ro-RO"/>
        </w:rPr>
        <w:t>se introduce</w:t>
      </w:r>
      <w:r w:rsidRPr="00857CDA">
        <w:rPr>
          <w:lang w:val="ro-RO"/>
        </w:rPr>
        <w:t xml:space="preserve"> </w:t>
      </w:r>
      <w:r w:rsidR="0079453B" w:rsidRPr="00857CDA">
        <w:rPr>
          <w:lang w:val="ro-RO"/>
        </w:rPr>
        <w:t>o</w:t>
      </w:r>
      <w:r w:rsidRPr="00857CDA">
        <w:rPr>
          <w:lang w:val="ro-RO"/>
        </w:rPr>
        <w:t xml:space="preserve"> nou</w:t>
      </w:r>
      <w:r w:rsidR="0079453B" w:rsidRPr="00857CDA">
        <w:rPr>
          <w:lang w:val="ro-RO"/>
        </w:rPr>
        <w:t>ă</w:t>
      </w:r>
      <w:r w:rsidRPr="00857CDA">
        <w:rPr>
          <w:lang w:val="ro-RO"/>
        </w:rPr>
        <w:t xml:space="preserve"> not</w:t>
      </w:r>
      <w:r w:rsidR="0079453B" w:rsidRPr="00857CDA">
        <w:rPr>
          <w:lang w:val="ro-RO"/>
        </w:rPr>
        <w:t>ă de subsol</w:t>
      </w:r>
      <w:r w:rsidRPr="00857CDA">
        <w:rPr>
          <w:lang w:val="ro-RO"/>
        </w:rPr>
        <w:t xml:space="preserve"> </w:t>
      </w:r>
      <w:r w:rsidRPr="00857CDA">
        <w:rPr>
          <w:b/>
          <w:vertAlign w:val="superscript"/>
          <w:lang w:val="ro-RO"/>
        </w:rPr>
        <w:t>6</w:t>
      </w:r>
      <w:r w:rsidR="0079453B" w:rsidRPr="00857CDA">
        <w:rPr>
          <w:lang w:val="ro-RO"/>
        </w:rPr>
        <w:t xml:space="preserve">, după cum </w:t>
      </w:r>
      <w:r w:rsidR="00857CDA" w:rsidRPr="00857CDA">
        <w:rPr>
          <w:lang w:val="ro-RO"/>
        </w:rPr>
        <w:t>urmează</w:t>
      </w:r>
      <w:r w:rsidR="00091658" w:rsidRPr="00857CDA">
        <w:rPr>
          <w:lang w:val="ro-RO"/>
        </w:rPr>
        <w:t>:</w:t>
      </w:r>
    </w:p>
    <w:p w:rsidR="00805662" w:rsidRPr="00857CDA" w:rsidRDefault="008B288A" w:rsidP="00536727">
      <w:pPr>
        <w:pStyle w:val="SingleTxtG"/>
        <w:rPr>
          <w:lang w:val="ro-RO"/>
        </w:rPr>
      </w:pPr>
      <w:r w:rsidRPr="00857CDA">
        <w:rPr>
          <w:lang w:val="ro-RO"/>
        </w:rPr>
        <w:t>„</w:t>
      </w:r>
      <w:r w:rsidR="00805662" w:rsidRPr="00857CDA">
        <w:rPr>
          <w:b/>
          <w:vertAlign w:val="superscript"/>
          <w:lang w:val="ro-RO"/>
        </w:rPr>
        <w:t>6</w:t>
      </w:r>
      <w:r w:rsidR="00805662" w:rsidRPr="00857CDA">
        <w:rPr>
          <w:lang w:val="ro-RO"/>
        </w:rPr>
        <w:tab/>
      </w:r>
      <w:r w:rsidR="00536727" w:rsidRPr="00857CDA">
        <w:rPr>
          <w:lang w:val="ro-RO"/>
        </w:rPr>
        <w:t>Asamblările suprapuse ale unui fund și o virolă pot fi verificate prin metode alternative radiografierii sau ultrasunetelor</w:t>
      </w:r>
      <w:r w:rsidR="00805662" w:rsidRPr="00857CDA">
        <w:rPr>
          <w:lang w:val="ro-RO"/>
        </w:rPr>
        <w:t>.</w:t>
      </w:r>
      <w:r w:rsidR="00660131" w:rsidRPr="00857CDA">
        <w:rPr>
          <w:lang w:val="ro-RO"/>
        </w:rPr>
        <w:t>”</w:t>
      </w:r>
      <w:r w:rsidR="00805662" w:rsidRPr="00857CDA">
        <w:rPr>
          <w:lang w:val="ro-RO"/>
        </w:rPr>
        <w:t>.</w:t>
      </w:r>
    </w:p>
    <w:p w:rsidR="00805662" w:rsidRPr="00857CDA" w:rsidRDefault="00902C44" w:rsidP="00805662">
      <w:pPr>
        <w:pStyle w:val="SingleTxtG"/>
        <w:rPr>
          <w:lang w:val="ro-RO"/>
        </w:rPr>
      </w:pPr>
      <w:r w:rsidRPr="00857CDA">
        <w:rPr>
          <w:lang w:val="ro-RO"/>
        </w:rPr>
        <w:t>În Capitolul</w:t>
      </w:r>
      <w:r w:rsidR="00805662" w:rsidRPr="00857CDA">
        <w:rPr>
          <w:lang w:val="ro-RO"/>
        </w:rPr>
        <w:t xml:space="preserve"> 6.8, </w:t>
      </w:r>
      <w:r w:rsidR="00536727" w:rsidRPr="00857CDA">
        <w:rPr>
          <w:lang w:val="ro-RO"/>
        </w:rPr>
        <w:t xml:space="preserve">se </w:t>
      </w:r>
      <w:r w:rsidR="00805662" w:rsidRPr="00857CDA">
        <w:rPr>
          <w:lang w:val="ro-RO"/>
        </w:rPr>
        <w:t>renum</w:t>
      </w:r>
      <w:r w:rsidR="00536727" w:rsidRPr="00857CDA">
        <w:rPr>
          <w:lang w:val="ro-RO"/>
        </w:rPr>
        <w:t>e</w:t>
      </w:r>
      <w:r w:rsidR="00805662" w:rsidRPr="00857CDA">
        <w:rPr>
          <w:lang w:val="ro-RO"/>
        </w:rPr>
        <w:t>rote</w:t>
      </w:r>
      <w:r w:rsidR="00536727" w:rsidRPr="00857CDA">
        <w:rPr>
          <w:lang w:val="ro-RO"/>
        </w:rPr>
        <w:t>ază</w:t>
      </w:r>
      <w:r w:rsidR="00805662" w:rsidRPr="00857CDA">
        <w:rPr>
          <w:lang w:val="ro-RO"/>
        </w:rPr>
        <w:t xml:space="preserve"> note</w:t>
      </w:r>
      <w:r w:rsidR="00536727" w:rsidRPr="00857CDA">
        <w:rPr>
          <w:lang w:val="ro-RO"/>
        </w:rPr>
        <w:t>le</w:t>
      </w:r>
      <w:r w:rsidR="00805662" w:rsidRPr="00857CDA">
        <w:rPr>
          <w:lang w:val="ro-RO"/>
        </w:rPr>
        <w:t xml:space="preserve"> de </w:t>
      </w:r>
      <w:r w:rsidR="00536727" w:rsidRPr="00857CDA">
        <w:rPr>
          <w:lang w:val="ro-RO"/>
        </w:rPr>
        <w:t xml:space="preserve">subsol de la </w:t>
      </w:r>
      <w:r w:rsidR="00805662" w:rsidRPr="00857CDA">
        <w:rPr>
          <w:lang w:val="ro-RO"/>
        </w:rPr>
        <w:t xml:space="preserve">6 </w:t>
      </w:r>
      <w:r w:rsidR="00536727" w:rsidRPr="00857CDA">
        <w:rPr>
          <w:lang w:val="ro-RO"/>
        </w:rPr>
        <w:t>la</w:t>
      </w:r>
      <w:r w:rsidR="00805662" w:rsidRPr="00857CDA">
        <w:rPr>
          <w:lang w:val="ro-RO"/>
        </w:rPr>
        <w:t xml:space="preserve"> 16 </w:t>
      </w:r>
      <w:r w:rsidR="00536727" w:rsidRPr="00857CDA">
        <w:rPr>
          <w:lang w:val="ro-RO"/>
        </w:rPr>
        <w:t>ca fiind de la</w:t>
      </w:r>
      <w:r w:rsidR="00805662" w:rsidRPr="00857CDA">
        <w:rPr>
          <w:lang w:val="ro-RO"/>
        </w:rPr>
        <w:t xml:space="preserve"> 7 </w:t>
      </w:r>
      <w:r w:rsidR="00536727" w:rsidRPr="00857CDA">
        <w:rPr>
          <w:lang w:val="ro-RO"/>
        </w:rPr>
        <w:t>la</w:t>
      </w:r>
      <w:r w:rsidR="00805662" w:rsidRPr="00857CDA">
        <w:rPr>
          <w:lang w:val="ro-RO"/>
        </w:rPr>
        <w:t xml:space="preserve"> 17.</w:t>
      </w:r>
    </w:p>
    <w:p w:rsidR="00D226B0" w:rsidRPr="00857CDA" w:rsidRDefault="003E4C75" w:rsidP="00D226B0">
      <w:pPr>
        <w:pStyle w:val="SingleTxtG"/>
        <w:rPr>
          <w:lang w:val="ro-RO"/>
        </w:rPr>
      </w:pPr>
      <w:r w:rsidRPr="00857CDA">
        <w:rPr>
          <w:bCs/>
          <w:lang w:val="ro-RO"/>
        </w:rPr>
        <w:t>6.8.2.1.23</w:t>
      </w:r>
      <w:r w:rsidRPr="00857CDA">
        <w:rPr>
          <w:b/>
          <w:lang w:val="ro-RO"/>
        </w:rPr>
        <w:tab/>
      </w:r>
      <w:r w:rsidR="00991390" w:rsidRPr="00857CDA">
        <w:rPr>
          <w:lang w:val="ro-RO"/>
        </w:rPr>
        <w:t>Pentru</w:t>
      </w:r>
      <w:r w:rsidR="00D226B0" w:rsidRPr="00857CDA">
        <w:rPr>
          <w:lang w:val="ro-RO"/>
        </w:rPr>
        <w:t xml:space="preserve"> </w:t>
      </w:r>
      <w:r w:rsidR="008B288A" w:rsidRPr="00857CDA">
        <w:rPr>
          <w:lang w:val="ro-RO"/>
        </w:rPr>
        <w:t>„</w:t>
      </w:r>
      <w:r w:rsidR="00D226B0" w:rsidRPr="00857CDA">
        <w:rPr>
          <w:lang w:val="ro-RO"/>
        </w:rPr>
        <w:sym w:font="Symbol" w:char="F06C"/>
      </w:r>
      <w:r w:rsidR="00D226B0" w:rsidRPr="00857CDA">
        <w:rPr>
          <w:lang w:val="ro-RO"/>
        </w:rPr>
        <w:t xml:space="preserve"> = 0,8</w:t>
      </w:r>
      <w:r w:rsidR="00660131" w:rsidRPr="00857CDA">
        <w:rPr>
          <w:lang w:val="ro-RO"/>
        </w:rPr>
        <w:t>”</w:t>
      </w:r>
      <w:r w:rsidR="00D226B0" w:rsidRPr="00857CDA">
        <w:rPr>
          <w:lang w:val="ro-RO"/>
        </w:rPr>
        <w:t xml:space="preserve">, </w:t>
      </w:r>
      <w:r w:rsidR="002B679C" w:rsidRPr="00857CDA">
        <w:rPr>
          <w:lang w:val="ro-RO"/>
        </w:rPr>
        <w:t>se modifică</w:t>
      </w:r>
      <w:r w:rsidR="00D226B0" w:rsidRPr="00857CDA">
        <w:rPr>
          <w:lang w:val="ro-RO"/>
        </w:rPr>
        <w:t xml:space="preserve"> </w:t>
      </w:r>
      <w:r w:rsidR="00970E20" w:rsidRPr="00857CDA">
        <w:rPr>
          <w:lang w:val="ro-RO"/>
        </w:rPr>
        <w:t>a doua frază</w:t>
      </w:r>
      <w:r w:rsidR="00536727" w:rsidRPr="00857CDA">
        <w:rPr>
          <w:lang w:val="ro-RO"/>
        </w:rPr>
        <w:t>, după cum urmează</w:t>
      </w:r>
      <w:r w:rsidR="00091658" w:rsidRPr="00857CDA">
        <w:rPr>
          <w:lang w:val="ro-RO"/>
        </w:rPr>
        <w:t>:</w:t>
      </w:r>
    </w:p>
    <w:p w:rsidR="007341C7" w:rsidRPr="00857CDA" w:rsidRDefault="008B288A" w:rsidP="00D226B0">
      <w:pPr>
        <w:pStyle w:val="SingleTxtG"/>
        <w:rPr>
          <w:lang w:val="ro-RO"/>
        </w:rPr>
      </w:pPr>
      <w:r w:rsidRPr="00857CDA">
        <w:rPr>
          <w:lang w:val="ro-RO"/>
        </w:rPr>
        <w:t>„</w:t>
      </w:r>
      <w:r w:rsidR="007341C7" w:rsidRPr="00857CDA">
        <w:rPr>
          <w:lang w:val="ro-RO"/>
        </w:rPr>
        <w:t xml:space="preserve">Examinările nedistructive trebuie să acopere toate nodurile de sudură </w:t>
      </w:r>
      <w:r w:rsidR="00B3285B" w:rsidRPr="00857CDA">
        <w:rPr>
          <w:lang w:val="ro-RO"/>
        </w:rPr>
        <w:t xml:space="preserve">în </w:t>
      </w:r>
      <w:r w:rsidR="007341C7" w:rsidRPr="00857CDA">
        <w:rPr>
          <w:lang w:val="ro-RO"/>
        </w:rPr>
        <w:t>„</w:t>
      </w:r>
      <w:r w:rsidR="007341C7" w:rsidRPr="00857CDA">
        <w:rPr>
          <w:b/>
          <w:lang w:val="ro-RO"/>
        </w:rPr>
        <w:t>T</w:t>
      </w:r>
      <w:r w:rsidR="007341C7" w:rsidRPr="00857CDA">
        <w:rPr>
          <w:lang w:val="ro-RO"/>
        </w:rPr>
        <w:t xml:space="preserve">", toate inserțiile utilizate pentru a evita sudurile în cruce și toate sudurile din zona de </w:t>
      </w:r>
      <w:r w:rsidR="005D4547" w:rsidRPr="00857CDA">
        <w:rPr>
          <w:lang w:val="ro-RO"/>
        </w:rPr>
        <w:t>racordare</w:t>
      </w:r>
      <w:r w:rsidR="007341C7" w:rsidRPr="00857CDA">
        <w:rPr>
          <w:lang w:val="ro-RO"/>
        </w:rPr>
        <w:t xml:space="preserve"> a fundurilor cisternei</w:t>
      </w:r>
      <w:r w:rsidR="007341C7" w:rsidRPr="00857CDA">
        <w:rPr>
          <w:bCs/>
          <w:lang w:val="ro-RO"/>
        </w:rPr>
        <w:t>.”.</w:t>
      </w:r>
    </w:p>
    <w:p w:rsidR="00D226B0" w:rsidRPr="00857CDA" w:rsidRDefault="00805662" w:rsidP="00D226B0">
      <w:pPr>
        <w:pStyle w:val="SingleTxtG"/>
        <w:rPr>
          <w:lang w:val="ro-RO"/>
        </w:rPr>
      </w:pPr>
      <w:r w:rsidRPr="00857CDA">
        <w:rPr>
          <w:bCs/>
          <w:lang w:val="ro-RO"/>
        </w:rPr>
        <w:t>6.8.2.1.23</w:t>
      </w:r>
      <w:r w:rsidRPr="00857CDA">
        <w:rPr>
          <w:b/>
          <w:lang w:val="ro-RO"/>
        </w:rPr>
        <w:tab/>
      </w:r>
      <w:r w:rsidR="00991390" w:rsidRPr="00857CDA">
        <w:rPr>
          <w:lang w:val="ro-RO"/>
        </w:rPr>
        <w:t>Pentru</w:t>
      </w:r>
      <w:r w:rsidR="00D226B0" w:rsidRPr="00857CDA">
        <w:rPr>
          <w:lang w:val="ro-RO"/>
        </w:rPr>
        <w:t xml:space="preserve"> </w:t>
      </w:r>
      <w:r w:rsidR="008B288A" w:rsidRPr="00857CDA">
        <w:rPr>
          <w:lang w:val="ro-RO"/>
        </w:rPr>
        <w:t>„</w:t>
      </w:r>
      <w:r w:rsidR="00D226B0" w:rsidRPr="00857CDA">
        <w:rPr>
          <w:lang w:val="ro-RO"/>
        </w:rPr>
        <w:sym w:font="Symbol" w:char="F06C"/>
      </w:r>
      <w:r w:rsidR="00D226B0" w:rsidRPr="00857CDA">
        <w:rPr>
          <w:lang w:val="ro-RO"/>
        </w:rPr>
        <w:t xml:space="preserve"> = 0,9</w:t>
      </w:r>
      <w:r w:rsidR="00660131" w:rsidRPr="00857CDA">
        <w:rPr>
          <w:lang w:val="ro-RO"/>
        </w:rPr>
        <w:t>”</w:t>
      </w:r>
      <w:r w:rsidR="00D226B0" w:rsidRPr="00857CDA">
        <w:rPr>
          <w:lang w:val="ro-RO"/>
        </w:rPr>
        <w:t xml:space="preserve">, </w:t>
      </w:r>
      <w:r w:rsidR="007341C7" w:rsidRPr="00857CDA">
        <w:rPr>
          <w:lang w:val="ro-RO"/>
        </w:rPr>
        <w:t>se modifică a doua frază, după cum urmează</w:t>
      </w:r>
      <w:r w:rsidR="00091658" w:rsidRPr="00857CDA">
        <w:rPr>
          <w:lang w:val="ro-RO"/>
        </w:rPr>
        <w:t>:</w:t>
      </w:r>
    </w:p>
    <w:p w:rsidR="00D226B0" w:rsidRPr="00857CDA" w:rsidRDefault="008B288A" w:rsidP="002615F7">
      <w:pPr>
        <w:pStyle w:val="SingleTxtG"/>
        <w:rPr>
          <w:lang w:val="ro-RO"/>
        </w:rPr>
      </w:pPr>
      <w:r w:rsidRPr="00857CDA">
        <w:rPr>
          <w:lang w:val="ro-RO"/>
        </w:rPr>
        <w:t>„</w:t>
      </w:r>
      <w:r w:rsidR="005D4547" w:rsidRPr="00857CDA">
        <w:rPr>
          <w:lang w:val="ro-RO"/>
        </w:rPr>
        <w:t>Examinările nedistructive trebuie să acopere toate nodurile de sudură, toate inserțiile utilizate pentru a evita sudurile în cruce, toate sudurile din zona de racordare a fundurilor cisternei și toate sudurile de asamblare ale echipamentelor de diametru important</w:t>
      </w:r>
      <w:r w:rsidR="00D226B0" w:rsidRPr="00857CDA">
        <w:rPr>
          <w:lang w:val="ro-RO"/>
        </w:rPr>
        <w:t>.</w:t>
      </w:r>
      <w:r w:rsidR="00660131" w:rsidRPr="00857CDA">
        <w:rPr>
          <w:lang w:val="ro-RO"/>
        </w:rPr>
        <w:t>”</w:t>
      </w:r>
      <w:r w:rsidR="00D226B0" w:rsidRPr="00857CDA">
        <w:rPr>
          <w:lang w:val="ro-RO"/>
        </w:rPr>
        <w:t>.</w:t>
      </w:r>
    </w:p>
    <w:p w:rsidR="005612F9" w:rsidRPr="00857CDA" w:rsidRDefault="005612F9" w:rsidP="005612F9">
      <w:pPr>
        <w:pStyle w:val="SingleTxtG"/>
        <w:spacing w:before="120"/>
        <w:rPr>
          <w:iCs/>
          <w:lang w:val="ro-RO"/>
        </w:rPr>
      </w:pPr>
      <w:r w:rsidRPr="00857CDA">
        <w:rPr>
          <w:iCs/>
          <w:lang w:val="ro-RO"/>
        </w:rPr>
        <w:t>6.8.2.2.2</w:t>
      </w:r>
      <w:r w:rsidRPr="00857CDA">
        <w:rPr>
          <w:iCs/>
          <w:lang w:val="ro-RO"/>
        </w:rPr>
        <w:tab/>
      </w:r>
      <w:r w:rsidR="00902C44" w:rsidRPr="00857CDA">
        <w:rPr>
          <w:iCs/>
          <w:lang w:val="ro-RO"/>
        </w:rPr>
        <w:t>Se modifică</w:t>
      </w:r>
      <w:r w:rsidRPr="00857CDA">
        <w:rPr>
          <w:iCs/>
          <w:lang w:val="ro-RO"/>
        </w:rPr>
        <w:t xml:space="preserve"> </w:t>
      </w:r>
      <w:r w:rsidR="008B288A" w:rsidRPr="00857CDA">
        <w:rPr>
          <w:lang w:val="ro-RO"/>
        </w:rPr>
        <w:t>„</w:t>
      </w:r>
      <w:r w:rsidR="002615F7" w:rsidRPr="00857CDA">
        <w:rPr>
          <w:lang w:val="ro-RO"/>
        </w:rPr>
        <w:t>un înveliș din ebonită sau din termoplastic</w:t>
      </w:r>
      <w:r w:rsidR="00660131" w:rsidRPr="00857CDA">
        <w:rPr>
          <w:iCs/>
          <w:lang w:val="ro-RO"/>
        </w:rPr>
        <w:t>”</w:t>
      </w:r>
      <w:r w:rsidR="00902C44" w:rsidRPr="00857CDA">
        <w:rPr>
          <w:iCs/>
          <w:lang w:val="ro-RO"/>
        </w:rPr>
        <w:t xml:space="preserve"> cu </w:t>
      </w:r>
      <w:r w:rsidR="008B288A" w:rsidRPr="00857CDA">
        <w:rPr>
          <w:lang w:val="ro-RO"/>
        </w:rPr>
        <w:t>„</w:t>
      </w:r>
      <w:r w:rsidR="002615F7" w:rsidRPr="00857CDA">
        <w:rPr>
          <w:lang w:val="ro-RO"/>
        </w:rPr>
        <w:t xml:space="preserve">un înveliș </w:t>
      </w:r>
      <w:r w:rsidRPr="00857CDA">
        <w:rPr>
          <w:iCs/>
          <w:lang w:val="ro-RO"/>
        </w:rPr>
        <w:t>protect</w:t>
      </w:r>
      <w:r w:rsidR="002615F7" w:rsidRPr="00857CDA">
        <w:rPr>
          <w:iCs/>
          <w:lang w:val="ro-RO"/>
        </w:rPr>
        <w:t>o</w:t>
      </w:r>
      <w:r w:rsidRPr="00857CDA">
        <w:rPr>
          <w:iCs/>
          <w:lang w:val="ro-RO"/>
        </w:rPr>
        <w:t>r</w:t>
      </w:r>
      <w:r w:rsidR="00660131" w:rsidRPr="00857CDA">
        <w:rPr>
          <w:iCs/>
          <w:lang w:val="ro-RO"/>
        </w:rPr>
        <w:t>”</w:t>
      </w:r>
      <w:r w:rsidRPr="00857CDA">
        <w:rPr>
          <w:iCs/>
          <w:lang w:val="ro-RO"/>
        </w:rPr>
        <w:t>.</w:t>
      </w:r>
    </w:p>
    <w:p w:rsidR="007702E0" w:rsidRPr="00857CDA" w:rsidRDefault="007702E0" w:rsidP="00E03A3F">
      <w:pPr>
        <w:pStyle w:val="SingleTxtG"/>
        <w:rPr>
          <w:b/>
          <w:lang w:val="ro-RO"/>
        </w:rPr>
      </w:pPr>
      <w:r w:rsidRPr="00857CDA">
        <w:rPr>
          <w:bCs/>
          <w:lang w:val="ro-RO"/>
        </w:rPr>
        <w:t>6.8.2.2.3</w:t>
      </w:r>
      <w:r w:rsidRPr="00857CDA">
        <w:rPr>
          <w:b/>
          <w:lang w:val="ro-RO"/>
        </w:rPr>
        <w:tab/>
      </w:r>
      <w:r w:rsidR="00902C44" w:rsidRPr="00857CDA">
        <w:rPr>
          <w:lang w:val="ro-RO"/>
        </w:rPr>
        <w:t>Se adaugă</w:t>
      </w:r>
      <w:r w:rsidRPr="00857CDA">
        <w:rPr>
          <w:lang w:val="ro-RO"/>
        </w:rPr>
        <w:t xml:space="preserve"> </w:t>
      </w:r>
      <w:r w:rsidR="002615F7" w:rsidRPr="00857CDA">
        <w:rPr>
          <w:lang w:val="ro-RO"/>
        </w:rPr>
        <w:t xml:space="preserve">la sfârșit </w:t>
      </w:r>
      <w:r w:rsidRPr="00857CDA">
        <w:rPr>
          <w:lang w:val="ro-RO"/>
        </w:rPr>
        <w:t>un nou</w:t>
      </w:r>
      <w:r w:rsidR="002615F7" w:rsidRPr="00857CDA">
        <w:rPr>
          <w:lang w:val="ro-RO"/>
        </w:rPr>
        <w:t xml:space="preserve"> </w:t>
      </w:r>
      <w:r w:rsidR="00970E20" w:rsidRPr="00857CDA">
        <w:rPr>
          <w:lang w:val="ro-RO"/>
        </w:rPr>
        <w:t>paragraf</w:t>
      </w:r>
      <w:r w:rsidR="002615F7" w:rsidRPr="00857CDA">
        <w:rPr>
          <w:lang w:val="ro-RO"/>
        </w:rPr>
        <w:t>, după cum urmează</w:t>
      </w:r>
      <w:r w:rsidR="00091658" w:rsidRPr="00857CDA">
        <w:rPr>
          <w:lang w:val="ro-RO"/>
        </w:rPr>
        <w:t>:</w:t>
      </w:r>
    </w:p>
    <w:p w:rsidR="007702E0" w:rsidRPr="00857CDA" w:rsidRDefault="008B288A" w:rsidP="0025601D">
      <w:pPr>
        <w:pStyle w:val="SingleTxtG"/>
        <w:rPr>
          <w:lang w:val="ro-RO"/>
        </w:rPr>
      </w:pPr>
      <w:r w:rsidRPr="00857CDA">
        <w:rPr>
          <w:lang w:val="ro-RO"/>
        </w:rPr>
        <w:t>„</w:t>
      </w:r>
      <w:r w:rsidR="00B3285B" w:rsidRPr="00857CDA">
        <w:rPr>
          <w:lang w:val="ro-RO"/>
        </w:rPr>
        <w:t>În cazul dispozitivelor de respirație, opritoarele de flăcări trebuie să fie adaptate la vaporii emiși de substanțele transportate (interstițiul experimental maxim de siguranță - IEMS), la intervalul de temperaturi și utilizarea prevăzută. Acestea trebuie să îndeplinească prescripțiile și încercările specificate în standardul EN ISO 16852:2016 (Opritoare de flacără - Cerinţe de performanţă, metode de încercare şi limite de utilizare) pentru cazurile enumerate în tabelul de mai jos</w:t>
      </w:r>
      <w:r w:rsidR="007702E0" w:rsidRPr="00857CDA">
        <w:rPr>
          <w:lang w:val="ro-RO"/>
        </w:rPr>
        <w:t>:</w:t>
      </w:r>
    </w:p>
    <w:p w:rsidR="005D4547" w:rsidRPr="00857CDA" w:rsidRDefault="005D4547" w:rsidP="0025601D">
      <w:pPr>
        <w:pStyle w:val="SingleTxtG"/>
        <w:rPr>
          <w:lang w:val="ro-RO"/>
        </w:rPr>
      </w:pPr>
    </w:p>
    <w:p w:rsidR="005D4547" w:rsidRPr="00857CDA" w:rsidRDefault="005D4547" w:rsidP="0025601D">
      <w:pPr>
        <w:pStyle w:val="SingleTxtG"/>
        <w:rPr>
          <w:lang w:val="ro-RO"/>
        </w:rPr>
      </w:pPr>
    </w:p>
    <w:tbl>
      <w:tblPr>
        <w:tblStyle w:val="TableGrid"/>
        <w:tblW w:w="7655" w:type="dxa"/>
        <w:tblInd w:w="1139" w:type="dxa"/>
        <w:tblLayout w:type="fixed"/>
        <w:tblLook w:val="04A0" w:firstRow="1" w:lastRow="0" w:firstColumn="1" w:lastColumn="0" w:noHBand="0" w:noVBand="1"/>
      </w:tblPr>
      <w:tblGrid>
        <w:gridCol w:w="2552"/>
        <w:gridCol w:w="5103"/>
      </w:tblGrid>
      <w:tr w:rsidR="007702E0" w:rsidRPr="00857CDA" w:rsidTr="00B3285B">
        <w:trPr>
          <w:cantSplit/>
        </w:trPr>
        <w:tc>
          <w:tcPr>
            <w:tcW w:w="2552" w:type="dxa"/>
            <w:shd w:val="clear" w:color="auto" w:fill="auto"/>
            <w:vAlign w:val="bottom"/>
          </w:tcPr>
          <w:p w:rsidR="007702E0" w:rsidRPr="00857CDA" w:rsidRDefault="007702E0" w:rsidP="0025601D">
            <w:pPr>
              <w:spacing w:after="120"/>
              <w:ind w:left="127"/>
              <w:jc w:val="center"/>
              <w:rPr>
                <w:b/>
                <w:lang w:val="ro-RO"/>
              </w:rPr>
            </w:pPr>
            <w:r w:rsidRPr="00857CDA">
              <w:rPr>
                <w:b/>
                <w:lang w:val="ro-RO"/>
              </w:rPr>
              <w:lastRenderedPageBreak/>
              <w:t>Aplica</w:t>
            </w:r>
            <w:r w:rsidR="0025601D" w:rsidRPr="00857CDA">
              <w:rPr>
                <w:b/>
                <w:lang w:val="ro-RO"/>
              </w:rPr>
              <w:t>re</w:t>
            </w:r>
            <w:r w:rsidRPr="00857CDA">
              <w:rPr>
                <w:b/>
                <w:lang w:val="ro-RO"/>
              </w:rPr>
              <w:t>/instala</w:t>
            </w:r>
            <w:r w:rsidR="0025601D" w:rsidRPr="00857CDA">
              <w:rPr>
                <w:b/>
                <w:lang w:val="ro-RO"/>
              </w:rPr>
              <w:t>re</w:t>
            </w:r>
          </w:p>
        </w:tc>
        <w:tc>
          <w:tcPr>
            <w:tcW w:w="5103" w:type="dxa"/>
            <w:shd w:val="clear" w:color="auto" w:fill="auto"/>
            <w:vAlign w:val="bottom"/>
          </w:tcPr>
          <w:p w:rsidR="007702E0" w:rsidRPr="00857CDA" w:rsidRDefault="0025601D" w:rsidP="0025601D">
            <w:pPr>
              <w:spacing w:after="120"/>
              <w:ind w:left="134"/>
              <w:rPr>
                <w:b/>
                <w:lang w:val="ro-RO"/>
              </w:rPr>
            </w:pPr>
            <w:r w:rsidRPr="00857CDA">
              <w:rPr>
                <w:b/>
                <w:lang w:val="ro-RO"/>
              </w:rPr>
              <w:t>Cerințe privind încercările</w:t>
            </w:r>
          </w:p>
        </w:tc>
      </w:tr>
      <w:tr w:rsidR="007702E0" w:rsidRPr="00857CDA" w:rsidTr="00B3285B">
        <w:trPr>
          <w:cantSplit/>
        </w:trPr>
        <w:tc>
          <w:tcPr>
            <w:tcW w:w="2552" w:type="dxa"/>
            <w:tcBorders>
              <w:bottom w:val="single" w:sz="4" w:space="0" w:color="auto"/>
            </w:tcBorders>
            <w:shd w:val="clear" w:color="auto" w:fill="auto"/>
          </w:tcPr>
          <w:p w:rsidR="007702E0" w:rsidRPr="00857CDA" w:rsidRDefault="007702E0" w:rsidP="00B3285B">
            <w:pPr>
              <w:spacing w:after="120"/>
              <w:jc w:val="center"/>
              <w:rPr>
                <w:lang w:val="ro-RO"/>
              </w:rPr>
            </w:pPr>
            <w:r w:rsidRPr="00857CDA">
              <w:rPr>
                <w:lang w:val="ro-RO"/>
              </w:rPr>
              <w:t>Comunic</w:t>
            </w:r>
            <w:r w:rsidR="0076473C" w:rsidRPr="00857CDA">
              <w:rPr>
                <w:lang w:val="ro-RO"/>
              </w:rPr>
              <w:t>ă</w:t>
            </w:r>
            <w:r w:rsidRPr="00857CDA">
              <w:rPr>
                <w:lang w:val="ro-RO"/>
              </w:rPr>
              <w:t xml:space="preserve"> direct</w:t>
            </w:r>
            <w:r w:rsidR="0025601D" w:rsidRPr="00857CDA">
              <w:rPr>
                <w:lang w:val="ro-RO"/>
              </w:rPr>
              <w:t>ă</w:t>
            </w:r>
            <w:r w:rsidRPr="00857CDA">
              <w:rPr>
                <w:lang w:val="ro-RO"/>
              </w:rPr>
              <w:t xml:space="preserve"> </w:t>
            </w:r>
            <w:r w:rsidR="0025601D" w:rsidRPr="00857CDA">
              <w:rPr>
                <w:lang w:val="ro-RO"/>
              </w:rPr>
              <w:t>cu atmosfera</w:t>
            </w:r>
          </w:p>
        </w:tc>
        <w:tc>
          <w:tcPr>
            <w:tcW w:w="5103" w:type="dxa"/>
            <w:shd w:val="clear" w:color="auto" w:fill="auto"/>
          </w:tcPr>
          <w:p w:rsidR="007702E0" w:rsidRPr="00857CDA" w:rsidRDefault="007702E0" w:rsidP="007702E0">
            <w:pPr>
              <w:spacing w:after="120"/>
              <w:ind w:left="134"/>
              <w:rPr>
                <w:lang w:val="ro-RO"/>
              </w:rPr>
            </w:pPr>
            <w:r w:rsidRPr="00857CDA">
              <w:rPr>
                <w:lang w:val="ro-RO"/>
              </w:rPr>
              <w:t>EN ISO 16852:2016, 7.3.2.1</w:t>
            </w:r>
          </w:p>
        </w:tc>
      </w:tr>
      <w:tr w:rsidR="00B3285B" w:rsidRPr="007D305F" w:rsidTr="00B3285B">
        <w:trPr>
          <w:cantSplit/>
        </w:trPr>
        <w:tc>
          <w:tcPr>
            <w:tcW w:w="2552" w:type="dxa"/>
            <w:vMerge w:val="restart"/>
            <w:shd w:val="clear" w:color="auto" w:fill="auto"/>
          </w:tcPr>
          <w:p w:rsidR="00B3285B" w:rsidRPr="00857CDA" w:rsidRDefault="00B3285B" w:rsidP="005D4547">
            <w:pPr>
              <w:spacing w:after="120"/>
              <w:ind w:left="127"/>
              <w:jc w:val="center"/>
              <w:rPr>
                <w:lang w:val="ro-RO"/>
              </w:rPr>
            </w:pPr>
            <w:r w:rsidRPr="00857CDA">
              <w:rPr>
                <w:lang w:val="ro-RO"/>
              </w:rPr>
              <w:t>Comunică cu sistemul de recuperare a vaporilor</w:t>
            </w:r>
          </w:p>
        </w:tc>
        <w:tc>
          <w:tcPr>
            <w:tcW w:w="5103" w:type="dxa"/>
            <w:shd w:val="clear" w:color="auto" w:fill="auto"/>
            <w:vAlign w:val="bottom"/>
          </w:tcPr>
          <w:p w:rsidR="00B3285B" w:rsidRPr="00857CDA" w:rsidRDefault="00B3285B" w:rsidP="005D4547">
            <w:pPr>
              <w:spacing w:after="120"/>
              <w:ind w:left="134"/>
              <w:rPr>
                <w:lang w:val="ro-RO"/>
              </w:rPr>
            </w:pPr>
            <w:r w:rsidRPr="00857CDA">
              <w:rPr>
                <w:lang w:val="ro-RO"/>
              </w:rPr>
              <w:t>EN ISO 16852:2016, 7.3.3.2 (se aplică ansamblului supapă/opritor de flăcări atunci când sunt încercate împreună)</w:t>
            </w:r>
          </w:p>
        </w:tc>
      </w:tr>
      <w:tr w:rsidR="00B3285B" w:rsidRPr="007D305F" w:rsidTr="00B3285B">
        <w:trPr>
          <w:cantSplit/>
        </w:trPr>
        <w:tc>
          <w:tcPr>
            <w:tcW w:w="2552" w:type="dxa"/>
            <w:vMerge/>
            <w:shd w:val="clear" w:color="auto" w:fill="auto"/>
          </w:tcPr>
          <w:p w:rsidR="00B3285B" w:rsidRPr="00857CDA" w:rsidRDefault="00B3285B" w:rsidP="007702E0">
            <w:pPr>
              <w:spacing w:after="120"/>
              <w:ind w:left="127"/>
              <w:rPr>
                <w:lang w:val="ro-RO"/>
              </w:rPr>
            </w:pPr>
          </w:p>
        </w:tc>
        <w:tc>
          <w:tcPr>
            <w:tcW w:w="5103" w:type="dxa"/>
            <w:shd w:val="clear" w:color="auto" w:fill="auto"/>
            <w:vAlign w:val="bottom"/>
          </w:tcPr>
          <w:p w:rsidR="00B3285B" w:rsidRPr="00857CDA" w:rsidRDefault="00B3285B" w:rsidP="005D4547">
            <w:pPr>
              <w:spacing w:after="120"/>
              <w:ind w:left="134"/>
              <w:rPr>
                <w:lang w:val="ro-RO"/>
              </w:rPr>
            </w:pPr>
            <w:r w:rsidRPr="00857CDA">
              <w:rPr>
                <w:lang w:val="ro-RO"/>
              </w:rPr>
              <w:t>EN ISO 16852:2016, 7.3.3.3 (se aplică opritoarelor de flăcări atunci când sunt încercate separat de supape)</w:t>
            </w:r>
          </w:p>
        </w:tc>
      </w:tr>
    </w:tbl>
    <w:p w:rsidR="007702E0" w:rsidRPr="00857CDA" w:rsidRDefault="00660131" w:rsidP="007702E0">
      <w:pPr>
        <w:pStyle w:val="SingleTxtG"/>
        <w:rPr>
          <w:lang w:val="ro-RO"/>
        </w:rPr>
      </w:pPr>
      <w:r w:rsidRPr="00857CDA">
        <w:rPr>
          <w:lang w:val="ro-RO"/>
        </w:rPr>
        <w:t>“</w:t>
      </w:r>
      <w:r w:rsidR="007702E0" w:rsidRPr="00857CDA">
        <w:rPr>
          <w:lang w:val="ro-RO"/>
        </w:rPr>
        <w:t>.</w:t>
      </w:r>
    </w:p>
    <w:p w:rsidR="00722C49" w:rsidRPr="00857CDA" w:rsidRDefault="00722C49" w:rsidP="00722C49">
      <w:pPr>
        <w:pStyle w:val="SingleTxtG"/>
        <w:rPr>
          <w:b/>
          <w:lang w:val="ro-RO"/>
        </w:rPr>
      </w:pPr>
      <w:r w:rsidRPr="00857CDA">
        <w:rPr>
          <w:bCs/>
          <w:lang w:val="ro-RO"/>
        </w:rPr>
        <w:t>6.8.2.2.10</w:t>
      </w:r>
      <w:r w:rsidRPr="00857CDA">
        <w:rPr>
          <w:b/>
          <w:lang w:val="ro-RO"/>
        </w:rPr>
        <w:tab/>
      </w:r>
      <w:r w:rsidR="002B679C" w:rsidRPr="00857CDA">
        <w:rPr>
          <w:lang w:val="ro-RO"/>
        </w:rPr>
        <w:t>Se modifică</w:t>
      </w:r>
      <w:r w:rsidRPr="00857CDA">
        <w:rPr>
          <w:lang w:val="ro-RO"/>
        </w:rPr>
        <w:t xml:space="preserve"> </w:t>
      </w:r>
      <w:r w:rsidR="00BF0A38" w:rsidRPr="00857CDA">
        <w:rPr>
          <w:lang w:val="ro-RO"/>
        </w:rPr>
        <w:t>cel de al doilea</w:t>
      </w:r>
      <w:r w:rsidRPr="00857CDA">
        <w:rPr>
          <w:lang w:val="ro-RO"/>
        </w:rPr>
        <w:t xml:space="preserve"> </w:t>
      </w:r>
      <w:r w:rsidR="00970E20" w:rsidRPr="00857CDA">
        <w:rPr>
          <w:lang w:val="ro-RO"/>
        </w:rPr>
        <w:t>paragraf</w:t>
      </w:r>
      <w:r w:rsidR="002B679C" w:rsidRPr="00857CDA">
        <w:rPr>
          <w:lang w:val="ro-RO"/>
        </w:rPr>
        <w:t>, după cum urmează</w:t>
      </w:r>
      <w:r w:rsidR="00091658" w:rsidRPr="00857CDA">
        <w:rPr>
          <w:lang w:val="ro-RO"/>
        </w:rPr>
        <w:t>:</w:t>
      </w:r>
    </w:p>
    <w:p w:rsidR="00722C49" w:rsidRPr="00857CDA" w:rsidRDefault="008B288A" w:rsidP="00BF0A38">
      <w:pPr>
        <w:pStyle w:val="SingleTxtG"/>
        <w:rPr>
          <w:lang w:val="ro-RO"/>
        </w:rPr>
      </w:pPr>
      <w:r w:rsidRPr="00857CDA">
        <w:rPr>
          <w:lang w:val="ro-RO"/>
        </w:rPr>
        <w:t>„</w:t>
      </w:r>
      <w:r w:rsidR="00BF0A38" w:rsidRPr="00857CDA">
        <w:rPr>
          <w:lang w:val="ro-RO"/>
        </w:rPr>
        <w:t>Discul de rupere trebuie să producă o presiune nominală cuprinsă între 0,9 și 1 presiunea de încercare, cu excepția cisternelor destinate transportului de gaze comprimate, lichefiate sau dizolvate, pentru care dispunerea discului de rupere și a supapei de siguranță trebuie să se îndeplinească prescripțiile autorității competente. Un manometru sau alt indicator corespunzător trebuie instalat în spațiul dintre discul de rupere și supapa de siguranță pentru a detecta o ruptură, perforare sau scurgere pe la disc</w:t>
      </w:r>
      <w:r w:rsidR="00722C49" w:rsidRPr="00857CDA">
        <w:rPr>
          <w:lang w:val="ro-RO"/>
        </w:rPr>
        <w:t>.</w:t>
      </w:r>
      <w:r w:rsidR="00660131" w:rsidRPr="00857CDA">
        <w:rPr>
          <w:lang w:val="ro-RO"/>
        </w:rPr>
        <w:t>”</w:t>
      </w:r>
      <w:r w:rsidR="00722C49" w:rsidRPr="00857CDA">
        <w:rPr>
          <w:lang w:val="ro-RO"/>
        </w:rPr>
        <w:t>.</w:t>
      </w:r>
    </w:p>
    <w:p w:rsidR="005612F9" w:rsidRPr="00857CDA" w:rsidRDefault="005612F9" w:rsidP="005612F9">
      <w:pPr>
        <w:pStyle w:val="SingleTxtG"/>
        <w:rPr>
          <w:lang w:val="ro-RO"/>
        </w:rPr>
      </w:pPr>
      <w:r w:rsidRPr="00857CDA">
        <w:rPr>
          <w:lang w:val="ro-RO"/>
        </w:rPr>
        <w:t>6.8.2.2.11</w:t>
      </w:r>
      <w:r w:rsidRPr="00857CDA">
        <w:rPr>
          <w:lang w:val="ro-RO"/>
        </w:rPr>
        <w:tab/>
      </w:r>
      <w:r w:rsidR="009D1493" w:rsidRPr="00857CDA">
        <w:rPr>
          <w:lang w:val="ro-RO"/>
        </w:rPr>
        <w:t xml:space="preserve">Se adaugă la sfârșit </w:t>
      </w:r>
      <w:r w:rsidR="00B25F40" w:rsidRPr="00857CDA">
        <w:rPr>
          <w:lang w:val="ro-RO"/>
        </w:rPr>
        <w:t xml:space="preserve">următorul </w:t>
      </w:r>
      <w:r w:rsidR="00BF0A38" w:rsidRPr="00857CDA">
        <w:rPr>
          <w:lang w:val="ro-RO"/>
        </w:rPr>
        <w:t>paragraf nou</w:t>
      </w:r>
      <w:r w:rsidRPr="00857CDA">
        <w:rPr>
          <w:lang w:val="ro-RO"/>
        </w:rPr>
        <w:t>:</w:t>
      </w:r>
    </w:p>
    <w:p w:rsidR="005612F9" w:rsidRPr="00857CDA" w:rsidRDefault="008B288A" w:rsidP="006314C2">
      <w:pPr>
        <w:pStyle w:val="SingleTxtG"/>
        <w:rPr>
          <w:lang w:val="ro-RO"/>
        </w:rPr>
      </w:pPr>
      <w:r w:rsidRPr="00857CDA">
        <w:rPr>
          <w:lang w:val="ro-RO"/>
        </w:rPr>
        <w:t>„</w:t>
      </w:r>
      <w:r w:rsidR="006314C2" w:rsidRPr="00857CDA">
        <w:rPr>
          <w:lang w:val="ro-RO"/>
        </w:rPr>
        <w:t>Nu trebuie să fie utilizate indicatoarele de nivel din sticlă sau din alte materiale fragile, dacă sunt în contact direct cu conținutul rezervorului</w:t>
      </w:r>
      <w:r w:rsidR="005612F9" w:rsidRPr="00857CDA">
        <w:rPr>
          <w:lang w:val="ro-RO"/>
        </w:rPr>
        <w:t>.</w:t>
      </w:r>
      <w:r w:rsidR="00660131" w:rsidRPr="00857CDA">
        <w:rPr>
          <w:iCs/>
          <w:lang w:val="ro-RO"/>
        </w:rPr>
        <w:t>”</w:t>
      </w:r>
      <w:r w:rsidR="005612F9" w:rsidRPr="00857CDA">
        <w:rPr>
          <w:lang w:val="ro-RO"/>
        </w:rPr>
        <w:t>.</w:t>
      </w:r>
    </w:p>
    <w:p w:rsidR="00D93212" w:rsidRPr="00857CDA" w:rsidRDefault="00D93212" w:rsidP="00D93212">
      <w:pPr>
        <w:pStyle w:val="SingleTxtG"/>
        <w:rPr>
          <w:lang w:val="ro-RO"/>
        </w:rPr>
      </w:pPr>
      <w:r w:rsidRPr="00857CDA">
        <w:rPr>
          <w:bCs/>
          <w:lang w:val="ro-RO"/>
        </w:rPr>
        <w:t>6.8.2.3.1</w:t>
      </w:r>
      <w:r w:rsidRPr="00857CDA">
        <w:rPr>
          <w:b/>
          <w:lang w:val="ro-RO"/>
        </w:rPr>
        <w:tab/>
      </w:r>
      <w:r w:rsidR="002B679C" w:rsidRPr="00857CDA">
        <w:rPr>
          <w:lang w:val="ro-RO"/>
        </w:rPr>
        <w:t>Se modifică</w:t>
      </w:r>
      <w:r w:rsidRPr="00857CDA">
        <w:rPr>
          <w:lang w:val="ro-RO"/>
        </w:rPr>
        <w:t xml:space="preserve"> </w:t>
      </w:r>
      <w:r w:rsidR="006314C2" w:rsidRPr="00857CDA">
        <w:rPr>
          <w:lang w:val="ro-RO"/>
        </w:rPr>
        <w:t xml:space="preserve">al </w:t>
      </w:r>
      <w:r w:rsidR="00857CDA" w:rsidRPr="00857CDA">
        <w:rPr>
          <w:lang w:val="ro-RO"/>
        </w:rPr>
        <w:t>doilea</w:t>
      </w:r>
      <w:r w:rsidR="006314C2" w:rsidRPr="00857CDA">
        <w:rPr>
          <w:lang w:val="ro-RO"/>
        </w:rPr>
        <w:t xml:space="preserve"> alineat astfel încât să cuprindă întreaga pagină</w:t>
      </w:r>
      <w:r w:rsidR="00091658" w:rsidRPr="00857CDA">
        <w:rPr>
          <w:lang w:val="ro-RO"/>
        </w:rPr>
        <w:t>:</w:t>
      </w:r>
    </w:p>
    <w:p w:rsidR="00D93212" w:rsidRPr="00857CDA" w:rsidRDefault="008B288A" w:rsidP="006314C2">
      <w:pPr>
        <w:pStyle w:val="SingleTxtG"/>
        <w:rPr>
          <w:b/>
          <w:lang w:val="ro-RO"/>
        </w:rPr>
      </w:pPr>
      <w:r w:rsidRPr="00857CDA">
        <w:rPr>
          <w:lang w:val="ro-RO"/>
        </w:rPr>
        <w:t>„</w:t>
      </w:r>
      <w:r w:rsidR="00D93212" w:rsidRPr="00857CDA">
        <w:rPr>
          <w:lang w:val="ro-RO"/>
        </w:rPr>
        <w:t>‒</w:t>
      </w:r>
      <w:r w:rsidR="00D93212" w:rsidRPr="00857CDA">
        <w:rPr>
          <w:lang w:val="ro-RO"/>
        </w:rPr>
        <w:tab/>
        <w:t>num</w:t>
      </w:r>
      <w:r w:rsidR="006314C2" w:rsidRPr="00857CDA">
        <w:rPr>
          <w:lang w:val="ro-RO"/>
        </w:rPr>
        <w:t>ărul de omologare de tip trebuie să se compună din semnul distinctiv utilizat pe vehiculele aflate în circulație rutieră internațională</w:t>
      </w:r>
      <w:r w:rsidR="006314C2" w:rsidRPr="00857CDA">
        <w:rPr>
          <w:b/>
          <w:vertAlign w:val="superscript"/>
          <w:lang w:val="ro-RO"/>
        </w:rPr>
        <w:t>9</w:t>
      </w:r>
      <w:r w:rsidR="006314C2" w:rsidRPr="00857CDA">
        <w:rPr>
          <w:lang w:val="ro-RO"/>
        </w:rPr>
        <w:t xml:space="preserve"> al statului în care omologarea a fost dată și un număr de înmatriculare</w:t>
      </w:r>
      <w:r w:rsidR="00824F7C">
        <w:rPr>
          <w:lang w:val="ro-RO"/>
        </w:rPr>
        <w:t>;</w:t>
      </w:r>
      <w:r w:rsidR="00660131" w:rsidRPr="00857CDA">
        <w:rPr>
          <w:lang w:val="ro-RO"/>
        </w:rPr>
        <w:t>”</w:t>
      </w:r>
      <w:r w:rsidR="00D93212" w:rsidRPr="00857CDA">
        <w:rPr>
          <w:lang w:val="ro-RO"/>
        </w:rPr>
        <w:t>.</w:t>
      </w:r>
    </w:p>
    <w:p w:rsidR="005612F9" w:rsidRPr="00857CDA" w:rsidRDefault="005612F9" w:rsidP="00286CE7">
      <w:pPr>
        <w:pStyle w:val="SingleTxtG"/>
        <w:tabs>
          <w:tab w:val="left" w:pos="3261"/>
        </w:tabs>
        <w:rPr>
          <w:iCs/>
          <w:lang w:val="ro-RO"/>
        </w:rPr>
      </w:pPr>
      <w:r w:rsidRPr="00857CDA">
        <w:rPr>
          <w:iCs/>
          <w:lang w:val="ro-RO"/>
        </w:rPr>
        <w:t>6.8.2.4.2</w:t>
      </w:r>
      <w:r w:rsidR="004C27AD" w:rsidRPr="00857CDA">
        <w:rPr>
          <w:iCs/>
          <w:lang w:val="ro-RO"/>
        </w:rPr>
        <w:t xml:space="preserve"> și </w:t>
      </w:r>
      <w:r w:rsidRPr="00857CDA">
        <w:rPr>
          <w:iCs/>
          <w:lang w:val="ro-RO"/>
        </w:rPr>
        <w:t>6.8.2.</w:t>
      </w:r>
      <w:r w:rsidR="00286CE7" w:rsidRPr="00857CDA">
        <w:rPr>
          <w:iCs/>
          <w:lang w:val="ro-RO"/>
        </w:rPr>
        <w:t>4.3</w:t>
      </w:r>
      <w:r w:rsidR="00D226B0" w:rsidRPr="00857CDA">
        <w:rPr>
          <w:iCs/>
          <w:lang w:val="ro-RO"/>
        </w:rPr>
        <w:tab/>
      </w:r>
      <w:r w:rsidR="006314C2" w:rsidRPr="00857CDA">
        <w:rPr>
          <w:iCs/>
          <w:lang w:val="ro-RO"/>
        </w:rPr>
        <w:t xml:space="preserve">La sfârșit se adaugă un nou </w:t>
      </w:r>
      <w:r w:rsidR="006A1ED1" w:rsidRPr="00857CDA">
        <w:rPr>
          <w:iCs/>
          <w:lang w:val="ro-RO"/>
        </w:rPr>
        <w:t>paragraf</w:t>
      </w:r>
      <w:r w:rsidR="006314C2" w:rsidRPr="00857CDA">
        <w:rPr>
          <w:iCs/>
          <w:lang w:val="ro-RO"/>
        </w:rPr>
        <w:t>, după cum urmează</w:t>
      </w:r>
      <w:r w:rsidR="00091658" w:rsidRPr="00857CDA">
        <w:rPr>
          <w:iCs/>
          <w:lang w:val="ro-RO"/>
        </w:rPr>
        <w:t>:</w:t>
      </w:r>
    </w:p>
    <w:p w:rsidR="005612F9" w:rsidRPr="00857CDA" w:rsidRDefault="008B288A" w:rsidP="005612F9">
      <w:pPr>
        <w:pStyle w:val="SingleTxtG"/>
        <w:rPr>
          <w:iCs/>
          <w:lang w:val="ro-RO"/>
        </w:rPr>
      </w:pPr>
      <w:r w:rsidRPr="00857CDA">
        <w:rPr>
          <w:lang w:val="ro-RO"/>
        </w:rPr>
        <w:t>„</w:t>
      </w:r>
      <w:r w:rsidR="00C07143" w:rsidRPr="00857CDA">
        <w:rPr>
          <w:lang w:val="ro-RO"/>
        </w:rPr>
        <w:t>Acoperirile de protecție trebuie inspectate vizual pentru detectarea eventualelor defecțiuni. În cazul unui defect, starea stratului de acoperire trebuie evaluată prin încercări adecvate.</w:t>
      </w:r>
      <w:r w:rsidR="00660131" w:rsidRPr="00857CDA">
        <w:rPr>
          <w:lang w:val="ro-RO"/>
        </w:rPr>
        <w:t>“</w:t>
      </w:r>
      <w:r w:rsidR="005612F9" w:rsidRPr="00857CDA">
        <w:rPr>
          <w:lang w:val="ro-RO"/>
        </w:rPr>
        <w:t>.</w:t>
      </w:r>
    </w:p>
    <w:p w:rsidR="005612F9" w:rsidRPr="00857CDA" w:rsidRDefault="005612F9" w:rsidP="005612F9">
      <w:pPr>
        <w:pStyle w:val="SingleTxtG"/>
        <w:rPr>
          <w:rFonts w:cs="Arial"/>
          <w:bCs/>
          <w:szCs w:val="22"/>
          <w:lang w:val="ro-RO"/>
        </w:rPr>
      </w:pPr>
      <w:r w:rsidRPr="00857CDA">
        <w:rPr>
          <w:lang w:val="ro-RO"/>
        </w:rPr>
        <w:t>6.8.2.6.1</w:t>
      </w:r>
      <w:r w:rsidRPr="00857CDA">
        <w:rPr>
          <w:lang w:val="ro-RO"/>
        </w:rPr>
        <w:tab/>
      </w:r>
      <w:r w:rsidR="00902C44" w:rsidRPr="00857CDA">
        <w:rPr>
          <w:rFonts w:cs="Arial"/>
          <w:szCs w:val="22"/>
          <w:lang w:val="ro-RO"/>
        </w:rPr>
        <w:t xml:space="preserve">În </w:t>
      </w:r>
      <w:r w:rsidR="00463BBB" w:rsidRPr="00857CDA">
        <w:rPr>
          <w:lang w:val="ro-RO"/>
        </w:rPr>
        <w:t>tabel</w:t>
      </w:r>
      <w:r w:rsidRPr="00857CDA">
        <w:rPr>
          <w:lang w:val="ro-RO"/>
        </w:rPr>
        <w:t>, su</w:t>
      </w:r>
      <w:r w:rsidR="00C07143" w:rsidRPr="00857CDA">
        <w:rPr>
          <w:lang w:val="ro-RO"/>
        </w:rPr>
        <w:t>b</w:t>
      </w:r>
      <w:r w:rsidRPr="00857CDA">
        <w:rPr>
          <w:lang w:val="ro-RO"/>
        </w:rPr>
        <w:t xml:space="preserve"> </w:t>
      </w:r>
      <w:r w:rsidR="008B288A" w:rsidRPr="00857CDA">
        <w:rPr>
          <w:lang w:val="ro-RO"/>
        </w:rPr>
        <w:t>„</w:t>
      </w:r>
      <w:r w:rsidR="00991390" w:rsidRPr="00857CDA">
        <w:rPr>
          <w:i/>
          <w:lang w:val="ro-RO"/>
        </w:rPr>
        <w:t>Pentru</w:t>
      </w:r>
      <w:r w:rsidRPr="00857CDA">
        <w:rPr>
          <w:i/>
          <w:lang w:val="ro-RO"/>
        </w:rPr>
        <w:t xml:space="preserve"> concep</w:t>
      </w:r>
      <w:r w:rsidR="00C07143" w:rsidRPr="00857CDA">
        <w:rPr>
          <w:i/>
          <w:lang w:val="ro-RO"/>
        </w:rPr>
        <w:t>ție</w:t>
      </w:r>
      <w:r w:rsidR="004C27AD" w:rsidRPr="00857CDA">
        <w:rPr>
          <w:i/>
          <w:lang w:val="ro-RO"/>
        </w:rPr>
        <w:t xml:space="preserve"> și </w:t>
      </w:r>
      <w:r w:rsidRPr="00857CDA">
        <w:rPr>
          <w:i/>
          <w:lang w:val="ro-RO"/>
        </w:rPr>
        <w:t>construc</w:t>
      </w:r>
      <w:r w:rsidR="00C07143" w:rsidRPr="00857CDA">
        <w:rPr>
          <w:i/>
          <w:lang w:val="ro-RO"/>
        </w:rPr>
        <w:t>ția cisternelor</w:t>
      </w:r>
      <w:r w:rsidR="00660131" w:rsidRPr="00857CDA">
        <w:rPr>
          <w:iCs/>
          <w:lang w:val="ro-RO"/>
        </w:rPr>
        <w:t>”</w:t>
      </w:r>
      <w:r w:rsidR="00100970" w:rsidRPr="00857CDA">
        <w:rPr>
          <w:iCs/>
          <w:lang w:val="ro-RO"/>
        </w:rPr>
        <w:t xml:space="preserve">, </w:t>
      </w:r>
      <w:r w:rsidR="00991390" w:rsidRPr="00857CDA">
        <w:rPr>
          <w:iCs/>
          <w:lang w:val="ro-RO"/>
        </w:rPr>
        <w:t>pentru</w:t>
      </w:r>
      <w:r w:rsidRPr="00857CDA">
        <w:rPr>
          <w:rFonts w:cs="Arial"/>
          <w:bCs/>
          <w:szCs w:val="22"/>
          <w:lang w:val="ro-RO"/>
        </w:rPr>
        <w:t xml:space="preserve"> </w:t>
      </w:r>
      <w:r w:rsidR="006A1ED1" w:rsidRPr="00857CDA">
        <w:rPr>
          <w:rFonts w:cs="Arial"/>
          <w:bCs/>
          <w:szCs w:val="22"/>
          <w:lang w:val="ro-RO"/>
        </w:rPr>
        <w:t>standardul</w:t>
      </w:r>
      <w:r w:rsidRPr="00857CDA">
        <w:rPr>
          <w:rFonts w:cs="Arial"/>
          <w:bCs/>
          <w:szCs w:val="22"/>
          <w:lang w:val="ro-RO"/>
        </w:rPr>
        <w:t xml:space="preserve"> </w:t>
      </w:r>
      <w:r w:rsidR="008B288A" w:rsidRPr="00857CDA">
        <w:rPr>
          <w:lang w:val="ro-RO"/>
        </w:rPr>
        <w:t>„</w:t>
      </w:r>
      <w:r w:rsidRPr="00857CDA">
        <w:rPr>
          <w:lang w:val="ro-RO"/>
        </w:rPr>
        <w:t>EN </w:t>
      </w:r>
      <w:r w:rsidRPr="00857CDA">
        <w:rPr>
          <w:rFonts w:cs="Arial"/>
          <w:szCs w:val="22"/>
          <w:lang w:val="ro-RO"/>
        </w:rPr>
        <w:t>13530</w:t>
      </w:r>
      <w:r w:rsidRPr="00857CDA">
        <w:rPr>
          <w:rFonts w:cs="Arial"/>
          <w:bCs/>
          <w:szCs w:val="22"/>
          <w:lang w:val="ro-RO"/>
        </w:rPr>
        <w:t>-2:2002 + A1:2004</w:t>
      </w:r>
      <w:r w:rsidR="00660131" w:rsidRPr="00857CDA">
        <w:rPr>
          <w:iCs/>
          <w:lang w:val="ro-RO"/>
        </w:rPr>
        <w:t>”</w:t>
      </w:r>
      <w:r w:rsidRPr="00857CDA">
        <w:rPr>
          <w:rFonts w:cs="Arial"/>
          <w:bCs/>
          <w:szCs w:val="22"/>
          <w:lang w:val="ro-RO"/>
        </w:rPr>
        <w:t xml:space="preserve">, </w:t>
      </w:r>
      <w:r w:rsidR="002B679C" w:rsidRPr="00857CDA">
        <w:rPr>
          <w:rFonts w:cs="Arial"/>
          <w:bCs/>
          <w:szCs w:val="22"/>
          <w:lang w:val="ro-RO"/>
        </w:rPr>
        <w:t>se modifică</w:t>
      </w:r>
      <w:r w:rsidRPr="00857CDA">
        <w:rPr>
          <w:rFonts w:cs="Arial"/>
          <w:bCs/>
          <w:szCs w:val="22"/>
          <w:lang w:val="ro-RO"/>
        </w:rPr>
        <w:t xml:space="preserve"> nota </w:t>
      </w:r>
      <w:r w:rsidR="00C07143" w:rsidRPr="00857CDA">
        <w:rPr>
          <w:rFonts w:cs="Arial"/>
          <w:bCs/>
          <w:szCs w:val="22"/>
          <w:lang w:val="ro-RO"/>
        </w:rPr>
        <w:t xml:space="preserve">care </w:t>
      </w:r>
      <w:r w:rsidRPr="00857CDA">
        <w:rPr>
          <w:rFonts w:cs="Arial"/>
          <w:bCs/>
          <w:szCs w:val="22"/>
          <w:lang w:val="ro-RO"/>
        </w:rPr>
        <w:t>figur</w:t>
      </w:r>
      <w:r w:rsidR="00C07143" w:rsidRPr="00857CDA">
        <w:rPr>
          <w:rFonts w:cs="Arial"/>
          <w:bCs/>
          <w:szCs w:val="22"/>
          <w:lang w:val="ro-RO"/>
        </w:rPr>
        <w:t>ează în</w:t>
      </w:r>
      <w:r w:rsidRPr="00857CDA">
        <w:rPr>
          <w:rFonts w:cs="Arial"/>
          <w:bCs/>
          <w:szCs w:val="22"/>
          <w:lang w:val="ro-RO"/>
        </w:rPr>
        <w:t xml:space="preserve"> </w:t>
      </w:r>
      <w:r w:rsidR="00121893" w:rsidRPr="00857CDA">
        <w:rPr>
          <w:rFonts w:cs="Arial"/>
          <w:bCs/>
          <w:szCs w:val="22"/>
          <w:lang w:val="ro-RO"/>
        </w:rPr>
        <w:t>coloana</w:t>
      </w:r>
      <w:r w:rsidRPr="00857CDA">
        <w:rPr>
          <w:rFonts w:cs="Arial"/>
          <w:bCs/>
          <w:szCs w:val="22"/>
          <w:lang w:val="ro-RO"/>
        </w:rPr>
        <w:t xml:space="preserve"> (2)</w:t>
      </w:r>
      <w:r w:rsidR="00C07143" w:rsidRPr="00857CDA">
        <w:rPr>
          <w:rFonts w:cs="Arial"/>
          <w:bCs/>
          <w:szCs w:val="22"/>
          <w:lang w:val="ro-RO"/>
        </w:rPr>
        <w:t>, după cum urmează</w:t>
      </w:r>
      <w:r w:rsidR="00091658" w:rsidRPr="00857CDA">
        <w:rPr>
          <w:iCs/>
          <w:lang w:val="ro-RO"/>
        </w:rPr>
        <w:t>:</w:t>
      </w:r>
    </w:p>
    <w:p w:rsidR="005612F9" w:rsidRPr="00857CDA" w:rsidRDefault="008B288A" w:rsidP="00C07143">
      <w:pPr>
        <w:pStyle w:val="SingleTxtG"/>
        <w:rPr>
          <w:rFonts w:cs="Arial"/>
          <w:szCs w:val="22"/>
          <w:lang w:val="ro-RO"/>
        </w:rPr>
      </w:pPr>
      <w:r w:rsidRPr="00857CDA">
        <w:rPr>
          <w:lang w:val="ro-RO"/>
        </w:rPr>
        <w:t>„</w:t>
      </w:r>
      <w:r w:rsidR="005612F9" w:rsidRPr="00857CDA">
        <w:rPr>
          <w:b/>
          <w:i/>
          <w:lang w:val="ro-RO"/>
        </w:rPr>
        <w:t>NOT</w:t>
      </w:r>
      <w:r w:rsidRPr="00857CDA">
        <w:rPr>
          <w:b/>
          <w:i/>
          <w:lang w:val="ro-RO"/>
        </w:rPr>
        <w:t>Ă</w:t>
      </w:r>
      <w:r w:rsidR="005612F9" w:rsidRPr="00857CDA">
        <w:rPr>
          <w:b/>
          <w:i/>
          <w:lang w:val="ro-RO"/>
        </w:rPr>
        <w:t>:</w:t>
      </w:r>
      <w:r w:rsidR="005612F9" w:rsidRPr="00857CDA">
        <w:rPr>
          <w:i/>
          <w:lang w:val="ro-RO"/>
        </w:rPr>
        <w:tab/>
      </w:r>
      <w:r w:rsidR="006A1ED1" w:rsidRPr="00857CDA">
        <w:rPr>
          <w:i/>
          <w:lang w:val="ro-RO"/>
        </w:rPr>
        <w:t>Standardele</w:t>
      </w:r>
      <w:r w:rsidR="005612F9" w:rsidRPr="00857CDA">
        <w:rPr>
          <w:i/>
          <w:lang w:val="ro-RO"/>
        </w:rPr>
        <w:t xml:space="preserve"> EN 1252-1:1998</w:t>
      </w:r>
      <w:r w:rsidR="004C27AD" w:rsidRPr="00857CDA">
        <w:rPr>
          <w:i/>
          <w:lang w:val="ro-RO"/>
        </w:rPr>
        <w:t xml:space="preserve"> și </w:t>
      </w:r>
      <w:r w:rsidR="005612F9" w:rsidRPr="00857CDA">
        <w:rPr>
          <w:i/>
          <w:lang w:val="ro-RO"/>
        </w:rPr>
        <w:t xml:space="preserve">EN 1626 </w:t>
      </w:r>
      <w:r w:rsidR="00C07143" w:rsidRPr="00857CDA">
        <w:rPr>
          <w:i/>
          <w:lang w:val="ro-RO"/>
        </w:rPr>
        <w:t>la care se face referire în acest standard sunt, de asemenea, aplicabile recipientelor criogenice închise pentru transportul Nr. ONU 1972 (METAN LICHID REFRIGERAT sau GAZ NATURAL LICHID REFRIGERAT).</w:t>
      </w:r>
      <w:r w:rsidR="00660131" w:rsidRPr="00857CDA">
        <w:rPr>
          <w:rFonts w:cs="Arial"/>
          <w:szCs w:val="22"/>
          <w:lang w:val="ro-RO"/>
        </w:rPr>
        <w:t>“</w:t>
      </w:r>
      <w:r w:rsidR="005612F9" w:rsidRPr="00857CDA">
        <w:rPr>
          <w:rFonts w:cs="Arial"/>
          <w:szCs w:val="22"/>
          <w:lang w:val="ro-RO"/>
        </w:rPr>
        <w:t>.</w:t>
      </w:r>
    </w:p>
    <w:p w:rsidR="005612F9" w:rsidRPr="00857CDA" w:rsidRDefault="00F541B4" w:rsidP="005612F9">
      <w:pPr>
        <w:pStyle w:val="SingleTxtG"/>
        <w:rPr>
          <w:lang w:val="ro-RO"/>
        </w:rPr>
      </w:pPr>
      <w:r w:rsidRPr="00857CDA">
        <w:rPr>
          <w:lang w:val="ro-RO"/>
        </w:rPr>
        <w:t>6.8.2.6.1</w:t>
      </w:r>
      <w:r w:rsidRPr="00857CDA">
        <w:rPr>
          <w:lang w:val="ro-RO"/>
        </w:rPr>
        <w:tab/>
      </w:r>
      <w:r w:rsidR="00902C44" w:rsidRPr="00857CDA">
        <w:rPr>
          <w:lang w:val="ro-RO"/>
        </w:rPr>
        <w:t xml:space="preserve">În </w:t>
      </w:r>
      <w:r w:rsidR="00463BBB" w:rsidRPr="00857CDA">
        <w:rPr>
          <w:lang w:val="ro-RO"/>
        </w:rPr>
        <w:t>tabel</w:t>
      </w:r>
      <w:r w:rsidR="005612F9" w:rsidRPr="00857CDA">
        <w:rPr>
          <w:lang w:val="ro-RO"/>
        </w:rPr>
        <w:t xml:space="preserve"> su</w:t>
      </w:r>
      <w:r w:rsidR="00C07143" w:rsidRPr="00857CDA">
        <w:rPr>
          <w:lang w:val="ro-RO"/>
        </w:rPr>
        <w:t>b</w:t>
      </w:r>
      <w:r w:rsidR="005612F9" w:rsidRPr="00857CDA">
        <w:rPr>
          <w:lang w:val="ro-RO"/>
        </w:rPr>
        <w:t xml:space="preserve"> </w:t>
      </w:r>
      <w:r w:rsidR="00660131" w:rsidRPr="00857CDA">
        <w:rPr>
          <w:lang w:val="ro-RO"/>
        </w:rPr>
        <w:t>“</w:t>
      </w:r>
      <w:r w:rsidR="00991390" w:rsidRPr="00857CDA">
        <w:rPr>
          <w:bCs/>
          <w:i/>
          <w:iCs/>
          <w:lang w:val="ro-RO" w:eastAsia="en-GB"/>
        </w:rPr>
        <w:t>Pentru</w:t>
      </w:r>
      <w:r w:rsidR="005612F9" w:rsidRPr="00857CDA">
        <w:rPr>
          <w:bCs/>
          <w:i/>
          <w:iCs/>
          <w:lang w:val="ro-RO" w:eastAsia="en-GB"/>
        </w:rPr>
        <w:t xml:space="preserve"> </w:t>
      </w:r>
      <w:r w:rsidR="00C07143" w:rsidRPr="00857CDA">
        <w:rPr>
          <w:bCs/>
          <w:i/>
          <w:iCs/>
          <w:lang w:val="ro-RO" w:eastAsia="en-GB"/>
        </w:rPr>
        <w:t>echipa</w:t>
      </w:r>
      <w:r w:rsidR="005612F9" w:rsidRPr="00857CDA">
        <w:rPr>
          <w:bCs/>
          <w:i/>
          <w:iCs/>
          <w:lang w:val="ro-RO" w:eastAsia="en-GB"/>
        </w:rPr>
        <w:t>ment</w:t>
      </w:r>
      <w:r w:rsidR="00C07143" w:rsidRPr="00857CDA">
        <w:rPr>
          <w:bCs/>
          <w:i/>
          <w:iCs/>
          <w:lang w:val="ro-RO" w:eastAsia="en-GB"/>
        </w:rPr>
        <w:t>e</w:t>
      </w:r>
      <w:r w:rsidR="00660131" w:rsidRPr="00857CDA">
        <w:rPr>
          <w:iCs/>
          <w:lang w:val="ro-RO"/>
        </w:rPr>
        <w:t>”</w:t>
      </w:r>
      <w:r w:rsidR="0075175B" w:rsidRPr="00857CDA">
        <w:rPr>
          <w:iCs/>
          <w:lang w:val="ro-RO"/>
        </w:rPr>
        <w:t xml:space="preserve">, </w:t>
      </w:r>
      <w:r w:rsidR="00991390" w:rsidRPr="00857CDA">
        <w:rPr>
          <w:iCs/>
          <w:lang w:val="ro-RO"/>
        </w:rPr>
        <w:t>pentru</w:t>
      </w:r>
      <w:r w:rsidR="005612F9" w:rsidRPr="00857CDA">
        <w:rPr>
          <w:rFonts w:cs="Arial"/>
          <w:szCs w:val="22"/>
          <w:lang w:val="ro-RO"/>
        </w:rPr>
        <w:t xml:space="preserve"> </w:t>
      </w:r>
      <w:r w:rsidR="006A1ED1" w:rsidRPr="00857CDA">
        <w:rPr>
          <w:rFonts w:cs="Arial"/>
          <w:szCs w:val="22"/>
          <w:lang w:val="ro-RO"/>
        </w:rPr>
        <w:t>standardul</w:t>
      </w:r>
      <w:r w:rsidR="005612F9" w:rsidRPr="00857CDA">
        <w:rPr>
          <w:rFonts w:cs="Arial"/>
          <w:szCs w:val="22"/>
          <w:lang w:val="ro-RO"/>
        </w:rPr>
        <w:t xml:space="preserve"> </w:t>
      </w:r>
      <w:r w:rsidR="00660131" w:rsidRPr="00857CDA">
        <w:rPr>
          <w:rFonts w:cs="Arial"/>
          <w:szCs w:val="22"/>
          <w:lang w:val="ro-RO"/>
        </w:rPr>
        <w:t>“</w:t>
      </w:r>
      <w:r w:rsidR="005612F9" w:rsidRPr="00857CDA">
        <w:rPr>
          <w:rFonts w:cs="Arial"/>
          <w:szCs w:val="22"/>
          <w:lang w:val="ro-RO"/>
        </w:rPr>
        <w:t xml:space="preserve">EN 1626:2008 </w:t>
      </w:r>
      <w:r w:rsidR="005612F9" w:rsidRPr="00857CDA">
        <w:rPr>
          <w:lang w:val="ro-RO"/>
        </w:rPr>
        <w:t>(</w:t>
      </w:r>
      <w:r w:rsidR="00C07143" w:rsidRPr="00857CDA">
        <w:rPr>
          <w:lang w:val="ro-RO"/>
        </w:rPr>
        <w:t>cu excepția</w:t>
      </w:r>
      <w:r w:rsidR="005612F9" w:rsidRPr="00857CDA">
        <w:rPr>
          <w:lang w:val="ro-RO"/>
        </w:rPr>
        <w:t xml:space="preserve"> robine</w:t>
      </w:r>
      <w:r w:rsidR="00C07143" w:rsidRPr="00857CDA">
        <w:rPr>
          <w:lang w:val="ro-RO"/>
        </w:rPr>
        <w:t>telor</w:t>
      </w:r>
      <w:r w:rsidR="005612F9" w:rsidRPr="00857CDA">
        <w:rPr>
          <w:lang w:val="ro-RO"/>
        </w:rPr>
        <w:t xml:space="preserve"> d</w:t>
      </w:r>
      <w:r w:rsidR="00C07143" w:rsidRPr="00857CDA">
        <w:rPr>
          <w:lang w:val="ro-RO"/>
        </w:rPr>
        <w:t>in</w:t>
      </w:r>
      <w:r w:rsidR="005612F9" w:rsidRPr="00857CDA">
        <w:rPr>
          <w:lang w:val="ro-RO"/>
        </w:rPr>
        <w:t xml:space="preserve"> cat</w:t>
      </w:r>
      <w:r w:rsidR="00C07143" w:rsidRPr="00857CDA">
        <w:rPr>
          <w:lang w:val="ro-RO"/>
        </w:rPr>
        <w:t>e</w:t>
      </w:r>
      <w:r w:rsidR="005612F9" w:rsidRPr="00857CDA">
        <w:rPr>
          <w:lang w:val="ro-RO"/>
        </w:rPr>
        <w:t>gori</w:t>
      </w:r>
      <w:r w:rsidR="00C07143" w:rsidRPr="00857CDA">
        <w:rPr>
          <w:lang w:val="ro-RO"/>
        </w:rPr>
        <w:t>a</w:t>
      </w:r>
      <w:r w:rsidR="005612F9" w:rsidRPr="00857CDA">
        <w:rPr>
          <w:lang w:val="ro-RO"/>
        </w:rPr>
        <w:t xml:space="preserve"> B)</w:t>
      </w:r>
      <w:r w:rsidR="00660131" w:rsidRPr="00857CDA">
        <w:rPr>
          <w:iCs/>
          <w:lang w:val="ro-RO"/>
        </w:rPr>
        <w:t>”</w:t>
      </w:r>
      <w:r w:rsidR="005612F9" w:rsidRPr="00857CDA">
        <w:rPr>
          <w:lang w:val="ro-RO"/>
        </w:rPr>
        <w:t xml:space="preserve">, </w:t>
      </w:r>
      <w:r w:rsidR="00C07143" w:rsidRPr="00857CDA">
        <w:rPr>
          <w:lang w:val="ro-RO"/>
        </w:rPr>
        <w:t>î</w:t>
      </w:r>
      <w:r w:rsidR="00902C44" w:rsidRPr="00857CDA">
        <w:rPr>
          <w:lang w:val="ro-RO"/>
        </w:rPr>
        <w:t>n</w:t>
      </w:r>
      <w:r w:rsidR="005612F9" w:rsidRPr="00857CDA">
        <w:rPr>
          <w:lang w:val="ro-RO"/>
        </w:rPr>
        <w:t xml:space="preserve"> </w:t>
      </w:r>
      <w:r w:rsidR="00121893" w:rsidRPr="00857CDA">
        <w:rPr>
          <w:lang w:val="ro-RO"/>
        </w:rPr>
        <w:t>coloana</w:t>
      </w:r>
      <w:r w:rsidR="005612F9" w:rsidRPr="00857CDA">
        <w:rPr>
          <w:lang w:val="ro-RO"/>
        </w:rPr>
        <w:t xml:space="preserve"> (2), </w:t>
      </w:r>
      <w:r w:rsidR="00902C44" w:rsidRPr="00857CDA">
        <w:rPr>
          <w:lang w:val="ro-RO"/>
        </w:rPr>
        <w:t>se adaugă</w:t>
      </w:r>
      <w:r w:rsidR="005612F9" w:rsidRPr="00857CDA">
        <w:rPr>
          <w:lang w:val="ro-RO"/>
        </w:rPr>
        <w:t xml:space="preserve"> nou</w:t>
      </w:r>
      <w:r w:rsidR="00C07143" w:rsidRPr="00857CDA">
        <w:rPr>
          <w:lang w:val="ro-RO"/>
        </w:rPr>
        <w:t>a</w:t>
      </w:r>
      <w:r w:rsidR="005612F9" w:rsidRPr="00857CDA">
        <w:rPr>
          <w:lang w:val="ro-RO"/>
        </w:rPr>
        <w:t xml:space="preserve"> not</w:t>
      </w:r>
      <w:r w:rsidR="00C07143" w:rsidRPr="00857CDA">
        <w:rPr>
          <w:lang w:val="ro-RO"/>
        </w:rPr>
        <w:t>ă, după cum urmează</w:t>
      </w:r>
      <w:r w:rsidR="00091658" w:rsidRPr="00857CDA">
        <w:rPr>
          <w:iCs/>
          <w:lang w:val="ro-RO"/>
        </w:rPr>
        <w:t>:</w:t>
      </w:r>
    </w:p>
    <w:p w:rsidR="005612F9" w:rsidRPr="00857CDA" w:rsidRDefault="008B288A" w:rsidP="005612F9">
      <w:pPr>
        <w:pStyle w:val="SingleTxtG"/>
        <w:rPr>
          <w:rFonts w:cs="Arial"/>
          <w:szCs w:val="22"/>
          <w:lang w:val="ro-RO"/>
        </w:rPr>
      </w:pPr>
      <w:r w:rsidRPr="00857CDA">
        <w:rPr>
          <w:lang w:val="ro-RO"/>
        </w:rPr>
        <w:t>„</w:t>
      </w:r>
      <w:r w:rsidR="005612F9" w:rsidRPr="00857CDA">
        <w:rPr>
          <w:rFonts w:cs="Arial"/>
          <w:b/>
          <w:i/>
          <w:szCs w:val="22"/>
          <w:lang w:val="ro-RO"/>
        </w:rPr>
        <w:t>NOT</w:t>
      </w:r>
      <w:r w:rsidRPr="00857CDA">
        <w:rPr>
          <w:rFonts w:cs="Arial"/>
          <w:b/>
          <w:i/>
          <w:szCs w:val="22"/>
          <w:lang w:val="ro-RO"/>
        </w:rPr>
        <w:t>Ă</w:t>
      </w:r>
      <w:r w:rsidR="005612F9" w:rsidRPr="00857CDA">
        <w:rPr>
          <w:rFonts w:cs="Arial"/>
          <w:b/>
          <w:i/>
          <w:szCs w:val="22"/>
          <w:lang w:val="ro-RO"/>
        </w:rPr>
        <w:t>:</w:t>
      </w:r>
      <w:r w:rsidR="005612F9" w:rsidRPr="00857CDA">
        <w:rPr>
          <w:rFonts w:cs="Arial"/>
          <w:i/>
          <w:szCs w:val="22"/>
          <w:lang w:val="ro-RO"/>
        </w:rPr>
        <w:tab/>
      </w:r>
      <w:r w:rsidR="00C07143" w:rsidRPr="00857CDA">
        <w:rPr>
          <w:rFonts w:cs="Arial"/>
          <w:i/>
          <w:szCs w:val="22"/>
          <w:lang w:val="ro-RO"/>
        </w:rPr>
        <w:t>Acest standard</w:t>
      </w:r>
      <w:r w:rsidR="005612F9" w:rsidRPr="00857CDA">
        <w:rPr>
          <w:rFonts w:cs="Arial"/>
          <w:i/>
          <w:szCs w:val="22"/>
          <w:lang w:val="ro-RO"/>
        </w:rPr>
        <w:t xml:space="preserve"> est</w:t>
      </w:r>
      <w:r w:rsidR="00C07143" w:rsidRPr="00857CDA">
        <w:rPr>
          <w:rFonts w:cs="Arial"/>
          <w:i/>
          <w:szCs w:val="22"/>
          <w:lang w:val="ro-RO"/>
        </w:rPr>
        <w:t>, de asemenea,</w:t>
      </w:r>
      <w:r w:rsidR="005612F9" w:rsidRPr="00857CDA">
        <w:rPr>
          <w:rFonts w:cs="Arial"/>
          <w:i/>
          <w:szCs w:val="22"/>
          <w:lang w:val="ro-RO"/>
        </w:rPr>
        <w:t xml:space="preserve"> aplicab</w:t>
      </w:r>
      <w:r w:rsidR="00C07143" w:rsidRPr="00857CDA">
        <w:rPr>
          <w:rFonts w:cs="Arial"/>
          <w:i/>
          <w:szCs w:val="22"/>
          <w:lang w:val="ro-RO"/>
        </w:rPr>
        <w:t>i</w:t>
      </w:r>
      <w:r w:rsidR="005612F9" w:rsidRPr="00857CDA">
        <w:rPr>
          <w:rFonts w:cs="Arial"/>
          <w:i/>
          <w:szCs w:val="22"/>
          <w:lang w:val="ro-RO"/>
        </w:rPr>
        <w:t>l robinet</w:t>
      </w:r>
      <w:r w:rsidR="00C07143" w:rsidRPr="00857CDA">
        <w:rPr>
          <w:rFonts w:cs="Arial"/>
          <w:i/>
          <w:szCs w:val="22"/>
          <w:lang w:val="ro-RO"/>
        </w:rPr>
        <w:t>elor</w:t>
      </w:r>
      <w:r w:rsidR="005612F9" w:rsidRPr="00857CDA">
        <w:rPr>
          <w:rFonts w:cs="Arial"/>
          <w:i/>
          <w:szCs w:val="22"/>
          <w:lang w:val="ro-RO"/>
        </w:rPr>
        <w:t xml:space="preserve"> </w:t>
      </w:r>
      <w:r w:rsidR="00991390" w:rsidRPr="00857CDA">
        <w:rPr>
          <w:i/>
          <w:lang w:val="ro-RO"/>
        </w:rPr>
        <w:t>pentru</w:t>
      </w:r>
      <w:r w:rsidR="005612F9" w:rsidRPr="00857CDA">
        <w:rPr>
          <w:i/>
          <w:lang w:val="ro-RO"/>
        </w:rPr>
        <w:t xml:space="preserve"> transport</w:t>
      </w:r>
      <w:r w:rsidR="00C07143" w:rsidRPr="00857CDA">
        <w:rPr>
          <w:i/>
          <w:lang w:val="ro-RO"/>
        </w:rPr>
        <w:t>ul Nr. ONU 1972 (METAN LICHID REFRIGERAT sau GAZ NATURAL LICHID REFRIGERAT</w:t>
      </w:r>
      <w:r w:rsidR="005612F9" w:rsidRPr="00857CDA">
        <w:rPr>
          <w:i/>
          <w:lang w:val="ro-RO"/>
        </w:rPr>
        <w:t>).</w:t>
      </w:r>
      <w:r w:rsidR="00660131" w:rsidRPr="00857CDA">
        <w:rPr>
          <w:i/>
          <w:lang w:val="ro-RO"/>
        </w:rPr>
        <w:t>”</w:t>
      </w:r>
      <w:r w:rsidR="005612F9" w:rsidRPr="00857CDA">
        <w:rPr>
          <w:rFonts w:cs="Arial"/>
          <w:szCs w:val="22"/>
          <w:lang w:val="ro-RO"/>
        </w:rPr>
        <w:t>.</w:t>
      </w:r>
    </w:p>
    <w:p w:rsidR="000B1500" w:rsidRPr="00857CDA" w:rsidRDefault="000B1500" w:rsidP="000B1500">
      <w:pPr>
        <w:pStyle w:val="SingleTxtG"/>
        <w:rPr>
          <w:lang w:val="ro-RO"/>
        </w:rPr>
      </w:pPr>
      <w:r w:rsidRPr="00857CDA">
        <w:rPr>
          <w:lang w:val="ro-RO"/>
        </w:rPr>
        <w:t>6.8.2.6.1</w:t>
      </w:r>
      <w:r w:rsidRPr="00857CDA">
        <w:rPr>
          <w:lang w:val="ro-RO"/>
        </w:rPr>
        <w:tab/>
      </w:r>
      <w:r w:rsidR="00902C44" w:rsidRPr="00857CDA">
        <w:rPr>
          <w:lang w:val="ro-RO"/>
        </w:rPr>
        <w:t xml:space="preserve">În </w:t>
      </w:r>
      <w:r w:rsidR="00463BBB" w:rsidRPr="00857CDA">
        <w:rPr>
          <w:lang w:val="ro-RO"/>
        </w:rPr>
        <w:t>tabel</w:t>
      </w:r>
      <w:r w:rsidR="00F541B4" w:rsidRPr="00857CDA">
        <w:rPr>
          <w:lang w:val="ro-RO"/>
        </w:rPr>
        <w:t xml:space="preserve"> su</w:t>
      </w:r>
      <w:r w:rsidR="00C07143" w:rsidRPr="00857CDA">
        <w:rPr>
          <w:lang w:val="ro-RO"/>
        </w:rPr>
        <w:t>b</w:t>
      </w:r>
      <w:r w:rsidR="00F541B4" w:rsidRPr="00857CDA" w:rsidDel="00F541B4">
        <w:rPr>
          <w:lang w:val="ro-RO"/>
        </w:rPr>
        <w:t xml:space="preserve"> </w:t>
      </w:r>
      <w:r w:rsidR="008B288A" w:rsidRPr="00857CDA">
        <w:rPr>
          <w:lang w:val="ro-RO"/>
        </w:rPr>
        <w:t>„</w:t>
      </w:r>
      <w:r w:rsidR="00991390" w:rsidRPr="00857CDA">
        <w:rPr>
          <w:i/>
          <w:lang w:val="ro-RO"/>
        </w:rPr>
        <w:t>Pentru</w:t>
      </w:r>
      <w:r w:rsidRPr="00857CDA">
        <w:rPr>
          <w:i/>
          <w:lang w:val="ro-RO"/>
        </w:rPr>
        <w:t xml:space="preserve"> </w:t>
      </w:r>
      <w:r w:rsidR="00C07143" w:rsidRPr="00857CDA">
        <w:rPr>
          <w:i/>
          <w:lang w:val="ro-RO"/>
        </w:rPr>
        <w:t>echi</w:t>
      </w:r>
      <w:r w:rsidRPr="00857CDA">
        <w:rPr>
          <w:i/>
          <w:lang w:val="ro-RO"/>
        </w:rPr>
        <w:t>p</w:t>
      </w:r>
      <w:r w:rsidR="00C07143" w:rsidRPr="00857CDA">
        <w:rPr>
          <w:i/>
          <w:lang w:val="ro-RO"/>
        </w:rPr>
        <w:t>a</w:t>
      </w:r>
      <w:r w:rsidRPr="00857CDA">
        <w:rPr>
          <w:i/>
          <w:lang w:val="ro-RO"/>
        </w:rPr>
        <w:t>ment</w:t>
      </w:r>
      <w:r w:rsidR="00C07143" w:rsidRPr="00857CDA">
        <w:rPr>
          <w:i/>
          <w:lang w:val="ro-RO"/>
        </w:rPr>
        <w:t>e</w:t>
      </w:r>
      <w:r w:rsidR="00660131" w:rsidRPr="00857CDA">
        <w:rPr>
          <w:lang w:val="ro-RO"/>
        </w:rPr>
        <w:t>”</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13317:2002 + A1:2006</w:t>
      </w:r>
      <w:r w:rsidR="00660131" w:rsidRPr="00857CDA">
        <w:rPr>
          <w:lang w:val="ro-RO"/>
        </w:rPr>
        <w:t>”</w:t>
      </w:r>
      <w:r w:rsidRPr="00857CDA">
        <w:rPr>
          <w:lang w:val="ro-RO"/>
        </w:rPr>
        <w:t xml:space="preserve">, </w:t>
      </w:r>
      <w:r w:rsidR="00121893" w:rsidRPr="00857CDA">
        <w:rPr>
          <w:lang w:val="ro-RO"/>
        </w:rPr>
        <w:t>în coloana</w:t>
      </w:r>
      <w:r w:rsidRPr="00857CDA">
        <w:rPr>
          <w:lang w:val="ro-RO"/>
        </w:rPr>
        <w:t xml:space="preserve"> </w:t>
      </w:r>
      <w:r w:rsidR="00C07143" w:rsidRPr="00857CDA">
        <w:rPr>
          <w:lang w:val="ro-RO"/>
        </w:rPr>
        <w:t>(</w:t>
      </w:r>
      <w:r w:rsidRPr="00857CDA">
        <w:rPr>
          <w:lang w:val="ro-RO"/>
        </w:rPr>
        <w:t xml:space="preserve">4), </w:t>
      </w:r>
      <w:r w:rsidR="00C07143" w:rsidRPr="00857CDA">
        <w:rPr>
          <w:lang w:val="ro-RO"/>
        </w:rPr>
        <w:t>s</w:t>
      </w:r>
      <w:r w:rsidR="00902C44" w:rsidRPr="00857CDA">
        <w:rPr>
          <w:lang w:val="ro-RO"/>
        </w:rPr>
        <w:t>e modifică</w:t>
      </w:r>
      <w:r w:rsidRPr="00857CDA">
        <w:rPr>
          <w:lang w:val="ro-RO"/>
        </w:rPr>
        <w:t xml:space="preserve"> </w:t>
      </w:r>
      <w:r w:rsidR="008B288A"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8B288A" w:rsidRPr="00857CDA">
        <w:rPr>
          <w:lang w:val="ro-RO"/>
        </w:rPr>
        <w:t>„</w:t>
      </w:r>
      <w:r w:rsidR="00C07143" w:rsidRPr="00857CDA">
        <w:rPr>
          <w:lang w:val="ro-RO"/>
        </w:rPr>
        <w:t>Între</w:t>
      </w:r>
      <w:r w:rsidRPr="00857CDA">
        <w:rPr>
          <w:lang w:val="ro-RO"/>
        </w:rPr>
        <w:t xml:space="preserve"> 1</w:t>
      </w:r>
      <w:r w:rsidR="00C07143" w:rsidRPr="00857CDA">
        <w:rPr>
          <w:lang w:val="ro-RO"/>
        </w:rPr>
        <w:t xml:space="preserve"> ianuarie</w:t>
      </w:r>
      <w:r w:rsidRPr="00857CDA">
        <w:rPr>
          <w:lang w:val="ro-RO"/>
        </w:rPr>
        <w:t xml:space="preserve"> 2009</w:t>
      </w:r>
      <w:r w:rsidR="004C27AD" w:rsidRPr="00857CDA">
        <w:rPr>
          <w:lang w:val="ro-RO"/>
        </w:rPr>
        <w:t xml:space="preserve"> și </w:t>
      </w:r>
      <w:r w:rsidRPr="00857CDA">
        <w:rPr>
          <w:lang w:val="ro-RO"/>
        </w:rPr>
        <w:t>31 d</w:t>
      </w:r>
      <w:r w:rsidR="00C07143" w:rsidRPr="00857CDA">
        <w:rPr>
          <w:lang w:val="ro-RO"/>
        </w:rPr>
        <w:t>e</w:t>
      </w:r>
      <w:r w:rsidRPr="00857CDA">
        <w:rPr>
          <w:lang w:val="ro-RO"/>
        </w:rPr>
        <w:t>cembr</w:t>
      </w:r>
      <w:r w:rsidR="00C07143" w:rsidRPr="00857CDA">
        <w:rPr>
          <w:lang w:val="ro-RO"/>
        </w:rPr>
        <w:t>i</w:t>
      </w:r>
      <w:r w:rsidRPr="00857CDA">
        <w:rPr>
          <w:lang w:val="ro-RO"/>
        </w:rPr>
        <w:t>e 2020</w:t>
      </w:r>
      <w:r w:rsidR="00660131" w:rsidRPr="00857CDA">
        <w:rPr>
          <w:lang w:val="ro-RO"/>
        </w:rPr>
        <w:t>”</w:t>
      </w:r>
      <w:r w:rsidRPr="00857CDA">
        <w:rPr>
          <w:lang w:val="ro-RO"/>
        </w:rPr>
        <w:t xml:space="preserve">. </w:t>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13317:2002 + A1:2006</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C07143" w:rsidRPr="00857CDA">
        <w:rPr>
          <w:lang w:val="ro-RO"/>
        </w:rPr>
        <w:t>un nou standard, după cum urmează</w:t>
      </w:r>
      <w:r w:rsidR="00091658" w:rsidRPr="00857CDA">
        <w:rPr>
          <w:lang w:val="ro-RO"/>
        </w:rPr>
        <w:t>:</w:t>
      </w:r>
    </w:p>
    <w:tbl>
      <w:tblPr>
        <w:tblW w:w="791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821"/>
        <w:gridCol w:w="1067"/>
        <w:gridCol w:w="1194"/>
        <w:gridCol w:w="297"/>
      </w:tblGrid>
      <w:tr w:rsidR="000B1500" w:rsidRPr="007D305F" w:rsidTr="00725BE1">
        <w:trPr>
          <w:cantSplit/>
        </w:trPr>
        <w:tc>
          <w:tcPr>
            <w:tcW w:w="1531" w:type="dxa"/>
          </w:tcPr>
          <w:p w:rsidR="000B1500" w:rsidRPr="00857CDA" w:rsidRDefault="000B1500" w:rsidP="000B1500">
            <w:pPr>
              <w:tabs>
                <w:tab w:val="left" w:pos="1418"/>
              </w:tabs>
              <w:rPr>
                <w:lang w:val="ro-RO"/>
              </w:rPr>
            </w:pPr>
            <w:r w:rsidRPr="00857CDA">
              <w:rPr>
                <w:lang w:val="ro-RO"/>
              </w:rPr>
              <w:t>EN 13317:2018</w:t>
            </w:r>
          </w:p>
        </w:tc>
        <w:tc>
          <w:tcPr>
            <w:tcW w:w="3821" w:type="dxa"/>
            <w:vAlign w:val="center"/>
          </w:tcPr>
          <w:p w:rsidR="000B1500" w:rsidRPr="00857CDA" w:rsidRDefault="00450B2C" w:rsidP="00450B2C">
            <w:pPr>
              <w:rPr>
                <w:bCs/>
                <w:lang w:val="ro-RO"/>
              </w:rPr>
            </w:pPr>
            <w:r w:rsidRPr="00857CDA">
              <w:rPr>
                <w:lang w:val="ro-RO"/>
              </w:rPr>
              <w:t>Cisterne pentru transportul mărfurilor periculoase - Echipamente de serviciu pentru cisterne - Capace pentru gurile de vizitare</w:t>
            </w:r>
            <w:r w:rsidRPr="00857CDA">
              <w:rPr>
                <w:bCs/>
                <w:lang w:val="ro-RO"/>
              </w:rPr>
              <w:t xml:space="preserve"> </w:t>
            </w:r>
          </w:p>
        </w:tc>
        <w:tc>
          <w:tcPr>
            <w:tcW w:w="1067" w:type="dxa"/>
            <w:vAlign w:val="center"/>
          </w:tcPr>
          <w:p w:rsidR="000B1500" w:rsidRPr="00857CDA" w:rsidRDefault="000B1500" w:rsidP="000B1500">
            <w:pPr>
              <w:rPr>
                <w:lang w:val="ro-RO"/>
              </w:rPr>
            </w:pPr>
            <w:r w:rsidRPr="00857CDA">
              <w:rPr>
                <w:bCs/>
                <w:lang w:val="ro-RO"/>
              </w:rPr>
              <w:t>6.8.2.2</w:t>
            </w:r>
            <w:r w:rsidR="004C27AD" w:rsidRPr="00857CDA">
              <w:rPr>
                <w:bCs/>
                <w:lang w:val="ro-RO"/>
              </w:rPr>
              <w:t xml:space="preserve"> și </w:t>
            </w:r>
            <w:r w:rsidRPr="00857CDA">
              <w:rPr>
                <w:bCs/>
                <w:lang w:val="ro-RO"/>
              </w:rPr>
              <w:t>6.8.2.4.1</w:t>
            </w:r>
          </w:p>
        </w:tc>
        <w:tc>
          <w:tcPr>
            <w:tcW w:w="1194" w:type="dxa"/>
            <w:vAlign w:val="center"/>
          </w:tcPr>
          <w:p w:rsidR="000B1500" w:rsidRPr="00857CDA" w:rsidRDefault="00B77817" w:rsidP="000B1500">
            <w:pPr>
              <w:jc w:val="center"/>
              <w:rPr>
                <w:lang w:val="ro-RO"/>
              </w:rPr>
            </w:pPr>
            <w:r w:rsidRPr="00857CDA">
              <w:rPr>
                <w:color w:val="000000"/>
                <w:lang w:val="ro-RO" w:eastAsia="fr-FR"/>
              </w:rPr>
              <w:t>Până la o notificare ulterioară</w:t>
            </w:r>
          </w:p>
        </w:tc>
        <w:tc>
          <w:tcPr>
            <w:tcW w:w="297" w:type="dxa"/>
          </w:tcPr>
          <w:p w:rsidR="000B1500" w:rsidRPr="00857CDA" w:rsidRDefault="000B1500" w:rsidP="000B1500">
            <w:pPr>
              <w:tabs>
                <w:tab w:val="left" w:pos="1418"/>
              </w:tabs>
              <w:rPr>
                <w:lang w:val="ro-RO"/>
              </w:rPr>
            </w:pPr>
          </w:p>
        </w:tc>
      </w:tr>
    </w:tbl>
    <w:p w:rsidR="007E78A5" w:rsidRPr="00857CDA" w:rsidRDefault="007E78A5" w:rsidP="007E78A5">
      <w:pPr>
        <w:tabs>
          <w:tab w:val="left" w:pos="1418"/>
        </w:tabs>
        <w:spacing w:before="120" w:after="120"/>
        <w:ind w:left="1134" w:right="1134"/>
        <w:jc w:val="both"/>
        <w:rPr>
          <w:lang w:val="ro-RO"/>
        </w:rPr>
      </w:pPr>
      <w:r w:rsidRPr="00857CDA">
        <w:rPr>
          <w:lang w:val="ro-RO"/>
        </w:rPr>
        <w:lastRenderedPageBreak/>
        <w:t>6.8.2.6.1</w:t>
      </w:r>
      <w:r w:rsidRPr="00857CDA">
        <w:rPr>
          <w:lang w:val="ro-RO"/>
        </w:rPr>
        <w:tab/>
      </w:r>
      <w:r w:rsidR="00902C44" w:rsidRPr="00857CDA">
        <w:rPr>
          <w:rFonts w:cs="Arial"/>
          <w:szCs w:val="22"/>
          <w:lang w:val="ro-RO"/>
        </w:rPr>
        <w:t xml:space="preserve">În </w:t>
      </w:r>
      <w:r w:rsidR="00463BBB" w:rsidRPr="00857CDA">
        <w:rPr>
          <w:lang w:val="ro-RO"/>
        </w:rPr>
        <w:t>tabel</w:t>
      </w:r>
      <w:r w:rsidR="00F541B4" w:rsidRPr="00857CDA">
        <w:rPr>
          <w:lang w:val="ro-RO"/>
        </w:rPr>
        <w:t xml:space="preserve"> su</w:t>
      </w:r>
      <w:r w:rsidR="00450B2C" w:rsidRPr="00857CDA">
        <w:rPr>
          <w:lang w:val="ro-RO"/>
        </w:rPr>
        <w:t>b</w:t>
      </w:r>
      <w:r w:rsidR="00F541B4" w:rsidRPr="00857CDA" w:rsidDel="00F541B4">
        <w:rPr>
          <w:lang w:val="ro-RO"/>
        </w:rPr>
        <w:t xml:space="preserve"> </w:t>
      </w:r>
      <w:r w:rsidR="008B288A" w:rsidRPr="00857CDA">
        <w:rPr>
          <w:lang w:val="ro-RO"/>
        </w:rPr>
        <w:t>„</w:t>
      </w:r>
      <w:r w:rsidR="00991390" w:rsidRPr="00857CDA">
        <w:rPr>
          <w:i/>
          <w:lang w:val="ro-RO"/>
        </w:rPr>
        <w:t>Pentru</w:t>
      </w:r>
      <w:r w:rsidR="00F541B4" w:rsidRPr="00857CDA">
        <w:rPr>
          <w:i/>
          <w:lang w:val="ro-RO"/>
        </w:rPr>
        <w:t xml:space="preserve"> </w:t>
      </w:r>
      <w:r w:rsidR="00450B2C" w:rsidRPr="00857CDA">
        <w:rPr>
          <w:i/>
          <w:lang w:val="ro-RO"/>
        </w:rPr>
        <w:t>echi</w:t>
      </w:r>
      <w:r w:rsidR="00F541B4" w:rsidRPr="00857CDA">
        <w:rPr>
          <w:i/>
          <w:lang w:val="ro-RO"/>
        </w:rPr>
        <w:t>p</w:t>
      </w:r>
      <w:r w:rsidR="00450B2C" w:rsidRPr="00857CDA">
        <w:rPr>
          <w:i/>
          <w:lang w:val="ro-RO"/>
        </w:rPr>
        <w:t>a</w:t>
      </w:r>
      <w:r w:rsidR="00F541B4" w:rsidRPr="00857CDA">
        <w:rPr>
          <w:i/>
          <w:lang w:val="ro-RO"/>
        </w:rPr>
        <w:t>ment</w:t>
      </w:r>
      <w:r w:rsidR="00450B2C" w:rsidRPr="00857CDA">
        <w:rPr>
          <w:i/>
          <w:lang w:val="ro-RO"/>
        </w:rPr>
        <w:t>e</w:t>
      </w:r>
      <w:r w:rsidR="00660131" w:rsidRPr="00857CDA">
        <w:rPr>
          <w:lang w:val="ro-RO"/>
        </w:rPr>
        <w:t>”</w:t>
      </w:r>
      <w:r w:rsidRPr="00857CDA">
        <w:rPr>
          <w:lang w:val="ro-RO"/>
        </w:rPr>
        <w:t>:</w:t>
      </w:r>
    </w:p>
    <w:p w:rsidR="007E78A5" w:rsidRPr="00857CDA" w:rsidRDefault="007E78A5" w:rsidP="007E78A5">
      <w:pPr>
        <w:spacing w:before="120" w:after="120"/>
        <w:ind w:left="1134"/>
        <w:rPr>
          <w:lang w:val="ro-RO"/>
        </w:rPr>
      </w:pPr>
      <w:r w:rsidRPr="00857CDA">
        <w:rPr>
          <w:lang w:val="ro-RO"/>
        </w:rPr>
        <w:t>–</w:t>
      </w:r>
      <w:r w:rsidRPr="00857CDA">
        <w:rPr>
          <w:lang w:val="ro-RO"/>
        </w:rPr>
        <w:tab/>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14595:2005</w:t>
      </w:r>
      <w:r w:rsidR="00660131" w:rsidRPr="00857CDA">
        <w:rPr>
          <w:lang w:val="ro-RO"/>
        </w:rPr>
        <w:t>”</w:t>
      </w:r>
      <w:r w:rsidRPr="00857CDA">
        <w:rPr>
          <w:lang w:val="ro-RO"/>
        </w:rPr>
        <w:t xml:space="preserve">, </w:t>
      </w:r>
      <w:r w:rsidR="00450B2C" w:rsidRPr="00857CDA">
        <w:rPr>
          <w:lang w:val="ro-RO"/>
        </w:rPr>
        <w:t>î</w:t>
      </w:r>
      <w:r w:rsidR="00902C44" w:rsidRPr="00857CDA">
        <w:rPr>
          <w:lang w:val="ro-RO"/>
        </w:rPr>
        <w:t xml:space="preserve">n </w:t>
      </w:r>
      <w:r w:rsidR="00121893" w:rsidRPr="00857CDA">
        <w:rPr>
          <w:lang w:val="ro-RO"/>
        </w:rPr>
        <w:t>coloana</w:t>
      </w:r>
      <w:r w:rsidRPr="00857CDA">
        <w:rPr>
          <w:lang w:val="ro-RO"/>
        </w:rPr>
        <w:t xml:space="preserve"> (4), </w:t>
      </w:r>
      <w:r w:rsidR="00450B2C" w:rsidRPr="00857CDA">
        <w:rPr>
          <w:lang w:val="ro-RO"/>
        </w:rPr>
        <w:t>s</w:t>
      </w:r>
      <w:r w:rsidR="00902C44" w:rsidRPr="00857CDA">
        <w:rPr>
          <w:lang w:val="ro-RO"/>
        </w:rPr>
        <w:t>e modifică</w:t>
      </w:r>
      <w:r w:rsidRPr="00857CDA">
        <w:rPr>
          <w:lang w:val="ro-RO"/>
        </w:rPr>
        <w:t xml:space="preserve"> </w:t>
      </w:r>
      <w:r w:rsidR="008B288A"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8B288A" w:rsidRPr="00857CDA">
        <w:rPr>
          <w:lang w:val="ro-RO"/>
        </w:rPr>
        <w:t>„</w:t>
      </w:r>
      <w:r w:rsidR="00450B2C" w:rsidRPr="00857CDA">
        <w:rPr>
          <w:lang w:val="ro-RO"/>
        </w:rPr>
        <w:t>Între</w:t>
      </w:r>
      <w:r w:rsidRPr="00857CDA">
        <w:rPr>
          <w:lang w:val="ro-RO"/>
        </w:rPr>
        <w:t xml:space="preserve"> 1</w:t>
      </w:r>
      <w:r w:rsidR="00450B2C" w:rsidRPr="00857CDA">
        <w:rPr>
          <w:lang w:val="ro-RO"/>
        </w:rPr>
        <w:t xml:space="preserve"> ianuarie</w:t>
      </w:r>
      <w:r w:rsidRPr="00857CDA">
        <w:rPr>
          <w:lang w:val="ro-RO"/>
        </w:rPr>
        <w:t xml:space="preserve"> 2007</w:t>
      </w:r>
      <w:r w:rsidR="004C27AD" w:rsidRPr="00857CDA">
        <w:rPr>
          <w:lang w:val="ro-RO"/>
        </w:rPr>
        <w:t xml:space="preserve"> și </w:t>
      </w:r>
      <w:r w:rsidRPr="00857CDA">
        <w:rPr>
          <w:lang w:val="ro-RO"/>
        </w:rPr>
        <w:t>31 d</w:t>
      </w:r>
      <w:r w:rsidR="00450B2C" w:rsidRPr="00857CDA">
        <w:rPr>
          <w:lang w:val="ro-RO"/>
        </w:rPr>
        <w:t>e</w:t>
      </w:r>
      <w:r w:rsidRPr="00857CDA">
        <w:rPr>
          <w:lang w:val="ro-RO"/>
        </w:rPr>
        <w:t>cembr</w:t>
      </w:r>
      <w:r w:rsidR="00450B2C" w:rsidRPr="00857CDA">
        <w:rPr>
          <w:lang w:val="ro-RO"/>
        </w:rPr>
        <w:t>i</w:t>
      </w:r>
      <w:r w:rsidRPr="00857CDA">
        <w:rPr>
          <w:lang w:val="ro-RO"/>
        </w:rPr>
        <w:t xml:space="preserve">e </w:t>
      </w:r>
      <w:r w:rsidR="000C4813" w:rsidRPr="00857CDA">
        <w:rPr>
          <w:lang w:val="ro-RO"/>
        </w:rPr>
        <w:t>2020</w:t>
      </w:r>
      <w:r w:rsidR="00660131" w:rsidRPr="00857CDA">
        <w:rPr>
          <w:lang w:val="ro-RO"/>
        </w:rPr>
        <w:t>”</w:t>
      </w:r>
      <w:r w:rsidRPr="00857CDA">
        <w:rPr>
          <w:lang w:val="ro-RO"/>
        </w:rPr>
        <w:t>.</w:t>
      </w:r>
    </w:p>
    <w:p w:rsidR="007E78A5" w:rsidRPr="00857CDA" w:rsidRDefault="007E78A5" w:rsidP="007E78A5">
      <w:pPr>
        <w:spacing w:before="120" w:after="120"/>
        <w:ind w:left="1134"/>
        <w:rPr>
          <w:lang w:val="ro-RO"/>
        </w:rPr>
      </w:pPr>
      <w:r w:rsidRPr="00857CDA">
        <w:rPr>
          <w:lang w:val="ro-RO"/>
        </w:rPr>
        <w:t>–</w:t>
      </w:r>
      <w:r w:rsidRPr="00857CDA">
        <w:rPr>
          <w:lang w:val="ro-RO"/>
        </w:rPr>
        <w:tab/>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14595:2005</w:t>
      </w:r>
      <w:r w:rsidR="00660131" w:rsidRPr="00857CDA">
        <w:rPr>
          <w:lang w:val="ro-RO"/>
        </w:rPr>
        <w:t>”</w:t>
      </w:r>
      <w:r w:rsidRPr="00857CDA">
        <w:rPr>
          <w:lang w:val="ro-RO"/>
        </w:rPr>
        <w:t xml:space="preserve">, </w:t>
      </w:r>
      <w:r w:rsidR="000022EF" w:rsidRPr="00857CDA">
        <w:rPr>
          <w:lang w:val="ro-RO"/>
        </w:rPr>
        <w:t>se introduce</w:t>
      </w:r>
      <w:r w:rsidRPr="00857CDA">
        <w:rPr>
          <w:lang w:val="ro-RO"/>
        </w:rPr>
        <w:t xml:space="preserve"> </w:t>
      </w:r>
      <w:r w:rsidR="00450B2C" w:rsidRPr="00857CDA">
        <w:rPr>
          <w:lang w:val="ro-RO"/>
        </w:rPr>
        <w:t>un nou standard, după cum urmează</w:t>
      </w:r>
      <w:r w:rsidRPr="00857CDA">
        <w:rPr>
          <w:lang w:val="ro-RO"/>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3827"/>
        <w:gridCol w:w="992"/>
        <w:gridCol w:w="1473"/>
        <w:gridCol w:w="682"/>
      </w:tblGrid>
      <w:tr w:rsidR="007B4D8D" w:rsidRPr="007D305F" w:rsidTr="00725BE1">
        <w:tc>
          <w:tcPr>
            <w:tcW w:w="1531" w:type="dxa"/>
            <w:tcBorders>
              <w:top w:val="single" w:sz="4" w:space="0" w:color="auto"/>
              <w:left w:val="single" w:sz="4" w:space="0" w:color="auto"/>
              <w:bottom w:val="single" w:sz="4" w:space="0" w:color="auto"/>
              <w:right w:val="single" w:sz="4" w:space="0" w:color="auto"/>
            </w:tcBorders>
            <w:hideMark/>
          </w:tcPr>
          <w:p w:rsidR="007E78A5" w:rsidRPr="00857CDA" w:rsidRDefault="007E78A5" w:rsidP="006774AA">
            <w:pPr>
              <w:tabs>
                <w:tab w:val="left" w:pos="1418"/>
              </w:tabs>
              <w:rPr>
                <w:rFonts w:cs="Arial"/>
                <w:lang w:val="ro-RO"/>
              </w:rPr>
            </w:pPr>
            <w:r w:rsidRPr="00857CDA">
              <w:rPr>
                <w:rFonts w:cs="Arial"/>
                <w:bCs/>
                <w:szCs w:val="22"/>
                <w:lang w:val="ro-RO"/>
              </w:rPr>
              <w:t>EN 14595:2016</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78A5" w:rsidRPr="00857CDA" w:rsidRDefault="00450B2C" w:rsidP="00BA0BCC">
            <w:pPr>
              <w:rPr>
                <w:rFonts w:cs="Arial"/>
                <w:lang w:val="ro-RO"/>
              </w:rPr>
            </w:pPr>
            <w:r w:rsidRPr="00857CDA">
              <w:rPr>
                <w:lang w:val="ro-RO"/>
              </w:rPr>
              <w:t>Cisterne pentru transportul mărfurilor periculoase - Echipament de serviciu pentru cisterne – Dispozitiv de respirație</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8A5" w:rsidRPr="00857CDA" w:rsidRDefault="007E78A5" w:rsidP="006774AA">
            <w:pPr>
              <w:rPr>
                <w:rFonts w:cs="Arial"/>
                <w:lang w:val="ro-RO"/>
              </w:rPr>
            </w:pPr>
            <w:r w:rsidRPr="00857CDA">
              <w:rPr>
                <w:rFonts w:cs="Arial"/>
                <w:lang w:val="ro-RO"/>
              </w:rPr>
              <w:t>6.8.2.2</w:t>
            </w:r>
            <w:r w:rsidR="004C27AD" w:rsidRPr="00857CDA">
              <w:rPr>
                <w:rFonts w:cs="Arial"/>
                <w:lang w:val="ro-RO"/>
              </w:rPr>
              <w:t xml:space="preserve"> și </w:t>
            </w:r>
            <w:r w:rsidRPr="00857CDA">
              <w:rPr>
                <w:rFonts w:cs="Arial"/>
                <w:lang w:val="ro-RO"/>
              </w:rPr>
              <w:t>6.8.2.4.1</w:t>
            </w:r>
          </w:p>
        </w:tc>
        <w:tc>
          <w:tcPr>
            <w:tcW w:w="1473" w:type="dxa"/>
            <w:tcBorders>
              <w:top w:val="single" w:sz="4" w:space="0" w:color="auto"/>
              <w:left w:val="single" w:sz="4" w:space="0" w:color="auto"/>
              <w:bottom w:val="single" w:sz="4" w:space="0" w:color="auto"/>
              <w:right w:val="single" w:sz="4" w:space="0" w:color="auto"/>
            </w:tcBorders>
            <w:vAlign w:val="center"/>
            <w:hideMark/>
          </w:tcPr>
          <w:p w:rsidR="007E78A5" w:rsidRPr="00857CDA" w:rsidRDefault="00B77817" w:rsidP="006774AA">
            <w:pPr>
              <w:jc w:val="center"/>
              <w:rPr>
                <w:rFonts w:cs="Arial"/>
                <w:lang w:val="ro-RO"/>
              </w:rPr>
            </w:pPr>
            <w:r w:rsidRPr="00857CDA">
              <w:rPr>
                <w:color w:val="000000"/>
                <w:lang w:val="ro-RO" w:eastAsia="fr-FR"/>
              </w:rPr>
              <w:t>Până la o notificare ulterioară</w:t>
            </w:r>
          </w:p>
        </w:tc>
        <w:tc>
          <w:tcPr>
            <w:tcW w:w="682" w:type="dxa"/>
            <w:tcBorders>
              <w:top w:val="single" w:sz="4" w:space="0" w:color="auto"/>
              <w:left w:val="single" w:sz="4" w:space="0" w:color="auto"/>
              <w:bottom w:val="single" w:sz="4" w:space="0" w:color="auto"/>
              <w:right w:val="single" w:sz="4" w:space="0" w:color="auto"/>
            </w:tcBorders>
            <w:vAlign w:val="center"/>
          </w:tcPr>
          <w:p w:rsidR="007E78A5" w:rsidRPr="00857CDA" w:rsidRDefault="007E78A5" w:rsidP="006774AA">
            <w:pPr>
              <w:widowControl w:val="0"/>
              <w:rPr>
                <w:rFonts w:cs="Arial"/>
                <w:sz w:val="18"/>
                <w:szCs w:val="18"/>
                <w:lang w:val="ro-RO"/>
              </w:rPr>
            </w:pPr>
          </w:p>
        </w:tc>
      </w:tr>
    </w:tbl>
    <w:p w:rsidR="005612F9" w:rsidRPr="00857CDA" w:rsidRDefault="005612F9" w:rsidP="00BC3F3E">
      <w:pPr>
        <w:pStyle w:val="SingleTxtG"/>
        <w:spacing w:before="120"/>
        <w:rPr>
          <w:lang w:val="ro-RO"/>
        </w:rPr>
      </w:pPr>
      <w:r w:rsidRPr="00857CDA">
        <w:rPr>
          <w:lang w:val="ro-RO"/>
        </w:rPr>
        <w:t>6.8.3.2.6</w:t>
      </w:r>
      <w:r w:rsidRPr="00857CDA">
        <w:rPr>
          <w:lang w:val="ro-RO"/>
        </w:rPr>
        <w:tab/>
      </w:r>
      <w:r w:rsidR="00902C44" w:rsidRPr="00857CDA">
        <w:rPr>
          <w:lang w:val="ro-RO"/>
        </w:rPr>
        <w:t>Se șterge</w:t>
      </w:r>
      <w:r w:rsidRPr="00857CDA">
        <w:rPr>
          <w:lang w:val="ro-RO"/>
        </w:rPr>
        <w:t xml:space="preserve"> </w:t>
      </w:r>
      <w:r w:rsidR="003634AA" w:rsidRPr="00857CDA">
        <w:rPr>
          <w:lang w:val="ro-RO"/>
        </w:rPr>
        <w:t>prima frază</w:t>
      </w:r>
      <w:r w:rsidRPr="00857CDA">
        <w:rPr>
          <w:lang w:val="ro-RO"/>
        </w:rPr>
        <w:t>.</w:t>
      </w:r>
    </w:p>
    <w:p w:rsidR="005612F9" w:rsidRPr="00857CDA" w:rsidRDefault="005612F9" w:rsidP="005612F9">
      <w:pPr>
        <w:pStyle w:val="SingleTxtG"/>
        <w:rPr>
          <w:rFonts w:cs="Arial"/>
          <w:bCs/>
          <w:szCs w:val="18"/>
          <w:lang w:val="ro-RO"/>
        </w:rPr>
      </w:pPr>
      <w:r w:rsidRPr="00857CDA">
        <w:rPr>
          <w:bCs/>
          <w:lang w:val="ro-RO"/>
        </w:rPr>
        <w:t>6.8.3.2.9</w:t>
      </w:r>
      <w:r w:rsidRPr="00857CDA">
        <w:rPr>
          <w:b/>
          <w:lang w:val="ro-RO"/>
        </w:rPr>
        <w:tab/>
      </w:r>
      <w:r w:rsidR="00450B2C" w:rsidRPr="00857CDA">
        <w:rPr>
          <w:lang w:val="ro-RO"/>
        </w:rPr>
        <w:t xml:space="preserve">Se </w:t>
      </w:r>
      <w:r w:rsidR="00902C44" w:rsidRPr="00857CDA">
        <w:rPr>
          <w:lang w:val="ro-RO"/>
        </w:rPr>
        <w:t>adaugă</w:t>
      </w:r>
      <w:r w:rsidR="008B288A" w:rsidRPr="00857CDA">
        <w:rPr>
          <w:lang w:val="ro-RO"/>
        </w:rPr>
        <w:t xml:space="preserve"> </w:t>
      </w:r>
      <w:r w:rsidR="00450B2C" w:rsidRPr="00857CDA">
        <w:rPr>
          <w:lang w:val="ro-RO"/>
        </w:rPr>
        <w:t xml:space="preserve">la sfârșit </w:t>
      </w:r>
      <w:r w:rsidR="008B288A" w:rsidRPr="00857CDA">
        <w:rPr>
          <w:lang w:val="ro-RO"/>
        </w:rPr>
        <w:t>un nou</w:t>
      </w:r>
      <w:r w:rsidR="006A1ED1" w:rsidRPr="00857CDA">
        <w:rPr>
          <w:lang w:val="ro-RO"/>
        </w:rPr>
        <w:t xml:space="preserve"> paragraf</w:t>
      </w:r>
      <w:r w:rsidR="008B288A" w:rsidRPr="00857CDA">
        <w:rPr>
          <w:iCs/>
          <w:lang w:val="ro-RO"/>
        </w:rPr>
        <w:t>, după cum urmează</w:t>
      </w:r>
      <w:r w:rsidR="00091658" w:rsidRPr="00857CDA">
        <w:rPr>
          <w:iCs/>
          <w:lang w:val="ro-RO"/>
        </w:rPr>
        <w:t>:</w:t>
      </w:r>
    </w:p>
    <w:p w:rsidR="005612F9" w:rsidRPr="00857CDA" w:rsidRDefault="008B288A" w:rsidP="005612F9">
      <w:pPr>
        <w:pStyle w:val="SingleTxtG"/>
        <w:rPr>
          <w:lang w:val="ro-RO"/>
        </w:rPr>
      </w:pPr>
      <w:r w:rsidRPr="00857CDA">
        <w:rPr>
          <w:lang w:val="ro-RO"/>
        </w:rPr>
        <w:t>„</w:t>
      </w:r>
      <w:r w:rsidR="009E20CA" w:rsidRPr="00857CDA">
        <w:rPr>
          <w:iCs/>
          <w:lang w:val="ro-RO"/>
        </w:rPr>
        <w:t>Supapele de siguranță trebuie să fie concepute sau protejate pentru a împiedica pătrunderea apei sau a altor substanțe străine care ar putea afecta buna lor funcționare. Această protecție nu ar trebui să afecteze performanța acestora</w:t>
      </w:r>
      <w:r w:rsidR="004C2793" w:rsidRPr="00857CDA">
        <w:rPr>
          <w:iCs/>
          <w:lang w:val="ro-RO"/>
        </w:rPr>
        <w:t>.</w:t>
      </w:r>
      <w:r w:rsidR="00660131" w:rsidRPr="00857CDA">
        <w:rPr>
          <w:iCs/>
          <w:lang w:val="ro-RO"/>
        </w:rPr>
        <w:t>”</w:t>
      </w:r>
      <w:r w:rsidR="005612F9" w:rsidRPr="00857CDA">
        <w:rPr>
          <w:lang w:val="ro-RO"/>
        </w:rPr>
        <w:t>.</w:t>
      </w:r>
    </w:p>
    <w:p w:rsidR="000B1500" w:rsidRPr="00857CDA" w:rsidRDefault="000B1500" w:rsidP="000B1500">
      <w:pPr>
        <w:pStyle w:val="SingleTxtG"/>
        <w:rPr>
          <w:lang w:val="ro-RO"/>
        </w:rPr>
      </w:pPr>
      <w:r w:rsidRPr="00857CDA">
        <w:rPr>
          <w:lang w:val="ro-RO"/>
        </w:rPr>
        <w:t>6.8.3.2.21</w:t>
      </w:r>
      <w:r w:rsidRPr="00857CDA">
        <w:rPr>
          <w:lang w:val="ro-RO"/>
        </w:rPr>
        <w:tab/>
      </w:r>
      <w:r w:rsidR="009E20CA" w:rsidRPr="00857CDA">
        <w:rPr>
          <w:lang w:val="ro-RO"/>
        </w:rPr>
        <w:t>La sfârșit,</w:t>
      </w:r>
      <w:r w:rsidRPr="00857CDA">
        <w:rPr>
          <w:lang w:val="ro-RO"/>
        </w:rPr>
        <w:t xml:space="preserve">, </w:t>
      </w:r>
      <w:r w:rsidR="00902C44" w:rsidRPr="00857CDA">
        <w:rPr>
          <w:lang w:val="ro-RO"/>
        </w:rPr>
        <w:t>Se șterge</w:t>
      </w:r>
      <w:r w:rsidRPr="00857CDA">
        <w:rPr>
          <w:lang w:val="ro-RO"/>
        </w:rPr>
        <w:t xml:space="preserve"> </w:t>
      </w:r>
      <w:r w:rsidR="008B288A" w:rsidRPr="00857CDA">
        <w:rPr>
          <w:lang w:val="ro-RO"/>
        </w:rPr>
        <w:t>„</w:t>
      </w:r>
      <w:r w:rsidR="009E20CA" w:rsidRPr="00857CDA">
        <w:rPr>
          <w:lang w:val="ro-RO"/>
        </w:rPr>
        <w:t xml:space="preserve">Se consideră că dispozițiile de bază ale acestui paragraf sunt îndeplinite dacă următoarele standarde sunt aplicate: </w:t>
      </w:r>
      <w:r w:rsidR="009E20CA" w:rsidRPr="00857CDA">
        <w:rPr>
          <w:i/>
          <w:lang w:val="ro-RO"/>
        </w:rPr>
        <w:t>(Rezervat)</w:t>
      </w:r>
      <w:r w:rsidRPr="00857CDA">
        <w:rPr>
          <w:lang w:val="ro-RO"/>
        </w:rPr>
        <w:t>.</w:t>
      </w:r>
      <w:r w:rsidR="00660131" w:rsidRPr="00857CDA">
        <w:rPr>
          <w:lang w:val="ro-RO"/>
        </w:rPr>
        <w:t>”</w:t>
      </w:r>
      <w:r w:rsidRPr="00857CDA">
        <w:rPr>
          <w:lang w:val="ro-RO"/>
        </w:rPr>
        <w:t>.</w:t>
      </w:r>
    </w:p>
    <w:p w:rsidR="000B1500" w:rsidRPr="00857CDA" w:rsidRDefault="000B1500" w:rsidP="000B1500">
      <w:pPr>
        <w:pStyle w:val="SingleTxtG"/>
        <w:rPr>
          <w:lang w:val="ro-RO"/>
        </w:rPr>
      </w:pPr>
      <w:r w:rsidRPr="00857CDA">
        <w:rPr>
          <w:lang w:val="ro-RO"/>
        </w:rPr>
        <w:t>6.8.3.6</w:t>
      </w:r>
      <w:r w:rsidRPr="00857CDA">
        <w:rPr>
          <w:lang w:val="ro-RO"/>
        </w:rPr>
        <w:tab/>
      </w:r>
      <w:r w:rsidRPr="00857CDA">
        <w:rPr>
          <w:lang w:val="ro-RO"/>
        </w:rPr>
        <w:tab/>
      </w:r>
      <w:r w:rsidR="00902C44" w:rsidRPr="00857CDA">
        <w:rPr>
          <w:lang w:val="ro-RO"/>
        </w:rPr>
        <w:t xml:space="preserve">În </w:t>
      </w:r>
      <w:r w:rsidR="00463BBB" w:rsidRPr="00857CDA">
        <w:rPr>
          <w:lang w:val="ro-RO"/>
        </w:rPr>
        <w:t>tabelul</w:t>
      </w:r>
      <w:r w:rsidRPr="00857CDA">
        <w:rPr>
          <w:lang w:val="ro-RO"/>
        </w:rPr>
        <w:t xml:space="preserve">, </w:t>
      </w:r>
      <w:r w:rsidR="00991390" w:rsidRPr="00857CDA">
        <w:rPr>
          <w:lang w:val="ro-RO"/>
        </w:rPr>
        <w:t>pentru</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13807:2003</w:t>
      </w:r>
      <w:r w:rsidR="00660131" w:rsidRPr="00857CDA">
        <w:rPr>
          <w:lang w:val="ro-RO"/>
        </w:rPr>
        <w:t>”</w:t>
      </w:r>
      <w:r w:rsidRPr="00857CDA">
        <w:rPr>
          <w:lang w:val="ro-RO"/>
        </w:rPr>
        <w:t xml:space="preserve">, </w:t>
      </w:r>
      <w:r w:rsidR="00121893" w:rsidRPr="00857CDA">
        <w:rPr>
          <w:lang w:val="ro-RO"/>
        </w:rPr>
        <w:t>în coloana</w:t>
      </w:r>
      <w:r w:rsidRPr="00857CDA">
        <w:rPr>
          <w:lang w:val="ro-RO"/>
        </w:rPr>
        <w:t xml:space="preserve"> 4), </w:t>
      </w:r>
      <w:r w:rsidR="00902C44" w:rsidRPr="00857CDA">
        <w:rPr>
          <w:lang w:val="ro-RO"/>
        </w:rPr>
        <w:t>Se modifică</w:t>
      </w:r>
      <w:r w:rsidRPr="00857CDA">
        <w:rPr>
          <w:lang w:val="ro-RO"/>
        </w:rPr>
        <w:t xml:space="preserve"> </w:t>
      </w:r>
      <w:r w:rsidR="008B288A" w:rsidRPr="00857CDA">
        <w:rPr>
          <w:lang w:val="ro-RO"/>
        </w:rPr>
        <w:t>„</w:t>
      </w:r>
      <w:r w:rsidR="00B77817" w:rsidRPr="00857CDA">
        <w:rPr>
          <w:color w:val="000000"/>
          <w:lang w:val="ro-RO" w:eastAsia="fr-FR"/>
        </w:rPr>
        <w:t>Până la o notificare ulterioară</w:t>
      </w:r>
      <w:r w:rsidR="00660131" w:rsidRPr="00857CDA">
        <w:rPr>
          <w:lang w:val="ro-RO"/>
        </w:rPr>
        <w:t>”</w:t>
      </w:r>
      <w:r w:rsidR="00902C44" w:rsidRPr="00857CDA">
        <w:rPr>
          <w:lang w:val="ro-RO"/>
        </w:rPr>
        <w:t xml:space="preserve"> cu </w:t>
      </w:r>
      <w:r w:rsidR="008B288A" w:rsidRPr="00857CDA">
        <w:rPr>
          <w:lang w:val="ro-RO"/>
        </w:rPr>
        <w:t>„</w:t>
      </w:r>
      <w:r w:rsidR="009E20CA" w:rsidRPr="00857CDA">
        <w:rPr>
          <w:lang w:val="ro-RO"/>
        </w:rPr>
        <w:t>Între 1 ianuarie 2005 și 31 decembrie 2020</w:t>
      </w:r>
      <w:r w:rsidR="00660131" w:rsidRPr="00857CDA">
        <w:rPr>
          <w:lang w:val="ro-RO"/>
        </w:rPr>
        <w:t>”</w:t>
      </w:r>
      <w:r w:rsidRPr="00857CDA">
        <w:rPr>
          <w:lang w:val="ro-RO"/>
        </w:rPr>
        <w:t>. </w:t>
      </w:r>
      <w:r w:rsidR="00991390" w:rsidRPr="00857CDA">
        <w:rPr>
          <w:lang w:val="ro-RO"/>
        </w:rPr>
        <w:t>După</w:t>
      </w:r>
      <w:r w:rsidRPr="00857CDA">
        <w:rPr>
          <w:lang w:val="ro-RO"/>
        </w:rPr>
        <w:t xml:space="preserve"> </w:t>
      </w:r>
      <w:r w:rsidR="006A1ED1" w:rsidRPr="00857CDA">
        <w:rPr>
          <w:lang w:val="ro-RO"/>
        </w:rPr>
        <w:t>standardul</w:t>
      </w:r>
      <w:r w:rsidRPr="00857CDA">
        <w:rPr>
          <w:lang w:val="ro-RO"/>
        </w:rPr>
        <w:t xml:space="preserve"> </w:t>
      </w:r>
      <w:r w:rsidR="008B288A" w:rsidRPr="00857CDA">
        <w:rPr>
          <w:lang w:val="ro-RO"/>
        </w:rPr>
        <w:t>„</w:t>
      </w:r>
      <w:r w:rsidRPr="00857CDA">
        <w:rPr>
          <w:lang w:val="ro-RO"/>
        </w:rPr>
        <w:t>EN 13807:2003</w:t>
      </w:r>
      <w:r w:rsidR="00660131" w:rsidRPr="00857CDA">
        <w:rPr>
          <w:lang w:val="ro-RO"/>
        </w:rPr>
        <w:t>”</w:t>
      </w:r>
      <w:r w:rsidRPr="00857CDA">
        <w:rPr>
          <w:lang w:val="ro-RO"/>
        </w:rPr>
        <w:t xml:space="preserve">, </w:t>
      </w:r>
      <w:r w:rsidR="00902C44" w:rsidRPr="00857CDA">
        <w:rPr>
          <w:lang w:val="ro-RO"/>
        </w:rPr>
        <w:t>se adaugă</w:t>
      </w:r>
      <w:r w:rsidRPr="00857CDA">
        <w:rPr>
          <w:lang w:val="ro-RO"/>
        </w:rPr>
        <w:t xml:space="preserve"> </w:t>
      </w:r>
      <w:r w:rsidR="00857CDA" w:rsidRPr="00857CDA">
        <w:rPr>
          <w:lang w:val="ro-RO"/>
        </w:rPr>
        <w:t>un</w:t>
      </w:r>
      <w:r w:rsidR="00FF7077" w:rsidRPr="00857CDA">
        <w:rPr>
          <w:lang w:val="ro-RO"/>
        </w:rPr>
        <w:t xml:space="preserve"> nou standard, după cum urmează</w:t>
      </w:r>
      <w:r w:rsidR="00091658" w:rsidRPr="00857CDA">
        <w:rPr>
          <w:lang w:val="ro-RO"/>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977"/>
        <w:gridCol w:w="2268"/>
        <w:gridCol w:w="1134"/>
        <w:gridCol w:w="595"/>
      </w:tblGrid>
      <w:tr w:rsidR="000B1500" w:rsidRPr="007D305F" w:rsidTr="00FF7077">
        <w:trPr>
          <w:cantSplit/>
        </w:trPr>
        <w:tc>
          <w:tcPr>
            <w:tcW w:w="1531" w:type="dxa"/>
          </w:tcPr>
          <w:p w:rsidR="000B1500" w:rsidRPr="00857CDA" w:rsidRDefault="000B1500" w:rsidP="000B1500">
            <w:pPr>
              <w:tabs>
                <w:tab w:val="left" w:pos="1418"/>
              </w:tabs>
              <w:rPr>
                <w:lang w:val="ro-RO"/>
              </w:rPr>
            </w:pPr>
            <w:r w:rsidRPr="00857CDA">
              <w:rPr>
                <w:lang w:val="ro-RO"/>
              </w:rPr>
              <w:t>EN 13807:2017</w:t>
            </w:r>
          </w:p>
        </w:tc>
        <w:tc>
          <w:tcPr>
            <w:tcW w:w="2977" w:type="dxa"/>
          </w:tcPr>
          <w:p w:rsidR="000B1500" w:rsidRPr="00857CDA" w:rsidRDefault="00FF7077" w:rsidP="00FF7077">
            <w:pPr>
              <w:rPr>
                <w:lang w:val="ro-RO"/>
              </w:rPr>
            </w:pPr>
            <w:r w:rsidRPr="00857CDA">
              <w:rPr>
                <w:lang w:val="ro-RO"/>
              </w:rPr>
              <w:t>Butelii transportabile de gaz - Vehicule baterie și containere de gaz cu elemente multiple (CGEM) - Proiectare, fabricație, identificare și încercare</w:t>
            </w:r>
          </w:p>
        </w:tc>
        <w:tc>
          <w:tcPr>
            <w:tcW w:w="2268" w:type="dxa"/>
          </w:tcPr>
          <w:p w:rsidR="000B1500" w:rsidRPr="00857CDA" w:rsidRDefault="000B1500" w:rsidP="00FF7077">
            <w:pPr>
              <w:jc w:val="center"/>
              <w:rPr>
                <w:lang w:val="ro-RO"/>
              </w:rPr>
            </w:pPr>
            <w:r w:rsidRPr="00857CDA">
              <w:rPr>
                <w:lang w:val="ro-RO"/>
              </w:rPr>
              <w:t>6.8.3.1.4</w:t>
            </w:r>
            <w:r w:rsidR="009668E0" w:rsidRPr="00857CDA">
              <w:rPr>
                <w:lang w:val="ro-RO"/>
              </w:rPr>
              <w:t>,</w:t>
            </w:r>
            <w:r w:rsidRPr="00857CDA">
              <w:rPr>
                <w:lang w:val="ro-RO"/>
              </w:rPr>
              <w:t xml:space="preserve"> 6.8.3.1.5, </w:t>
            </w:r>
            <w:r w:rsidR="00FF7077" w:rsidRPr="00857CDA">
              <w:rPr>
                <w:lang w:val="ro-RO"/>
              </w:rPr>
              <w:t xml:space="preserve">de la </w:t>
            </w:r>
            <w:r w:rsidRPr="00857CDA">
              <w:rPr>
                <w:lang w:val="ro-RO"/>
              </w:rPr>
              <w:t xml:space="preserve">6.8.3.2.18 </w:t>
            </w:r>
            <w:r w:rsidR="00FF7077" w:rsidRPr="00857CDA">
              <w:rPr>
                <w:lang w:val="ro-RO"/>
              </w:rPr>
              <w:t>la</w:t>
            </w:r>
            <w:r w:rsidRPr="00857CDA">
              <w:rPr>
                <w:lang w:val="ro-RO"/>
              </w:rPr>
              <w:t xml:space="preserve"> 6.8.3.2.28, </w:t>
            </w:r>
            <w:r w:rsidR="00FF7077" w:rsidRPr="00857CDA">
              <w:rPr>
                <w:lang w:val="ro-RO"/>
              </w:rPr>
              <w:t xml:space="preserve">de la </w:t>
            </w:r>
            <w:r w:rsidRPr="00857CDA">
              <w:rPr>
                <w:lang w:val="ro-RO"/>
              </w:rPr>
              <w:t xml:space="preserve">6.8.3.4.12 </w:t>
            </w:r>
            <w:r w:rsidR="00FF7077" w:rsidRPr="00857CDA">
              <w:rPr>
                <w:lang w:val="ro-RO"/>
              </w:rPr>
              <w:t>la</w:t>
            </w:r>
            <w:r w:rsidRPr="00857CDA">
              <w:rPr>
                <w:lang w:val="ro-RO"/>
              </w:rPr>
              <w:t xml:space="preserve"> 6.8.3.4.14</w:t>
            </w:r>
            <w:r w:rsidR="004C27AD" w:rsidRPr="00857CDA">
              <w:rPr>
                <w:lang w:val="ro-RO"/>
              </w:rPr>
              <w:t xml:space="preserve"> și </w:t>
            </w:r>
            <w:r w:rsidR="00FF7077" w:rsidRPr="00857CDA">
              <w:rPr>
                <w:lang w:val="ro-RO"/>
              </w:rPr>
              <w:t xml:space="preserve">de la </w:t>
            </w:r>
            <w:r w:rsidRPr="00857CDA">
              <w:rPr>
                <w:lang w:val="ro-RO"/>
              </w:rPr>
              <w:t xml:space="preserve">6.8.3.5.10 </w:t>
            </w:r>
            <w:r w:rsidR="00FF7077" w:rsidRPr="00857CDA">
              <w:rPr>
                <w:lang w:val="ro-RO"/>
              </w:rPr>
              <w:t>la</w:t>
            </w:r>
            <w:r w:rsidRPr="00857CDA">
              <w:rPr>
                <w:lang w:val="ro-RO"/>
              </w:rPr>
              <w:t xml:space="preserve"> 6.8.3.5.13</w:t>
            </w:r>
          </w:p>
        </w:tc>
        <w:tc>
          <w:tcPr>
            <w:tcW w:w="1134" w:type="dxa"/>
          </w:tcPr>
          <w:p w:rsidR="000B1500" w:rsidRPr="00857CDA" w:rsidRDefault="00B77817" w:rsidP="000B1500">
            <w:pPr>
              <w:jc w:val="center"/>
              <w:rPr>
                <w:lang w:val="ro-RO"/>
              </w:rPr>
            </w:pPr>
            <w:r w:rsidRPr="00857CDA">
              <w:rPr>
                <w:color w:val="000000"/>
                <w:lang w:val="ro-RO" w:eastAsia="fr-FR"/>
              </w:rPr>
              <w:t>Până la o notificare ulterioară</w:t>
            </w:r>
          </w:p>
        </w:tc>
        <w:tc>
          <w:tcPr>
            <w:tcW w:w="595" w:type="dxa"/>
          </w:tcPr>
          <w:p w:rsidR="000B1500" w:rsidRPr="00857CDA" w:rsidRDefault="000B1500" w:rsidP="000B1500">
            <w:pPr>
              <w:tabs>
                <w:tab w:val="left" w:pos="1418"/>
              </w:tabs>
              <w:rPr>
                <w:lang w:val="ro-RO"/>
              </w:rPr>
            </w:pPr>
          </w:p>
        </w:tc>
      </w:tr>
    </w:tbl>
    <w:p w:rsidR="000B1500" w:rsidRPr="00857CDA" w:rsidRDefault="000B1500" w:rsidP="00BC3F3E">
      <w:pPr>
        <w:pStyle w:val="SingleTxtG"/>
        <w:spacing w:before="120"/>
        <w:rPr>
          <w:lang w:val="ro-RO"/>
        </w:rPr>
      </w:pPr>
      <w:r w:rsidRPr="00857CDA">
        <w:rPr>
          <w:lang w:val="ro-RO"/>
        </w:rPr>
        <w:t xml:space="preserve">6.8.4 d), </w:t>
      </w:r>
      <w:r w:rsidR="0043120D" w:rsidRPr="00857CDA">
        <w:rPr>
          <w:lang w:val="ro-RO"/>
        </w:rPr>
        <w:t>Dispoziția specială</w:t>
      </w:r>
      <w:r w:rsidRPr="00857CDA">
        <w:rPr>
          <w:lang w:val="ro-RO"/>
        </w:rPr>
        <w:t xml:space="preserve"> TT2</w:t>
      </w:r>
      <w:r w:rsidR="00FF7077" w:rsidRPr="00857CDA">
        <w:rPr>
          <w:lang w:val="ro-RO"/>
        </w:rPr>
        <w:t>,</w:t>
      </w:r>
      <w:r w:rsidRPr="00857CDA">
        <w:rPr>
          <w:lang w:val="ro-RO"/>
        </w:rPr>
        <w:tab/>
      </w:r>
      <w:r w:rsidR="00FF7077" w:rsidRPr="00857CDA">
        <w:rPr>
          <w:lang w:val="ro-RO"/>
        </w:rPr>
        <w:t>la sfârșit</w:t>
      </w:r>
      <w:r w:rsidRPr="00857CDA">
        <w:rPr>
          <w:lang w:val="ro-RO"/>
        </w:rPr>
        <w:t xml:space="preserve">, </w:t>
      </w:r>
      <w:r w:rsidR="00902C44" w:rsidRPr="00857CDA">
        <w:rPr>
          <w:lang w:val="ro-RO"/>
        </w:rPr>
        <w:t>se adaugă</w:t>
      </w:r>
      <w:r w:rsidRPr="00857CDA">
        <w:rPr>
          <w:lang w:val="ro-RO"/>
        </w:rPr>
        <w:t xml:space="preserve"> </w:t>
      </w:r>
      <w:r w:rsidR="008B288A" w:rsidRPr="00857CDA">
        <w:rPr>
          <w:lang w:val="ro-RO"/>
        </w:rPr>
        <w:t>„</w:t>
      </w:r>
      <w:r w:rsidRPr="00857CDA">
        <w:rPr>
          <w:lang w:val="ro-RO"/>
        </w:rPr>
        <w:t>(</w:t>
      </w:r>
      <w:r w:rsidR="008B288A" w:rsidRPr="00857CDA">
        <w:rPr>
          <w:lang w:val="ro-RO"/>
        </w:rPr>
        <w:t>a</w:t>
      </w:r>
      <w:r w:rsidR="0043120D" w:rsidRPr="00857CDA">
        <w:rPr>
          <w:lang w:val="ro-RO"/>
        </w:rPr>
        <w:t xml:space="preserve"> se vedea</w:t>
      </w:r>
      <w:r w:rsidRPr="00857CDA">
        <w:rPr>
          <w:lang w:val="ro-RO"/>
        </w:rPr>
        <w:t xml:space="preserve"> </w:t>
      </w:r>
      <w:r w:rsidR="0043120D" w:rsidRPr="00857CDA">
        <w:rPr>
          <w:lang w:val="ro-RO"/>
        </w:rPr>
        <w:t>Dispoziția specială</w:t>
      </w:r>
      <w:r w:rsidRPr="00857CDA">
        <w:rPr>
          <w:lang w:val="ro-RO"/>
        </w:rPr>
        <w:t xml:space="preserve"> TU43 </w:t>
      </w:r>
      <w:r w:rsidR="00FF7077" w:rsidRPr="00857CDA">
        <w:rPr>
          <w:lang w:val="ro-RO"/>
        </w:rPr>
        <w:t>de la</w:t>
      </w:r>
      <w:r w:rsidRPr="00857CDA">
        <w:rPr>
          <w:lang w:val="ro-RO"/>
        </w:rPr>
        <w:t xml:space="preserve"> 4.3.5)</w:t>
      </w:r>
      <w:r w:rsidR="00660131" w:rsidRPr="00857CDA">
        <w:rPr>
          <w:lang w:val="ro-RO"/>
        </w:rPr>
        <w:t>”</w:t>
      </w:r>
      <w:r w:rsidRPr="00857CDA">
        <w:rPr>
          <w:lang w:val="ro-RO"/>
        </w:rPr>
        <w:t>.</w:t>
      </w:r>
    </w:p>
    <w:p w:rsidR="000B1500" w:rsidRPr="00857CDA" w:rsidRDefault="000B1500" w:rsidP="000B1500">
      <w:pPr>
        <w:pStyle w:val="SingleTxtG"/>
        <w:rPr>
          <w:lang w:val="ro-RO"/>
        </w:rPr>
      </w:pPr>
      <w:r w:rsidRPr="00857CDA">
        <w:rPr>
          <w:lang w:val="ro-RO"/>
        </w:rPr>
        <w:t>6.8.5.1.2 a)</w:t>
      </w:r>
      <w:r w:rsidRPr="00857CDA">
        <w:rPr>
          <w:lang w:val="ro-RO"/>
        </w:rPr>
        <w:tab/>
      </w:r>
      <w:r w:rsidR="00857CDA" w:rsidRPr="00857CDA">
        <w:rPr>
          <w:lang w:val="ro-RO"/>
        </w:rPr>
        <w:t>La</w:t>
      </w:r>
      <w:r w:rsidR="00FF7077" w:rsidRPr="00857CDA">
        <w:rPr>
          <w:lang w:val="ro-RO"/>
        </w:rPr>
        <w:t xml:space="preserve"> sfârșit</w:t>
      </w:r>
      <w:r w:rsidRPr="00857CDA">
        <w:rPr>
          <w:lang w:val="ro-RO"/>
        </w:rPr>
        <w:t xml:space="preserve">, </w:t>
      </w:r>
      <w:r w:rsidR="00902C44" w:rsidRPr="00857CDA">
        <w:rPr>
          <w:lang w:val="ro-RO"/>
        </w:rPr>
        <w:t>se adaugă</w:t>
      </w:r>
      <w:r w:rsidRPr="00857CDA">
        <w:rPr>
          <w:lang w:val="ro-RO"/>
        </w:rPr>
        <w:t xml:space="preserve"> </w:t>
      </w:r>
      <w:r w:rsidR="008B288A" w:rsidRPr="00857CDA">
        <w:rPr>
          <w:lang w:val="ro-RO"/>
        </w:rPr>
        <w:t>un nou alineat, după cum urmează</w:t>
      </w:r>
      <w:r w:rsidR="00091658" w:rsidRPr="00857CDA">
        <w:rPr>
          <w:lang w:val="ro-RO"/>
        </w:rPr>
        <w:t>:</w:t>
      </w:r>
    </w:p>
    <w:p w:rsidR="000B1500" w:rsidRPr="00857CDA" w:rsidRDefault="008B288A" w:rsidP="000B1500">
      <w:pPr>
        <w:pStyle w:val="SingleTxtG"/>
        <w:rPr>
          <w:lang w:val="ro-RO"/>
        </w:rPr>
      </w:pPr>
      <w:r w:rsidRPr="00857CDA">
        <w:rPr>
          <w:lang w:val="ro-RO"/>
        </w:rPr>
        <w:t>„</w:t>
      </w:r>
      <w:r w:rsidR="000B1500" w:rsidRPr="00857CDA">
        <w:rPr>
          <w:lang w:val="ro-RO"/>
        </w:rPr>
        <w:t>-</w:t>
      </w:r>
      <w:r w:rsidR="000B1500" w:rsidRPr="00857CDA">
        <w:rPr>
          <w:lang w:val="ro-RO"/>
        </w:rPr>
        <w:tab/>
      </w:r>
      <w:r w:rsidR="00FF7077" w:rsidRPr="00857CDA">
        <w:rPr>
          <w:lang w:val="ro-RO"/>
        </w:rPr>
        <w:t>oțelurile inoxidabile</w:t>
      </w:r>
      <w:r w:rsidR="000B1500" w:rsidRPr="00857CDA">
        <w:rPr>
          <w:lang w:val="ro-RO"/>
        </w:rPr>
        <w:t xml:space="preserve"> aust</w:t>
      </w:r>
      <w:r w:rsidR="00FF7077" w:rsidRPr="00857CDA">
        <w:rPr>
          <w:lang w:val="ro-RO"/>
        </w:rPr>
        <w:t>e</w:t>
      </w:r>
      <w:r w:rsidR="000B1500" w:rsidRPr="00857CDA">
        <w:rPr>
          <w:lang w:val="ro-RO"/>
        </w:rPr>
        <w:t>n</w:t>
      </w:r>
      <w:r w:rsidR="00FF7077" w:rsidRPr="00857CDA">
        <w:rPr>
          <w:lang w:val="ro-RO"/>
        </w:rPr>
        <w:t>itico</w:t>
      </w:r>
      <w:r w:rsidR="000B1500" w:rsidRPr="00857CDA">
        <w:rPr>
          <w:lang w:val="ro-RO"/>
        </w:rPr>
        <w:t>-feriti</w:t>
      </w:r>
      <w:r w:rsidR="00FF7077" w:rsidRPr="00857CDA">
        <w:rPr>
          <w:lang w:val="ro-RO"/>
        </w:rPr>
        <w:t>ce</w:t>
      </w:r>
      <w:r w:rsidR="000B1500" w:rsidRPr="00857CDA">
        <w:rPr>
          <w:lang w:val="ro-RO"/>
        </w:rPr>
        <w:t xml:space="preserve">, </w:t>
      </w:r>
      <w:r w:rsidR="00FF7077" w:rsidRPr="00857CDA">
        <w:rPr>
          <w:lang w:val="ro-RO"/>
        </w:rPr>
        <w:t>până la o temperatură</w:t>
      </w:r>
      <w:r w:rsidR="000B1500" w:rsidRPr="00857CDA">
        <w:rPr>
          <w:lang w:val="ro-RO"/>
        </w:rPr>
        <w:t xml:space="preserve"> de -</w:t>
      </w:r>
      <w:r w:rsidR="00FF7077" w:rsidRPr="00857CDA">
        <w:rPr>
          <w:lang w:val="ro-RO"/>
        </w:rPr>
        <w:t xml:space="preserve"> </w:t>
      </w:r>
      <w:r w:rsidR="000B1500" w:rsidRPr="00857CDA">
        <w:rPr>
          <w:lang w:val="ro-RO"/>
        </w:rPr>
        <w:t>40 °C;</w:t>
      </w:r>
      <w:r w:rsidR="00660131" w:rsidRPr="00857CDA">
        <w:rPr>
          <w:lang w:val="ro-RO"/>
        </w:rPr>
        <w:t>”</w:t>
      </w:r>
      <w:r w:rsidR="000B1500" w:rsidRPr="00857CDA">
        <w:rPr>
          <w:lang w:val="ro-RO"/>
        </w:rPr>
        <w:t>.</w:t>
      </w:r>
    </w:p>
    <w:p w:rsidR="000B1500" w:rsidRPr="00857CDA" w:rsidRDefault="000B1500" w:rsidP="000B1500">
      <w:pPr>
        <w:pStyle w:val="SingleTxtG"/>
        <w:rPr>
          <w:lang w:val="ro-RO"/>
        </w:rPr>
      </w:pPr>
      <w:r w:rsidRPr="00857CDA">
        <w:rPr>
          <w:lang w:val="ro-RO"/>
        </w:rPr>
        <w:t>6.8.5.2.1</w:t>
      </w:r>
      <w:r w:rsidRPr="00857CDA">
        <w:rPr>
          <w:lang w:val="ro-RO"/>
        </w:rPr>
        <w:tab/>
      </w:r>
      <w:r w:rsidR="00FF7077" w:rsidRPr="00857CDA">
        <w:rPr>
          <w:lang w:val="ro-RO"/>
        </w:rPr>
        <w:t>La sfârșitul celui de</w:t>
      </w:r>
      <w:r w:rsidRPr="00857CDA">
        <w:rPr>
          <w:lang w:val="ro-RO"/>
        </w:rPr>
        <w:t xml:space="preserve"> </w:t>
      </w:r>
      <w:r w:rsidR="00970E20" w:rsidRPr="00857CDA">
        <w:rPr>
          <w:lang w:val="ro-RO"/>
        </w:rPr>
        <w:t>al doilea alineat</w:t>
      </w:r>
      <w:r w:rsidRPr="00857CDA">
        <w:rPr>
          <w:lang w:val="ro-RO"/>
        </w:rPr>
        <w:t xml:space="preserve">, </w:t>
      </w:r>
      <w:r w:rsidR="00FF7077" w:rsidRPr="00857CDA">
        <w:rPr>
          <w:lang w:val="ro-RO"/>
        </w:rPr>
        <w:t>s</w:t>
      </w:r>
      <w:r w:rsidR="00902C44" w:rsidRPr="00857CDA">
        <w:rPr>
          <w:lang w:val="ro-RO"/>
        </w:rPr>
        <w:t>e modifică</w:t>
      </w:r>
      <w:r w:rsidRPr="00857CDA">
        <w:rPr>
          <w:lang w:val="ro-RO"/>
        </w:rPr>
        <w:t xml:space="preserve"> </w:t>
      </w:r>
      <w:r w:rsidR="008B288A" w:rsidRPr="00857CDA">
        <w:rPr>
          <w:lang w:val="ro-RO"/>
        </w:rPr>
        <w:t>„</w:t>
      </w:r>
      <w:r w:rsidR="00FF7077" w:rsidRPr="00857CDA">
        <w:rPr>
          <w:lang w:val="ro-RO"/>
        </w:rPr>
        <w:t>sau oțel austenitic cu Cr </w:t>
      </w:r>
      <w:r w:rsidR="00FF7077" w:rsidRPr="00857CDA">
        <w:rPr>
          <w:lang w:val="ro-RO"/>
        </w:rPr>
        <w:noBreakHyphen/>
        <w:t> Ni</w:t>
      </w:r>
      <w:r w:rsidR="00660131" w:rsidRPr="00857CDA">
        <w:rPr>
          <w:lang w:val="ro-RO"/>
        </w:rPr>
        <w:t>”</w:t>
      </w:r>
      <w:r w:rsidR="00902C44" w:rsidRPr="00857CDA">
        <w:rPr>
          <w:lang w:val="ro-RO"/>
        </w:rPr>
        <w:t xml:space="preserve"> cu </w:t>
      </w:r>
      <w:r w:rsidR="008B288A" w:rsidRPr="00857CDA">
        <w:rPr>
          <w:lang w:val="ro-RO"/>
        </w:rPr>
        <w:t>„</w:t>
      </w:r>
      <w:r w:rsidR="00FF7077" w:rsidRPr="00857CDA">
        <w:rPr>
          <w:lang w:val="ro-RO"/>
        </w:rPr>
        <w:t>oțel</w:t>
      </w:r>
      <w:r w:rsidR="0017111F" w:rsidRPr="00857CDA">
        <w:rPr>
          <w:lang w:val="ro-RO"/>
        </w:rPr>
        <w:t>ul</w:t>
      </w:r>
      <w:r w:rsidR="00FF7077" w:rsidRPr="00857CDA">
        <w:rPr>
          <w:lang w:val="ro-RO"/>
        </w:rPr>
        <w:t xml:space="preserve"> austenitic cu Cr </w:t>
      </w:r>
      <w:r w:rsidR="00341B11">
        <w:rPr>
          <w:lang w:val="ro-RO"/>
        </w:rPr>
        <w:t>-</w:t>
      </w:r>
      <w:r w:rsidR="00FF7077" w:rsidRPr="00857CDA">
        <w:rPr>
          <w:lang w:val="ro-RO"/>
        </w:rPr>
        <w:t> Ni sau</w:t>
      </w:r>
      <w:r w:rsidRPr="00857CDA">
        <w:rPr>
          <w:lang w:val="ro-RO"/>
        </w:rPr>
        <w:t xml:space="preserve"> </w:t>
      </w:r>
      <w:r w:rsidR="00FF7077" w:rsidRPr="00857CDA">
        <w:rPr>
          <w:lang w:val="ro-RO"/>
        </w:rPr>
        <w:t>oțel</w:t>
      </w:r>
      <w:r w:rsidR="0017111F" w:rsidRPr="00857CDA">
        <w:rPr>
          <w:lang w:val="ro-RO"/>
        </w:rPr>
        <w:t>ul</w:t>
      </w:r>
      <w:r w:rsidRPr="00857CDA">
        <w:rPr>
          <w:lang w:val="ro-RO"/>
        </w:rPr>
        <w:t xml:space="preserve"> inox</w:t>
      </w:r>
      <w:r w:rsidR="00FF7077" w:rsidRPr="00857CDA">
        <w:rPr>
          <w:lang w:val="ro-RO"/>
        </w:rPr>
        <w:t>i</w:t>
      </w:r>
      <w:r w:rsidRPr="00857CDA">
        <w:rPr>
          <w:lang w:val="ro-RO"/>
        </w:rPr>
        <w:t>dab</w:t>
      </w:r>
      <w:r w:rsidR="00FF7077" w:rsidRPr="00857CDA">
        <w:rPr>
          <w:lang w:val="ro-RO"/>
        </w:rPr>
        <w:t>i</w:t>
      </w:r>
      <w:r w:rsidRPr="00857CDA">
        <w:rPr>
          <w:lang w:val="ro-RO"/>
        </w:rPr>
        <w:t>l aust</w:t>
      </w:r>
      <w:r w:rsidR="00FF7077" w:rsidRPr="00857CDA">
        <w:rPr>
          <w:lang w:val="ro-RO"/>
        </w:rPr>
        <w:t>e</w:t>
      </w:r>
      <w:r w:rsidRPr="00857CDA">
        <w:rPr>
          <w:lang w:val="ro-RO"/>
        </w:rPr>
        <w:t>n</w:t>
      </w:r>
      <w:r w:rsidR="00FF7077" w:rsidRPr="00857CDA">
        <w:rPr>
          <w:lang w:val="ro-RO"/>
        </w:rPr>
        <w:t>itic</w:t>
      </w:r>
      <w:r w:rsidRPr="00857CDA">
        <w:rPr>
          <w:lang w:val="ro-RO"/>
        </w:rPr>
        <w:t>o-feriti</w:t>
      </w:r>
      <w:r w:rsidR="00FF7077" w:rsidRPr="00857CDA">
        <w:rPr>
          <w:lang w:val="ro-RO"/>
        </w:rPr>
        <w:t>c</w:t>
      </w:r>
      <w:r w:rsidR="00660131" w:rsidRPr="00857CDA">
        <w:rPr>
          <w:lang w:val="ro-RO"/>
        </w:rPr>
        <w:t>”</w:t>
      </w:r>
      <w:r w:rsidRPr="00857CDA">
        <w:rPr>
          <w:lang w:val="ro-RO"/>
        </w:rPr>
        <w:t>.</w:t>
      </w:r>
    </w:p>
    <w:p w:rsidR="005612F9" w:rsidRPr="00857CDA" w:rsidRDefault="005612F9" w:rsidP="0017111F">
      <w:pPr>
        <w:pStyle w:val="SingleTxtG"/>
        <w:tabs>
          <w:tab w:val="left" w:pos="2268"/>
        </w:tabs>
        <w:rPr>
          <w:lang w:val="ro-RO" w:eastAsia="en-GB"/>
        </w:rPr>
      </w:pPr>
      <w:r w:rsidRPr="00857CDA">
        <w:rPr>
          <w:lang w:val="ro-RO" w:eastAsia="en-GB"/>
        </w:rPr>
        <w:t>6.8.5.4</w:t>
      </w:r>
      <w:r w:rsidRPr="00857CDA">
        <w:rPr>
          <w:lang w:val="ro-RO" w:eastAsia="en-GB"/>
        </w:rPr>
        <w:tab/>
      </w:r>
      <w:r w:rsidR="00902C44" w:rsidRPr="00857CDA">
        <w:rPr>
          <w:lang w:val="ro-RO" w:eastAsia="en-GB"/>
        </w:rPr>
        <w:t>Se modifică</w:t>
      </w:r>
      <w:r w:rsidRPr="00857CDA">
        <w:rPr>
          <w:lang w:val="ro-RO" w:eastAsia="en-GB"/>
        </w:rPr>
        <w:t xml:space="preserve"> </w:t>
      </w:r>
      <w:r w:rsidR="008B288A" w:rsidRPr="00857CDA">
        <w:rPr>
          <w:lang w:val="ro-RO"/>
        </w:rPr>
        <w:t>„</w:t>
      </w:r>
      <w:r w:rsidR="0017111F" w:rsidRPr="00857CDA">
        <w:rPr>
          <w:lang w:val="ro-RO"/>
        </w:rPr>
        <w:t xml:space="preserve">EN 1252-1:1998 Recipiente criogenice – Materiale – Partea 1: Prescripții de rezistență la temperaturi mai mici de - 80 </w:t>
      </w:r>
      <w:r w:rsidR="0017111F" w:rsidRPr="00857CDA">
        <w:rPr>
          <w:lang w:val="ro-RO"/>
        </w:rPr>
        <w:sym w:font="Symbol" w:char="F0B0"/>
      </w:r>
      <w:r w:rsidR="0017111F" w:rsidRPr="00857CDA">
        <w:rPr>
          <w:lang w:val="ro-RO"/>
        </w:rPr>
        <w:t>C</w:t>
      </w:r>
      <w:r w:rsidR="00660131" w:rsidRPr="00857CDA">
        <w:rPr>
          <w:iCs/>
          <w:lang w:val="ro-RO"/>
        </w:rPr>
        <w:t>”</w:t>
      </w:r>
      <w:r w:rsidR="00902C44" w:rsidRPr="00857CDA">
        <w:rPr>
          <w:lang w:val="ro-RO" w:eastAsia="en-GB"/>
        </w:rPr>
        <w:t xml:space="preserve"> cu </w:t>
      </w:r>
      <w:r w:rsidR="008B288A" w:rsidRPr="00857CDA">
        <w:rPr>
          <w:lang w:val="ro-RO"/>
        </w:rPr>
        <w:t>„</w:t>
      </w:r>
      <w:r w:rsidRPr="00857CDA">
        <w:rPr>
          <w:lang w:val="ro-RO" w:eastAsia="en-GB"/>
        </w:rPr>
        <w:t xml:space="preserve">EN ISO 21028-1:2016 </w:t>
      </w:r>
      <w:r w:rsidR="0017111F" w:rsidRPr="00857CDA">
        <w:rPr>
          <w:lang w:val="ro-RO" w:eastAsia="en-GB"/>
        </w:rPr>
        <w:t>Recipiente criogenice - Condiţii de rezistenţă pentru materiale la temperaturi criogenice - Partea 1: Temperaturi mai mici de - 80 °C</w:t>
      </w:r>
      <w:r w:rsidR="00660131" w:rsidRPr="00857CDA">
        <w:rPr>
          <w:iCs/>
          <w:lang w:val="ro-RO"/>
        </w:rPr>
        <w:t>”</w:t>
      </w:r>
      <w:r w:rsidRPr="00857CDA">
        <w:rPr>
          <w:lang w:val="ro-RO" w:eastAsia="en-GB"/>
        </w:rPr>
        <w:t>.</w:t>
      </w:r>
    </w:p>
    <w:p w:rsidR="000B1500" w:rsidRPr="00857CDA" w:rsidRDefault="000B1500" w:rsidP="000B1500">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6.9</w:t>
      </w:r>
    </w:p>
    <w:p w:rsidR="000B1500" w:rsidRPr="00857CDA" w:rsidRDefault="009C2E03" w:rsidP="009C2E03">
      <w:pPr>
        <w:pStyle w:val="SingleTxtG"/>
        <w:tabs>
          <w:tab w:val="left" w:pos="2268"/>
        </w:tabs>
        <w:rPr>
          <w:lang w:val="ro-RO"/>
        </w:rPr>
      </w:pPr>
      <w:r w:rsidRPr="00857CDA">
        <w:rPr>
          <w:lang w:val="ro-RO"/>
        </w:rPr>
        <w:t>6.9.3.1</w:t>
      </w:r>
      <w:r w:rsidR="000B1500" w:rsidRPr="00857CDA">
        <w:rPr>
          <w:lang w:val="ro-RO"/>
        </w:rPr>
        <w:tab/>
      </w:r>
      <w:r w:rsidR="00902C44" w:rsidRPr="00857CDA">
        <w:rPr>
          <w:lang w:val="ro-RO"/>
        </w:rPr>
        <w:t>Se modifică</w:t>
      </w:r>
      <w:r w:rsidR="000B1500" w:rsidRPr="00857CDA">
        <w:rPr>
          <w:lang w:val="ro-RO"/>
        </w:rPr>
        <w:t xml:space="preserve"> </w:t>
      </w:r>
      <w:r w:rsidR="008B288A" w:rsidRPr="00857CDA">
        <w:rPr>
          <w:lang w:val="ro-RO"/>
        </w:rPr>
        <w:t>„</w:t>
      </w:r>
      <w:r w:rsidR="0017111F" w:rsidRPr="00857CDA">
        <w:rPr>
          <w:lang w:val="ro-RO"/>
        </w:rPr>
        <w:t>și de la 6.8.2.2.4</w:t>
      </w:r>
      <w:r w:rsidR="00660131" w:rsidRPr="00857CDA">
        <w:rPr>
          <w:lang w:val="ro-RO"/>
        </w:rPr>
        <w:t>”</w:t>
      </w:r>
      <w:r w:rsidR="00902C44" w:rsidRPr="00857CDA">
        <w:rPr>
          <w:lang w:val="ro-RO"/>
        </w:rPr>
        <w:t xml:space="preserve"> cu </w:t>
      </w:r>
      <w:r w:rsidR="008B288A" w:rsidRPr="00857CDA">
        <w:rPr>
          <w:lang w:val="ro-RO"/>
        </w:rPr>
        <w:t xml:space="preserve">„ </w:t>
      </w:r>
      <w:r w:rsidR="000B1500" w:rsidRPr="00857CDA">
        <w:rPr>
          <w:lang w:val="ro-RO"/>
        </w:rPr>
        <w:t>, 6.8.2.2.4</w:t>
      </w:r>
      <w:r w:rsidR="004C27AD" w:rsidRPr="00857CDA">
        <w:rPr>
          <w:lang w:val="ro-RO"/>
        </w:rPr>
        <w:t xml:space="preserve"> și </w:t>
      </w:r>
      <w:r w:rsidR="0017111F" w:rsidRPr="00857CDA">
        <w:rPr>
          <w:lang w:val="ro-RO"/>
        </w:rPr>
        <w:t xml:space="preserve">de la </w:t>
      </w:r>
      <w:r w:rsidR="000B1500" w:rsidRPr="00857CDA">
        <w:rPr>
          <w:lang w:val="ro-RO"/>
        </w:rPr>
        <w:t>6.8.2.2.6</w:t>
      </w:r>
      <w:r w:rsidR="00660131" w:rsidRPr="00857CDA">
        <w:rPr>
          <w:lang w:val="ro-RO"/>
        </w:rPr>
        <w:t>”</w:t>
      </w:r>
      <w:r w:rsidR="000B1500" w:rsidRPr="00857CDA">
        <w:rPr>
          <w:lang w:val="ro-RO"/>
        </w:rPr>
        <w:t>.</w:t>
      </w:r>
    </w:p>
    <w:p w:rsidR="005A52D5" w:rsidRPr="00857CDA" w:rsidRDefault="005A52D5" w:rsidP="005A52D5">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6.10</w:t>
      </w:r>
    </w:p>
    <w:p w:rsidR="000B1500" w:rsidRPr="00857CDA" w:rsidRDefault="000B1500" w:rsidP="000B1500">
      <w:pPr>
        <w:pStyle w:val="SingleTxtG"/>
        <w:rPr>
          <w:lang w:val="ro-RO"/>
        </w:rPr>
      </w:pPr>
      <w:r w:rsidRPr="00857CDA">
        <w:rPr>
          <w:lang w:val="ro-RO"/>
        </w:rPr>
        <w:t>6.10.1.2.1</w:t>
      </w:r>
      <w:r w:rsidRPr="00857CDA">
        <w:rPr>
          <w:lang w:val="ro-RO"/>
        </w:rPr>
        <w:tab/>
      </w:r>
      <w:r w:rsidR="0017111F" w:rsidRPr="00857CDA">
        <w:rPr>
          <w:lang w:val="ro-RO"/>
        </w:rPr>
        <w:t>La cel de al treilea</w:t>
      </w:r>
      <w:r w:rsidRPr="00857CDA">
        <w:rPr>
          <w:lang w:val="ro-RO"/>
        </w:rPr>
        <w:t xml:space="preserve"> </w:t>
      </w:r>
      <w:r w:rsidR="00970E20" w:rsidRPr="00857CDA">
        <w:rPr>
          <w:lang w:val="ro-RO"/>
        </w:rPr>
        <w:t>paragraf</w:t>
      </w:r>
      <w:r w:rsidRPr="00857CDA">
        <w:rPr>
          <w:lang w:val="ro-RO"/>
        </w:rPr>
        <w:t xml:space="preserve">, </w:t>
      </w:r>
      <w:r w:rsidR="0017111F" w:rsidRPr="00857CDA">
        <w:rPr>
          <w:lang w:val="ro-RO"/>
        </w:rPr>
        <w:t>î</w:t>
      </w:r>
      <w:r w:rsidR="00902C44" w:rsidRPr="00857CDA">
        <w:rPr>
          <w:lang w:val="ro-RO"/>
        </w:rPr>
        <w:t xml:space="preserve">n </w:t>
      </w:r>
      <w:r w:rsidR="003634AA" w:rsidRPr="00857CDA">
        <w:rPr>
          <w:lang w:val="ro-RO"/>
        </w:rPr>
        <w:t>prima frază</w:t>
      </w:r>
      <w:r w:rsidR="0017111F" w:rsidRPr="00857CDA">
        <w:rPr>
          <w:lang w:val="ro-RO"/>
        </w:rPr>
        <w:t>,</w:t>
      </w:r>
      <w:r w:rsidRPr="00857CDA">
        <w:rPr>
          <w:lang w:val="ro-RO"/>
        </w:rPr>
        <w:t xml:space="preserve"> </w:t>
      </w:r>
      <w:r w:rsidR="0017111F" w:rsidRPr="00857CDA">
        <w:rPr>
          <w:lang w:val="ro-RO"/>
        </w:rPr>
        <w:t>s</w:t>
      </w:r>
      <w:r w:rsidR="00902C44" w:rsidRPr="00857CDA">
        <w:rPr>
          <w:lang w:val="ro-RO"/>
        </w:rPr>
        <w:t>e modifică</w:t>
      </w:r>
      <w:r w:rsidRPr="00857CDA">
        <w:rPr>
          <w:lang w:val="ro-RO"/>
        </w:rPr>
        <w:t xml:space="preserve"> </w:t>
      </w:r>
      <w:r w:rsidR="008B288A" w:rsidRPr="00857CDA">
        <w:rPr>
          <w:lang w:val="ro-RO"/>
        </w:rPr>
        <w:t>„</w:t>
      </w:r>
      <w:r w:rsidR="0017111F" w:rsidRPr="00857CDA">
        <w:rPr>
          <w:lang w:val="ro-RO"/>
        </w:rPr>
        <w:t>cu excepția cazului în care există o dispoziție specială diferită</w:t>
      </w:r>
      <w:r w:rsidR="00660131" w:rsidRPr="00857CDA">
        <w:rPr>
          <w:lang w:val="ro-RO"/>
        </w:rPr>
        <w:t>”</w:t>
      </w:r>
      <w:r w:rsidR="00902C44" w:rsidRPr="00857CDA">
        <w:rPr>
          <w:lang w:val="ro-RO"/>
        </w:rPr>
        <w:t xml:space="preserve"> cu </w:t>
      </w:r>
      <w:r w:rsidR="008B288A" w:rsidRPr="00857CDA">
        <w:rPr>
          <w:lang w:val="ro-RO"/>
        </w:rPr>
        <w:t>„</w:t>
      </w:r>
      <w:r w:rsidR="0017111F" w:rsidRPr="00857CDA">
        <w:rPr>
          <w:lang w:val="ro-RO"/>
        </w:rPr>
        <w:t>cu excepția cazului în care există prescripții speciale diferite</w:t>
      </w:r>
      <w:r w:rsidR="00660131" w:rsidRPr="00857CDA">
        <w:rPr>
          <w:lang w:val="ro-RO"/>
        </w:rPr>
        <w:t>”</w:t>
      </w:r>
      <w:r w:rsidRPr="00857CDA">
        <w:rPr>
          <w:lang w:val="ro-RO"/>
        </w:rPr>
        <w:t>.</w:t>
      </w:r>
    </w:p>
    <w:p w:rsidR="005A52D5" w:rsidRPr="00857CDA" w:rsidRDefault="005A52D5" w:rsidP="005A52D5">
      <w:pPr>
        <w:pStyle w:val="SingleTxtG"/>
        <w:rPr>
          <w:lang w:val="ro-RO"/>
        </w:rPr>
      </w:pPr>
      <w:r w:rsidRPr="00857CDA">
        <w:rPr>
          <w:lang w:val="ro-RO"/>
        </w:rPr>
        <w:t xml:space="preserve">6.10.3.8 </w:t>
      </w:r>
      <w:r w:rsidR="0017111F" w:rsidRPr="00857CDA">
        <w:rPr>
          <w:lang w:val="ro-RO"/>
        </w:rPr>
        <w:t>(</w:t>
      </w:r>
      <w:r w:rsidRPr="00857CDA">
        <w:rPr>
          <w:lang w:val="ro-RO"/>
        </w:rPr>
        <w:t>f)</w:t>
      </w:r>
      <w:r w:rsidRPr="00857CDA">
        <w:rPr>
          <w:lang w:val="ro-RO"/>
        </w:rPr>
        <w:tab/>
      </w:r>
      <w:r w:rsidR="00902C44" w:rsidRPr="00857CDA">
        <w:rPr>
          <w:lang w:val="ro-RO"/>
        </w:rPr>
        <w:t>Se modifică</w:t>
      </w:r>
      <w:r w:rsidRPr="00857CDA">
        <w:rPr>
          <w:lang w:val="ro-RO"/>
        </w:rPr>
        <w:t xml:space="preserve"> </w:t>
      </w:r>
      <w:r w:rsidR="008B288A" w:rsidRPr="00857CDA">
        <w:rPr>
          <w:lang w:val="ro-RO"/>
        </w:rPr>
        <w:t>„</w:t>
      </w:r>
      <w:r w:rsidR="0017111F" w:rsidRPr="00857CDA">
        <w:rPr>
          <w:lang w:val="ro-RO"/>
        </w:rPr>
        <w:t>Repere transparente</w:t>
      </w:r>
      <w:r w:rsidR="00660131" w:rsidRPr="00857CDA">
        <w:rPr>
          <w:lang w:val="ro-RO"/>
        </w:rPr>
        <w:t>”</w:t>
      </w:r>
      <w:r w:rsidR="00902C44" w:rsidRPr="00857CDA">
        <w:rPr>
          <w:lang w:val="ro-RO"/>
        </w:rPr>
        <w:t xml:space="preserve"> cu </w:t>
      </w:r>
      <w:r w:rsidR="008B288A" w:rsidRPr="00857CDA">
        <w:rPr>
          <w:lang w:val="ro-RO"/>
        </w:rPr>
        <w:t>„</w:t>
      </w:r>
      <w:r w:rsidR="0081333C" w:rsidRPr="00857CDA">
        <w:rPr>
          <w:lang w:val="ro-RO"/>
        </w:rPr>
        <w:t>Jojele</w:t>
      </w:r>
      <w:r w:rsidR="0017111F" w:rsidRPr="00857CDA">
        <w:rPr>
          <w:lang w:val="ro-RO"/>
        </w:rPr>
        <w:t xml:space="preserve"> de nivel di</w:t>
      </w:r>
      <w:r w:rsidRPr="00857CDA">
        <w:rPr>
          <w:lang w:val="ro-RO"/>
        </w:rPr>
        <w:t xml:space="preserve">n </w:t>
      </w:r>
      <w:r w:rsidR="0017111F" w:rsidRPr="00857CDA">
        <w:rPr>
          <w:lang w:val="ro-RO"/>
        </w:rPr>
        <w:t>sticlă sau din alte materiale transparente adecvate</w:t>
      </w:r>
      <w:r w:rsidR="00660131" w:rsidRPr="00857CDA">
        <w:rPr>
          <w:lang w:val="ro-RO"/>
        </w:rPr>
        <w:t>”</w:t>
      </w:r>
      <w:r w:rsidRPr="00857CDA">
        <w:rPr>
          <w:lang w:val="ro-RO"/>
        </w:rPr>
        <w:t>.</w:t>
      </w:r>
    </w:p>
    <w:p w:rsidR="00196C06" w:rsidRPr="00857CDA" w:rsidRDefault="00196C06" w:rsidP="00196C06">
      <w:pPr>
        <w:pStyle w:val="H1G"/>
        <w:rPr>
          <w:lang w:val="ro-RO"/>
        </w:rPr>
      </w:pPr>
      <w:r w:rsidRPr="00857CDA">
        <w:rPr>
          <w:lang w:val="ro-RO"/>
        </w:rPr>
        <w:lastRenderedPageBreak/>
        <w:tab/>
      </w:r>
      <w:r w:rsidRPr="00857CDA">
        <w:rPr>
          <w:lang w:val="ro-RO"/>
        </w:rPr>
        <w:tab/>
      </w:r>
      <w:r w:rsidR="00902C44" w:rsidRPr="00857CDA">
        <w:rPr>
          <w:lang w:val="ro-RO"/>
        </w:rPr>
        <w:t>Capitolul</w:t>
      </w:r>
      <w:r w:rsidRPr="00857CDA">
        <w:rPr>
          <w:lang w:val="ro-RO"/>
        </w:rPr>
        <w:t xml:space="preserve"> 7.1</w:t>
      </w:r>
    </w:p>
    <w:p w:rsidR="007534B4" w:rsidRPr="00857CDA" w:rsidRDefault="002B679C" w:rsidP="00196C06">
      <w:pPr>
        <w:spacing w:before="120" w:after="120" w:line="240" w:lineRule="auto"/>
        <w:ind w:left="1134" w:right="1134"/>
        <w:jc w:val="both"/>
        <w:rPr>
          <w:lang w:val="ro-RO"/>
        </w:rPr>
      </w:pPr>
      <w:r w:rsidRPr="00857CDA">
        <w:rPr>
          <w:lang w:val="ro-RO"/>
        </w:rPr>
        <w:t>Se modifică</w:t>
      </w:r>
      <w:r w:rsidR="007534B4" w:rsidRPr="00857CDA">
        <w:rPr>
          <w:lang w:val="ro-RO"/>
        </w:rPr>
        <w:t xml:space="preserve"> tit</w:t>
      </w:r>
      <w:r w:rsidR="0081333C" w:rsidRPr="00857CDA">
        <w:rPr>
          <w:lang w:val="ro-RO"/>
        </w:rPr>
        <w:t>lul</w:t>
      </w:r>
      <w:r w:rsidR="007534B4" w:rsidRPr="00857CDA">
        <w:rPr>
          <w:lang w:val="ro-RO"/>
        </w:rPr>
        <w:t xml:space="preserve"> </w:t>
      </w:r>
      <w:r w:rsidR="0081333C" w:rsidRPr="00857CDA">
        <w:rPr>
          <w:lang w:val="ro-RO"/>
        </w:rPr>
        <w:t>c</w:t>
      </w:r>
      <w:r w:rsidR="00902C44" w:rsidRPr="00857CDA">
        <w:rPr>
          <w:lang w:val="ro-RO"/>
        </w:rPr>
        <w:t>apitolul</w:t>
      </w:r>
      <w:r w:rsidR="0081333C" w:rsidRPr="00857CDA">
        <w:rPr>
          <w:lang w:val="ro-RO"/>
        </w:rPr>
        <w:t>ui, după cum urmează:</w:t>
      </w:r>
      <w:r w:rsidR="007534B4" w:rsidRPr="00857CDA">
        <w:rPr>
          <w:lang w:val="ro-RO"/>
        </w:rPr>
        <w:t xml:space="preserve"> </w:t>
      </w:r>
      <w:r w:rsidR="008B288A" w:rsidRPr="00857CDA">
        <w:rPr>
          <w:lang w:val="ro-RO"/>
        </w:rPr>
        <w:t>„</w:t>
      </w:r>
      <w:r w:rsidR="007534B4" w:rsidRPr="00857CDA">
        <w:rPr>
          <w:b/>
          <w:lang w:val="ro-RO"/>
        </w:rPr>
        <w:t>DISPO</w:t>
      </w:r>
      <w:r w:rsidR="0081333C" w:rsidRPr="00857CDA">
        <w:rPr>
          <w:b/>
          <w:lang w:val="ro-RO"/>
        </w:rPr>
        <w:t>Z</w:t>
      </w:r>
      <w:r w:rsidR="007534B4" w:rsidRPr="00857CDA">
        <w:rPr>
          <w:b/>
          <w:lang w:val="ro-RO"/>
        </w:rPr>
        <w:t>I</w:t>
      </w:r>
      <w:r w:rsidR="0081333C" w:rsidRPr="00857CDA">
        <w:rPr>
          <w:b/>
          <w:lang w:val="ro-RO"/>
        </w:rPr>
        <w:t>ȚII</w:t>
      </w:r>
      <w:r w:rsidR="007534B4" w:rsidRPr="00857CDA">
        <w:rPr>
          <w:b/>
          <w:lang w:val="ro-RO"/>
        </w:rPr>
        <w:t xml:space="preserve"> GENERALE</w:t>
      </w:r>
      <w:r w:rsidR="004C27AD" w:rsidRPr="00857CDA">
        <w:rPr>
          <w:b/>
          <w:lang w:val="ro-RO"/>
        </w:rPr>
        <w:t xml:space="preserve"> </w:t>
      </w:r>
      <w:r w:rsidR="0081333C" w:rsidRPr="00857CDA">
        <w:rPr>
          <w:b/>
          <w:lang w:val="ro-RO"/>
        </w:rPr>
        <w:t>ȘI</w:t>
      </w:r>
      <w:r w:rsidR="004C27AD" w:rsidRPr="00857CDA">
        <w:rPr>
          <w:b/>
          <w:lang w:val="ro-RO"/>
        </w:rPr>
        <w:t xml:space="preserve"> </w:t>
      </w:r>
      <w:r w:rsidR="007534B4" w:rsidRPr="00857CDA">
        <w:rPr>
          <w:b/>
          <w:lang w:val="ro-RO"/>
        </w:rPr>
        <w:t>DISPO</w:t>
      </w:r>
      <w:r w:rsidR="0081333C" w:rsidRPr="00857CDA">
        <w:rPr>
          <w:b/>
          <w:lang w:val="ro-RO"/>
        </w:rPr>
        <w:t>Z</w:t>
      </w:r>
      <w:r w:rsidR="007534B4" w:rsidRPr="00857CDA">
        <w:rPr>
          <w:b/>
          <w:lang w:val="ro-RO"/>
        </w:rPr>
        <w:t>I</w:t>
      </w:r>
      <w:r w:rsidR="0081333C" w:rsidRPr="00857CDA">
        <w:rPr>
          <w:b/>
          <w:lang w:val="ro-RO"/>
        </w:rPr>
        <w:t>ȚII</w:t>
      </w:r>
      <w:r w:rsidR="007534B4" w:rsidRPr="00857CDA">
        <w:rPr>
          <w:b/>
          <w:lang w:val="ro-RO"/>
        </w:rPr>
        <w:t xml:space="preserve"> </w:t>
      </w:r>
      <w:r w:rsidR="0081173C" w:rsidRPr="00857CDA">
        <w:rPr>
          <w:b/>
          <w:lang w:val="ro-RO"/>
        </w:rPr>
        <w:t xml:space="preserve">SPECIALE </w:t>
      </w:r>
      <w:r w:rsidR="007534B4" w:rsidRPr="00857CDA">
        <w:rPr>
          <w:b/>
          <w:lang w:val="ro-RO"/>
        </w:rPr>
        <w:t>RE</w:t>
      </w:r>
      <w:r w:rsidR="0081333C" w:rsidRPr="00857CDA">
        <w:rPr>
          <w:b/>
          <w:lang w:val="ro-RO"/>
        </w:rPr>
        <w:t>FERITOARE LA</w:t>
      </w:r>
      <w:r w:rsidR="007534B4" w:rsidRPr="00857CDA">
        <w:rPr>
          <w:b/>
          <w:lang w:val="ro-RO"/>
        </w:rPr>
        <w:t xml:space="preserve"> REGLA</w:t>
      </w:r>
      <w:r w:rsidR="0081333C" w:rsidRPr="00857CDA">
        <w:rPr>
          <w:b/>
          <w:lang w:val="ro-RO"/>
        </w:rPr>
        <w:t>REA</w:t>
      </w:r>
      <w:r w:rsidR="007534B4" w:rsidRPr="00857CDA">
        <w:rPr>
          <w:b/>
          <w:lang w:val="ro-RO"/>
        </w:rPr>
        <w:t xml:space="preserve"> TEMPERATUR</w:t>
      </w:r>
      <w:r w:rsidR="0081333C" w:rsidRPr="00857CDA">
        <w:rPr>
          <w:b/>
          <w:lang w:val="ro-RO"/>
        </w:rPr>
        <w:t>II</w:t>
      </w:r>
      <w:r w:rsidR="00660131" w:rsidRPr="00857CDA">
        <w:rPr>
          <w:lang w:val="ro-RO"/>
        </w:rPr>
        <w:t>”</w:t>
      </w:r>
      <w:r w:rsidR="007534B4" w:rsidRPr="00857CDA">
        <w:rPr>
          <w:lang w:val="ro-RO"/>
        </w:rPr>
        <w:t>.</w:t>
      </w:r>
    </w:p>
    <w:p w:rsidR="007534B4" w:rsidRPr="00857CDA" w:rsidRDefault="00902C44" w:rsidP="007534B4">
      <w:pPr>
        <w:spacing w:before="120" w:after="120" w:line="240" w:lineRule="auto"/>
        <w:ind w:left="1134" w:right="1134"/>
        <w:jc w:val="both"/>
        <w:rPr>
          <w:lang w:val="ro-RO"/>
        </w:rPr>
      </w:pPr>
      <w:r w:rsidRPr="00857CDA">
        <w:rPr>
          <w:lang w:val="ro-RO"/>
        </w:rPr>
        <w:t>Se adaugă</w:t>
      </w:r>
      <w:r w:rsidR="007534B4" w:rsidRPr="00857CDA">
        <w:rPr>
          <w:lang w:val="ro-RO"/>
        </w:rPr>
        <w:t xml:space="preserve"> </w:t>
      </w:r>
      <w:r w:rsidR="00E958CD" w:rsidRPr="00857CDA">
        <w:rPr>
          <w:lang w:val="ro-RO"/>
        </w:rPr>
        <w:t>noua secțiune</w:t>
      </w:r>
      <w:r w:rsidR="007534B4" w:rsidRPr="00857CDA">
        <w:rPr>
          <w:lang w:val="ro-RO"/>
        </w:rPr>
        <w:t xml:space="preserve"> 7.1.7</w:t>
      </w:r>
      <w:r w:rsidR="00E958CD" w:rsidRPr="00857CDA">
        <w:rPr>
          <w:lang w:val="ro-RO"/>
        </w:rPr>
        <w:t>, după cum urmează</w:t>
      </w:r>
      <w:r w:rsidR="00091658" w:rsidRPr="00857CDA">
        <w:rPr>
          <w:lang w:val="ro-RO"/>
        </w:rPr>
        <w:t>:</w:t>
      </w:r>
    </w:p>
    <w:p w:rsidR="00A5193B" w:rsidRPr="00857CDA" w:rsidRDefault="008B288A" w:rsidP="001E0D22">
      <w:pPr>
        <w:pStyle w:val="SingleTxtG"/>
        <w:tabs>
          <w:tab w:val="left" w:pos="2268"/>
        </w:tabs>
        <w:rPr>
          <w:b/>
          <w:lang w:val="ro-RO"/>
        </w:rPr>
      </w:pPr>
      <w:r w:rsidRPr="00857CDA">
        <w:rPr>
          <w:lang w:val="ro-RO"/>
        </w:rPr>
        <w:t>„</w:t>
      </w:r>
      <w:r w:rsidR="007534B4" w:rsidRPr="00857CDA">
        <w:rPr>
          <w:b/>
          <w:lang w:val="ro-RO"/>
        </w:rPr>
        <w:t>7.1.7</w:t>
      </w:r>
      <w:r w:rsidR="00A5193B" w:rsidRPr="00857CDA">
        <w:rPr>
          <w:b/>
          <w:lang w:val="ro-RO"/>
        </w:rPr>
        <w:tab/>
        <w:t>Dispo</w:t>
      </w:r>
      <w:r w:rsidR="00E958CD" w:rsidRPr="00857CDA">
        <w:rPr>
          <w:b/>
          <w:lang w:val="ro-RO"/>
        </w:rPr>
        <w:t>ziții speciale aplicabile la</w:t>
      </w:r>
      <w:r w:rsidR="00A5193B" w:rsidRPr="00857CDA">
        <w:rPr>
          <w:b/>
          <w:lang w:val="ro-RO"/>
        </w:rPr>
        <w:t xml:space="preserve"> transport</w:t>
      </w:r>
      <w:r w:rsidR="00E958CD" w:rsidRPr="00857CDA">
        <w:rPr>
          <w:b/>
          <w:lang w:val="ro-RO"/>
        </w:rPr>
        <w:t>ul</w:t>
      </w:r>
      <w:r w:rsidR="00A5193B" w:rsidRPr="00857CDA">
        <w:rPr>
          <w:b/>
          <w:lang w:val="ro-RO"/>
        </w:rPr>
        <w:t xml:space="preserve"> </w:t>
      </w:r>
      <w:r w:rsidR="00E958CD" w:rsidRPr="00857CDA">
        <w:rPr>
          <w:b/>
          <w:lang w:val="ro-RO"/>
        </w:rPr>
        <w:t>substanțelor autoreactive</w:t>
      </w:r>
      <w:r w:rsidR="00A5193B" w:rsidRPr="00857CDA">
        <w:rPr>
          <w:b/>
          <w:lang w:val="ro-RO"/>
        </w:rPr>
        <w:t xml:space="preserve"> d</w:t>
      </w:r>
      <w:r w:rsidR="00E958CD" w:rsidRPr="00857CDA">
        <w:rPr>
          <w:b/>
          <w:lang w:val="ro-RO"/>
        </w:rPr>
        <w:t>in clasa</w:t>
      </w:r>
      <w:r w:rsidR="007534B4" w:rsidRPr="00857CDA">
        <w:rPr>
          <w:b/>
          <w:lang w:val="ro-RO"/>
        </w:rPr>
        <w:t xml:space="preserve"> </w:t>
      </w:r>
      <w:r w:rsidR="00A5193B" w:rsidRPr="00857CDA">
        <w:rPr>
          <w:b/>
          <w:lang w:val="ro-RO"/>
        </w:rPr>
        <w:t>4.1, perox</w:t>
      </w:r>
      <w:r w:rsidR="00E958CD" w:rsidRPr="00857CDA">
        <w:rPr>
          <w:b/>
          <w:lang w:val="ro-RO"/>
        </w:rPr>
        <w:t>izilor</w:t>
      </w:r>
      <w:r w:rsidR="00A5193B" w:rsidRPr="00857CDA">
        <w:rPr>
          <w:b/>
          <w:lang w:val="ro-RO"/>
        </w:rPr>
        <w:t xml:space="preserve"> organi</w:t>
      </w:r>
      <w:r w:rsidR="00E958CD" w:rsidRPr="00857CDA">
        <w:rPr>
          <w:b/>
          <w:lang w:val="ro-RO"/>
        </w:rPr>
        <w:t>ci din</w:t>
      </w:r>
      <w:r w:rsidR="00A5193B" w:rsidRPr="00857CDA">
        <w:rPr>
          <w:b/>
          <w:lang w:val="ro-RO"/>
        </w:rPr>
        <w:t xml:space="preserve"> </w:t>
      </w:r>
      <w:r w:rsidR="002B679C" w:rsidRPr="00857CDA">
        <w:rPr>
          <w:b/>
          <w:lang w:val="ro-RO"/>
        </w:rPr>
        <w:t>clasa</w:t>
      </w:r>
      <w:r w:rsidR="007534B4" w:rsidRPr="00857CDA">
        <w:rPr>
          <w:b/>
          <w:lang w:val="ro-RO"/>
        </w:rPr>
        <w:t xml:space="preserve"> </w:t>
      </w:r>
      <w:r w:rsidR="00A5193B" w:rsidRPr="00857CDA">
        <w:rPr>
          <w:b/>
          <w:lang w:val="ro-RO"/>
        </w:rPr>
        <w:t>5.2</w:t>
      </w:r>
      <w:r w:rsidR="004C27AD" w:rsidRPr="00857CDA">
        <w:rPr>
          <w:b/>
          <w:lang w:val="ro-RO"/>
        </w:rPr>
        <w:t xml:space="preserve"> și </w:t>
      </w:r>
      <w:r w:rsidR="00E958CD" w:rsidRPr="00857CDA">
        <w:rPr>
          <w:b/>
          <w:lang w:val="ro-RO"/>
        </w:rPr>
        <w:t>substanțelor stabilizate cu reglarea temperaturii</w:t>
      </w:r>
      <w:r w:rsidR="00A5193B" w:rsidRPr="00857CDA">
        <w:rPr>
          <w:b/>
          <w:lang w:val="ro-RO"/>
        </w:rPr>
        <w:t xml:space="preserve"> (</w:t>
      </w:r>
      <w:r w:rsidR="00E958CD" w:rsidRPr="00857CDA">
        <w:rPr>
          <w:b/>
          <w:lang w:val="ro-RO"/>
        </w:rPr>
        <w:t>altele decât substanțele autoreactive sa</w:t>
      </w:r>
      <w:r w:rsidR="00A5193B" w:rsidRPr="00857CDA">
        <w:rPr>
          <w:b/>
          <w:lang w:val="ro-RO"/>
        </w:rPr>
        <w:t>u perox</w:t>
      </w:r>
      <w:r w:rsidR="00E958CD" w:rsidRPr="00857CDA">
        <w:rPr>
          <w:b/>
          <w:lang w:val="ro-RO"/>
        </w:rPr>
        <w:t>izii</w:t>
      </w:r>
      <w:r w:rsidR="00A5193B" w:rsidRPr="00857CDA">
        <w:rPr>
          <w:b/>
          <w:lang w:val="ro-RO"/>
        </w:rPr>
        <w:t xml:space="preserve"> organi</w:t>
      </w:r>
      <w:r w:rsidR="00E958CD" w:rsidRPr="00857CDA">
        <w:rPr>
          <w:b/>
          <w:lang w:val="ro-RO"/>
        </w:rPr>
        <w:t>ci</w:t>
      </w:r>
      <w:r w:rsidR="00A5193B" w:rsidRPr="00857CDA">
        <w:rPr>
          <w:b/>
          <w:lang w:val="ro-RO"/>
        </w:rPr>
        <w:t>)</w:t>
      </w:r>
    </w:p>
    <w:p w:rsidR="00A5193B" w:rsidRPr="00857CDA" w:rsidRDefault="007534B4" w:rsidP="002C38DE">
      <w:pPr>
        <w:pStyle w:val="SingleTxtG"/>
        <w:rPr>
          <w:lang w:val="ro-RO"/>
        </w:rPr>
      </w:pPr>
      <w:r w:rsidRPr="00857CDA">
        <w:rPr>
          <w:lang w:val="ro-RO"/>
        </w:rPr>
        <w:t>7.1.7.1</w:t>
      </w:r>
      <w:r w:rsidR="00A5193B" w:rsidRPr="00857CDA">
        <w:rPr>
          <w:lang w:val="ro-RO"/>
        </w:rPr>
        <w:tab/>
      </w:r>
      <w:r w:rsidR="003567B8" w:rsidRPr="00857CDA">
        <w:rPr>
          <w:lang w:val="ro-RO"/>
        </w:rPr>
        <w:tab/>
      </w:r>
      <w:r w:rsidR="002C38DE" w:rsidRPr="00857CDA">
        <w:rPr>
          <w:lang w:val="ro-RO"/>
        </w:rPr>
        <w:t>Substanțele autoreactive, peroxizii organici și substanțele care polimerizează trebuie păstrate la umbră, ținute departe de sursele de căldură și plasate în zone bine ventilate</w:t>
      </w:r>
      <w:r w:rsidR="00A5193B" w:rsidRPr="00857CDA">
        <w:rPr>
          <w:lang w:val="ro-RO"/>
        </w:rPr>
        <w:t>.</w:t>
      </w:r>
    </w:p>
    <w:p w:rsidR="002A4B9C" w:rsidRPr="00857CDA" w:rsidRDefault="007534B4" w:rsidP="002C38DE">
      <w:pPr>
        <w:pStyle w:val="SingleTxtG"/>
        <w:rPr>
          <w:lang w:val="ro-RO"/>
        </w:rPr>
      </w:pPr>
      <w:r w:rsidRPr="00857CDA">
        <w:rPr>
          <w:lang w:val="ro-RO"/>
        </w:rPr>
        <w:t>7.1.7.2</w:t>
      </w:r>
      <w:r w:rsidR="002A4B9C" w:rsidRPr="00857CDA">
        <w:rPr>
          <w:lang w:val="ro-RO"/>
        </w:rPr>
        <w:tab/>
      </w:r>
      <w:r w:rsidR="003567B8" w:rsidRPr="00857CDA">
        <w:rPr>
          <w:lang w:val="ro-RO"/>
        </w:rPr>
        <w:tab/>
      </w:r>
      <w:r w:rsidR="002C38DE" w:rsidRPr="00857CDA">
        <w:rPr>
          <w:lang w:val="ro-RO"/>
        </w:rPr>
        <w:t>În cazul în care sunt mai multe colete grupate într-un container închis sau vehicul sau unitate de încărcare, cantitatea totală de substanță, tipul și numărul de colete și felul în care sunt stivuite (arimate) nu trebuie să creeze un pericol de explozie</w:t>
      </w:r>
      <w:r w:rsidR="002A4B9C" w:rsidRPr="00857CDA">
        <w:rPr>
          <w:lang w:val="ro-RO"/>
        </w:rPr>
        <w:t>.</w:t>
      </w:r>
    </w:p>
    <w:p w:rsidR="00A5193B" w:rsidRPr="00857CDA" w:rsidRDefault="007534B4" w:rsidP="002A4B9C">
      <w:pPr>
        <w:pStyle w:val="SingleTxtG"/>
        <w:rPr>
          <w:b/>
          <w:lang w:val="ro-RO"/>
        </w:rPr>
      </w:pPr>
      <w:r w:rsidRPr="00857CDA">
        <w:rPr>
          <w:b/>
          <w:lang w:val="ro-RO"/>
        </w:rPr>
        <w:t>7.1.7.3</w:t>
      </w:r>
      <w:r w:rsidR="00A5193B" w:rsidRPr="00857CDA">
        <w:rPr>
          <w:b/>
          <w:lang w:val="ro-RO"/>
        </w:rPr>
        <w:tab/>
      </w:r>
      <w:r w:rsidR="003567B8" w:rsidRPr="00857CDA">
        <w:rPr>
          <w:b/>
          <w:lang w:val="ro-RO"/>
        </w:rPr>
        <w:tab/>
      </w:r>
      <w:r w:rsidR="00A5193B" w:rsidRPr="00857CDA">
        <w:rPr>
          <w:b/>
          <w:i/>
          <w:iCs/>
          <w:lang w:val="ro-RO"/>
        </w:rPr>
        <w:t>Dispo</w:t>
      </w:r>
      <w:r w:rsidR="002C38DE" w:rsidRPr="00857CDA">
        <w:rPr>
          <w:b/>
          <w:i/>
          <w:iCs/>
          <w:lang w:val="ro-RO"/>
        </w:rPr>
        <w:t>ziții</w:t>
      </w:r>
      <w:r w:rsidR="00A5193B" w:rsidRPr="00857CDA">
        <w:rPr>
          <w:b/>
          <w:i/>
          <w:iCs/>
          <w:lang w:val="ro-RO"/>
        </w:rPr>
        <w:t xml:space="preserve"> re</w:t>
      </w:r>
      <w:r w:rsidR="002C38DE" w:rsidRPr="00857CDA">
        <w:rPr>
          <w:b/>
          <w:i/>
          <w:iCs/>
          <w:lang w:val="ro-RO"/>
        </w:rPr>
        <w:t xml:space="preserve">feritoare la </w:t>
      </w:r>
      <w:r w:rsidR="00A5193B" w:rsidRPr="00857CDA">
        <w:rPr>
          <w:b/>
          <w:i/>
          <w:iCs/>
          <w:lang w:val="ro-RO"/>
        </w:rPr>
        <w:t>r</w:t>
      </w:r>
      <w:r w:rsidR="002C38DE" w:rsidRPr="00857CDA">
        <w:rPr>
          <w:b/>
          <w:i/>
          <w:iCs/>
          <w:lang w:val="ro-RO"/>
        </w:rPr>
        <w:t>e</w:t>
      </w:r>
      <w:r w:rsidR="00A5193B" w:rsidRPr="00857CDA">
        <w:rPr>
          <w:b/>
          <w:i/>
          <w:iCs/>
          <w:lang w:val="ro-RO"/>
        </w:rPr>
        <w:t>gla</w:t>
      </w:r>
      <w:r w:rsidR="002C38DE" w:rsidRPr="00857CDA">
        <w:rPr>
          <w:b/>
          <w:i/>
          <w:iCs/>
          <w:lang w:val="ro-RO"/>
        </w:rPr>
        <w:t>rea</w:t>
      </w:r>
      <w:r w:rsidR="00A5193B" w:rsidRPr="00857CDA">
        <w:rPr>
          <w:b/>
          <w:i/>
          <w:iCs/>
          <w:lang w:val="ro-RO"/>
        </w:rPr>
        <w:t xml:space="preserve"> temp</w:t>
      </w:r>
      <w:r w:rsidR="002C38DE" w:rsidRPr="00857CDA">
        <w:rPr>
          <w:b/>
          <w:i/>
          <w:iCs/>
          <w:lang w:val="ro-RO"/>
        </w:rPr>
        <w:t>e</w:t>
      </w:r>
      <w:r w:rsidR="00A5193B" w:rsidRPr="00857CDA">
        <w:rPr>
          <w:b/>
          <w:i/>
          <w:iCs/>
          <w:lang w:val="ro-RO"/>
        </w:rPr>
        <w:t>ratur</w:t>
      </w:r>
      <w:r w:rsidR="002C38DE" w:rsidRPr="00857CDA">
        <w:rPr>
          <w:b/>
          <w:i/>
          <w:iCs/>
          <w:lang w:val="ro-RO"/>
        </w:rPr>
        <w:t>ii</w:t>
      </w:r>
    </w:p>
    <w:p w:rsidR="006C6174" w:rsidRPr="00857CDA" w:rsidRDefault="007534B4" w:rsidP="00D111D2">
      <w:pPr>
        <w:pStyle w:val="SingleTxtG"/>
        <w:rPr>
          <w:lang w:val="ro-RO"/>
        </w:rPr>
      </w:pPr>
      <w:r w:rsidRPr="00857CDA">
        <w:rPr>
          <w:lang w:val="ro-RO"/>
        </w:rPr>
        <w:t>7.1.7.3.1</w:t>
      </w:r>
      <w:r w:rsidR="00A5193B" w:rsidRPr="00857CDA">
        <w:rPr>
          <w:lang w:val="ro-RO"/>
        </w:rPr>
        <w:tab/>
      </w:r>
      <w:r w:rsidR="006C6174" w:rsidRPr="00857CDA">
        <w:rPr>
          <w:lang w:val="ro-RO"/>
        </w:rPr>
        <w:t>Aceste prevederi se aplică anumitor substanțe</w:t>
      </w:r>
      <w:r w:rsidR="00D34CD9" w:rsidRPr="00857CDA">
        <w:rPr>
          <w:lang w:val="ro-RO"/>
        </w:rPr>
        <w:t xml:space="preserve"> autoreactive</w:t>
      </w:r>
      <w:r w:rsidR="006C6174" w:rsidRPr="00857CDA">
        <w:rPr>
          <w:lang w:val="ro-RO"/>
        </w:rPr>
        <w:t>, anumitor peroxizi organici și anumitor substanțe care polimerizează</w:t>
      </w:r>
      <w:r w:rsidR="00643E67" w:rsidRPr="00857CDA">
        <w:rPr>
          <w:lang w:val="ro-RO"/>
        </w:rPr>
        <w:t xml:space="preserve">, </w:t>
      </w:r>
      <w:r w:rsidR="006C6174" w:rsidRPr="00857CDA">
        <w:rPr>
          <w:lang w:val="ro-RO"/>
        </w:rPr>
        <w:t xml:space="preserve">numai dacă transportul acestor substanțe este supus </w:t>
      </w:r>
      <w:r w:rsidR="00643E67" w:rsidRPr="00857CDA">
        <w:rPr>
          <w:lang w:val="ro-RO"/>
        </w:rPr>
        <w:t>reglării</w:t>
      </w:r>
      <w:r w:rsidR="00D34CD9" w:rsidRPr="00857CDA">
        <w:rPr>
          <w:lang w:val="ro-RO"/>
        </w:rPr>
        <w:t xml:space="preserve"> </w:t>
      </w:r>
      <w:r w:rsidR="006C6174" w:rsidRPr="00857CDA">
        <w:rPr>
          <w:lang w:val="ro-RO"/>
        </w:rPr>
        <w:t>temperaturii</w:t>
      </w:r>
      <w:r w:rsidR="00D34CD9" w:rsidRPr="00857CDA">
        <w:rPr>
          <w:lang w:val="ro-RO"/>
        </w:rPr>
        <w:t xml:space="preserve"> în conformitate cu 2.2.41.1.17, 2.2.52.1.15, 2.2.41.1.21 sau dispoziția specială 386 din Capitolul 3.3, după caz</w:t>
      </w:r>
      <w:r w:rsidR="006C6174" w:rsidRPr="00857CDA">
        <w:rPr>
          <w:lang w:val="ro-RO"/>
        </w:rPr>
        <w:t>.</w:t>
      </w:r>
    </w:p>
    <w:p w:rsidR="00A5193B" w:rsidRPr="00857CDA" w:rsidRDefault="007534B4" w:rsidP="002A4B9C">
      <w:pPr>
        <w:pStyle w:val="SingleTxtG"/>
        <w:rPr>
          <w:lang w:val="ro-RO"/>
        </w:rPr>
      </w:pPr>
      <w:r w:rsidRPr="00857CDA">
        <w:rPr>
          <w:lang w:val="ro-RO"/>
        </w:rPr>
        <w:t>7.1.7.3.2</w:t>
      </w:r>
      <w:r w:rsidR="00A5193B" w:rsidRPr="00857CDA">
        <w:rPr>
          <w:lang w:val="ro-RO"/>
        </w:rPr>
        <w:tab/>
      </w:r>
      <w:r w:rsidR="00D34CD9" w:rsidRPr="00857CDA">
        <w:rPr>
          <w:lang w:val="ro-RO"/>
        </w:rPr>
        <w:t xml:space="preserve">Aceste dispoziții se </w:t>
      </w:r>
      <w:r w:rsidR="00A5193B" w:rsidRPr="00857CDA">
        <w:rPr>
          <w:lang w:val="ro-RO"/>
        </w:rPr>
        <w:t>apli</w:t>
      </w:r>
      <w:r w:rsidR="00D34CD9" w:rsidRPr="00857CDA">
        <w:rPr>
          <w:lang w:val="ro-RO"/>
        </w:rPr>
        <w:t>că, de asemenea, la</w:t>
      </w:r>
      <w:r w:rsidR="00A5193B" w:rsidRPr="00857CDA">
        <w:rPr>
          <w:lang w:val="ro-RO"/>
        </w:rPr>
        <w:t xml:space="preserve"> transport</w:t>
      </w:r>
      <w:r w:rsidR="00D34CD9" w:rsidRPr="00857CDA">
        <w:rPr>
          <w:lang w:val="ro-RO"/>
        </w:rPr>
        <w:t>ul de substanțe</w:t>
      </w:r>
      <w:r w:rsidR="00A5193B" w:rsidRPr="00857CDA">
        <w:rPr>
          <w:lang w:val="ro-RO"/>
        </w:rPr>
        <w:t>:</w:t>
      </w:r>
    </w:p>
    <w:p w:rsidR="00D34CD9" w:rsidRPr="00857CDA" w:rsidRDefault="00D34CD9" w:rsidP="00D34CD9">
      <w:pPr>
        <w:pStyle w:val="SingleTxtG"/>
        <w:ind w:left="2268"/>
        <w:rPr>
          <w:lang w:val="ro-RO"/>
        </w:rPr>
      </w:pPr>
      <w:r w:rsidRPr="00857CDA">
        <w:rPr>
          <w:lang w:val="ro-RO"/>
        </w:rPr>
        <w:t>(</w:t>
      </w:r>
      <w:r w:rsidR="00A5193B" w:rsidRPr="00857CDA">
        <w:rPr>
          <w:lang w:val="ro-RO"/>
        </w:rPr>
        <w:t>a)</w:t>
      </w:r>
      <w:r w:rsidR="00A5193B" w:rsidRPr="00857CDA">
        <w:rPr>
          <w:lang w:val="ro-RO"/>
        </w:rPr>
        <w:tab/>
      </w:r>
      <w:r w:rsidRPr="00857CDA">
        <w:rPr>
          <w:lang w:val="ro-RO"/>
        </w:rPr>
        <w:t>a căror denumire oficială de transport, dup cum figurează în coloana (2) a tabelului A din capitolul 3.2 sau conform 3.1.2.6, conține mențiunea "STABILIZAT"; și</w:t>
      </w:r>
    </w:p>
    <w:p w:rsidR="00D34CD9" w:rsidRPr="00857CDA" w:rsidRDefault="00D34CD9" w:rsidP="00D34CD9">
      <w:pPr>
        <w:pStyle w:val="SingleTxtG"/>
        <w:ind w:left="2268"/>
        <w:rPr>
          <w:lang w:val="ro-RO"/>
        </w:rPr>
      </w:pPr>
      <w:r w:rsidRPr="00857CDA">
        <w:rPr>
          <w:lang w:val="ro-RO"/>
        </w:rPr>
        <w:t>(b) a căror TDAA sau TPAA determinate pentru aceste substanțe, așa cum se prezintă pentru transport (cu sau fără stabilizare chimică) sunt:</w:t>
      </w:r>
    </w:p>
    <w:p w:rsidR="00D34CD9" w:rsidRPr="00857CDA" w:rsidRDefault="00D34CD9" w:rsidP="00D34CD9">
      <w:pPr>
        <w:pStyle w:val="SingleTxtG"/>
        <w:ind w:left="2268" w:firstLine="567"/>
        <w:rPr>
          <w:lang w:val="ro-RO"/>
        </w:rPr>
      </w:pPr>
      <w:r w:rsidRPr="00857CDA">
        <w:rPr>
          <w:lang w:val="ro-RO"/>
        </w:rPr>
        <w:t>(i) nu mai mare de 50 °C pentru ambalajele simple și RMV; sau</w:t>
      </w:r>
    </w:p>
    <w:p w:rsidR="00D34CD9" w:rsidRPr="00857CDA" w:rsidRDefault="00D34CD9" w:rsidP="00D34CD9">
      <w:pPr>
        <w:pStyle w:val="SingleTxtG"/>
        <w:ind w:left="2268" w:firstLine="567"/>
        <w:rPr>
          <w:lang w:val="ro-RO"/>
        </w:rPr>
      </w:pPr>
      <w:r w:rsidRPr="00857CDA">
        <w:rPr>
          <w:lang w:val="ro-RO"/>
        </w:rPr>
        <w:t>(ii) nu mai mare de 45 °C pentru cisterne.</w:t>
      </w:r>
    </w:p>
    <w:p w:rsidR="00D34CD9" w:rsidRPr="00857CDA" w:rsidRDefault="00D34CD9" w:rsidP="00A5193B">
      <w:pPr>
        <w:pStyle w:val="SingleTxtG"/>
        <w:spacing w:line="234" w:lineRule="atLeast"/>
        <w:rPr>
          <w:lang w:val="ro-RO"/>
        </w:rPr>
      </w:pPr>
      <w:r w:rsidRPr="00857CDA">
        <w:rPr>
          <w:lang w:val="ro-RO"/>
        </w:rPr>
        <w:t>Când nu este utilizat un inhibitor chimic pentru stabilizarea un</w:t>
      </w:r>
      <w:r w:rsidR="001B5176" w:rsidRPr="00857CDA">
        <w:rPr>
          <w:lang w:val="ro-RO"/>
        </w:rPr>
        <w:t>ei substanțe</w:t>
      </w:r>
      <w:r w:rsidRPr="00857CDA">
        <w:rPr>
          <w:lang w:val="ro-RO"/>
        </w:rPr>
        <w:t xml:space="preserve"> reactiv</w:t>
      </w:r>
      <w:r w:rsidR="001B5176" w:rsidRPr="00857CDA">
        <w:rPr>
          <w:lang w:val="ro-RO"/>
        </w:rPr>
        <w:t>e</w:t>
      </w:r>
      <w:r w:rsidRPr="00857CDA">
        <w:rPr>
          <w:lang w:val="ro-RO"/>
        </w:rPr>
        <w:t xml:space="preserve"> capabil</w:t>
      </w:r>
      <w:r w:rsidR="001B5176" w:rsidRPr="00857CDA">
        <w:rPr>
          <w:lang w:val="ro-RO"/>
        </w:rPr>
        <w:t>e</w:t>
      </w:r>
      <w:r w:rsidRPr="00857CDA">
        <w:rPr>
          <w:lang w:val="ro-RO"/>
        </w:rPr>
        <w:t xml:space="preserve"> să genereze cantități</w:t>
      </w:r>
      <w:r w:rsidR="001B5176" w:rsidRPr="00857CDA">
        <w:rPr>
          <w:lang w:val="ro-RO"/>
        </w:rPr>
        <w:t xml:space="preserve"> periculoase</w:t>
      </w:r>
      <w:r w:rsidRPr="00857CDA">
        <w:rPr>
          <w:lang w:val="ro-RO"/>
        </w:rPr>
        <w:t xml:space="preserve"> de căldură, gaz sau vapori în condiții normale de transport, ace</w:t>
      </w:r>
      <w:r w:rsidR="001B5176" w:rsidRPr="00857CDA">
        <w:rPr>
          <w:lang w:val="ro-RO"/>
        </w:rPr>
        <w:t>a</w:t>
      </w:r>
      <w:r w:rsidRPr="00857CDA">
        <w:rPr>
          <w:lang w:val="ro-RO"/>
        </w:rPr>
        <w:t>st</w:t>
      </w:r>
      <w:r w:rsidR="001B5176" w:rsidRPr="00857CDA">
        <w:rPr>
          <w:lang w:val="ro-RO"/>
        </w:rPr>
        <w:t>ă substanță</w:t>
      </w:r>
      <w:r w:rsidRPr="00857CDA">
        <w:rPr>
          <w:lang w:val="ro-RO"/>
        </w:rPr>
        <w:t xml:space="preserve"> trebuie transportat</w:t>
      </w:r>
      <w:r w:rsidR="001B5176" w:rsidRPr="00857CDA">
        <w:rPr>
          <w:lang w:val="ro-RO"/>
        </w:rPr>
        <w:t xml:space="preserve">ă cu reglarea </w:t>
      </w:r>
      <w:r w:rsidRPr="00857CDA">
        <w:rPr>
          <w:lang w:val="ro-RO"/>
        </w:rPr>
        <w:t>temperaturii. Aceste dispoziții nu se aplică substanțelor care sunt stabilizate prin adăugarea de inhibitori chimici, astfel încât T</w:t>
      </w:r>
      <w:r w:rsidR="001B5176" w:rsidRPr="00857CDA">
        <w:rPr>
          <w:lang w:val="ro-RO"/>
        </w:rPr>
        <w:t>DAA</w:t>
      </w:r>
      <w:r w:rsidRPr="00857CDA">
        <w:rPr>
          <w:lang w:val="ro-RO"/>
        </w:rPr>
        <w:t xml:space="preserve"> sau TPAA </w:t>
      </w:r>
      <w:r w:rsidR="001B5176" w:rsidRPr="00857CDA">
        <w:rPr>
          <w:lang w:val="ro-RO"/>
        </w:rPr>
        <w:t>este mai mare</w:t>
      </w:r>
      <w:r w:rsidRPr="00857CDA">
        <w:rPr>
          <w:lang w:val="ro-RO"/>
        </w:rPr>
        <w:t xml:space="preserve"> decât cea prevăzută la litera (b) punctele (i) și (ii) de mai sus.</w:t>
      </w:r>
    </w:p>
    <w:p w:rsidR="00A5193B" w:rsidRPr="00857CDA" w:rsidRDefault="005045B2" w:rsidP="00E004CE">
      <w:pPr>
        <w:pStyle w:val="SingleTxtG"/>
        <w:spacing w:line="234" w:lineRule="atLeast"/>
        <w:rPr>
          <w:lang w:val="ro-RO"/>
        </w:rPr>
      </w:pPr>
      <w:r w:rsidRPr="00857CDA">
        <w:rPr>
          <w:lang w:val="ro-RO"/>
        </w:rPr>
        <w:t>7.1.7.3.3</w:t>
      </w:r>
      <w:r w:rsidR="00A5193B" w:rsidRPr="00857CDA">
        <w:rPr>
          <w:lang w:val="ro-RO"/>
        </w:rPr>
        <w:tab/>
      </w:r>
      <w:r w:rsidR="00D51A98" w:rsidRPr="00857CDA">
        <w:rPr>
          <w:lang w:val="ro-RO"/>
        </w:rPr>
        <w:t xml:space="preserve">În plus, în cazul în care o substanță autoreactivă, un peroxid organic sau o substanță al cărei denumiri oficiale de transport conține mențiunea „STABILIZAT“ și pentru care reglarea temperaturii de transport nu este prescrisă în mod normal, este transportată astfel încât temperatura crește peste 55 °C, </w:t>
      </w:r>
      <w:r w:rsidR="00E004CE" w:rsidRPr="00857CDA">
        <w:rPr>
          <w:lang w:val="ro-RO"/>
        </w:rPr>
        <w:t xml:space="preserve">se impune </w:t>
      </w:r>
      <w:r w:rsidR="00D51A98" w:rsidRPr="00857CDA">
        <w:rPr>
          <w:lang w:val="ro-RO"/>
        </w:rPr>
        <w:t>reglarea temperaturii.</w:t>
      </w:r>
    </w:p>
    <w:p w:rsidR="00A10DCA" w:rsidRPr="00857CDA" w:rsidRDefault="005045B2" w:rsidP="002A4B9C">
      <w:pPr>
        <w:pStyle w:val="SingleTxtG"/>
        <w:spacing w:line="234" w:lineRule="atLeast"/>
        <w:rPr>
          <w:lang w:val="ro-RO"/>
        </w:rPr>
      </w:pPr>
      <w:r w:rsidRPr="00857CDA">
        <w:rPr>
          <w:lang w:val="ro-RO"/>
        </w:rPr>
        <w:t>7.1.7.3.4</w:t>
      </w:r>
      <w:r w:rsidR="00A5193B" w:rsidRPr="00857CDA">
        <w:rPr>
          <w:lang w:val="ro-RO"/>
        </w:rPr>
        <w:tab/>
      </w:r>
      <w:r w:rsidR="00A10DCA" w:rsidRPr="00857CDA">
        <w:rPr>
          <w:lang w:val="ro-RO"/>
        </w:rPr>
        <w:t>"Temperatura de reglare" este temperatura maximă la care o substanță poate fi transportată în condiții de siguranță. Prezentele prevederi se bazează pe ipoteza unei temperaturi care nu depășește 55 °C în imediata vecinătate a coletului în timpul transportului și când această valoare este atinsă doar pentru o perioadă relativ scurtă de timp într-un interval de 24 de ore. În caz de defectare a sistemului de reglare a temperaturii, poate fi necesar să se întreprindă măsurile de urgență. "Temperatura critică" este temperatura la care trebuie întreprinse aceste măsuri.</w:t>
      </w:r>
    </w:p>
    <w:p w:rsidR="00725BE1" w:rsidRPr="00857CDA" w:rsidRDefault="00725BE1" w:rsidP="002A4B9C">
      <w:pPr>
        <w:pStyle w:val="SingleTxtG"/>
        <w:spacing w:line="234" w:lineRule="atLeast"/>
        <w:rPr>
          <w:lang w:val="ro-RO"/>
        </w:rPr>
      </w:pPr>
    </w:p>
    <w:p w:rsidR="00E43447" w:rsidRPr="00857CDA" w:rsidRDefault="005045B2" w:rsidP="005E4486">
      <w:pPr>
        <w:pStyle w:val="SingleTxtG"/>
        <w:keepNext/>
        <w:keepLines/>
        <w:rPr>
          <w:lang w:val="ro-RO"/>
        </w:rPr>
      </w:pPr>
      <w:r w:rsidRPr="00857CDA">
        <w:rPr>
          <w:lang w:val="ro-RO"/>
        </w:rPr>
        <w:lastRenderedPageBreak/>
        <w:t>7.1.7.3.5</w:t>
      </w:r>
      <w:r w:rsidR="00A5193B" w:rsidRPr="00857CDA">
        <w:rPr>
          <w:lang w:val="ro-RO"/>
        </w:rPr>
        <w:tab/>
      </w:r>
      <w:r w:rsidR="00A5193B" w:rsidRPr="00857CDA">
        <w:rPr>
          <w:i/>
          <w:lang w:val="ro-RO"/>
        </w:rPr>
        <w:t>D</w:t>
      </w:r>
      <w:r w:rsidR="00A10DCA" w:rsidRPr="00857CDA">
        <w:rPr>
          <w:i/>
          <w:lang w:val="ro-RO"/>
        </w:rPr>
        <w:t>e</w:t>
      </w:r>
      <w:r w:rsidR="00A5193B" w:rsidRPr="00857CDA">
        <w:rPr>
          <w:i/>
          <w:lang w:val="ro-RO"/>
        </w:rPr>
        <w:t>termina</w:t>
      </w:r>
      <w:r w:rsidR="00A10DCA" w:rsidRPr="00857CDA">
        <w:rPr>
          <w:i/>
          <w:lang w:val="ro-RO"/>
        </w:rPr>
        <w:t>rea</w:t>
      </w:r>
      <w:r w:rsidR="00A5193B" w:rsidRPr="00857CDA">
        <w:rPr>
          <w:i/>
          <w:lang w:val="ro-RO"/>
        </w:rPr>
        <w:t xml:space="preserve"> temp</w:t>
      </w:r>
      <w:r w:rsidR="00A10DCA" w:rsidRPr="00857CDA">
        <w:rPr>
          <w:i/>
          <w:lang w:val="ro-RO"/>
        </w:rPr>
        <w:t>e</w:t>
      </w:r>
      <w:r w:rsidR="00A5193B" w:rsidRPr="00857CDA">
        <w:rPr>
          <w:i/>
          <w:lang w:val="ro-RO"/>
        </w:rPr>
        <w:t>ratur</w:t>
      </w:r>
      <w:r w:rsidR="00A10DCA" w:rsidRPr="00857CDA">
        <w:rPr>
          <w:i/>
          <w:lang w:val="ro-RO"/>
        </w:rPr>
        <w:t>ii</w:t>
      </w:r>
      <w:r w:rsidR="00A5193B" w:rsidRPr="00857CDA">
        <w:rPr>
          <w:i/>
          <w:lang w:val="ro-RO"/>
        </w:rPr>
        <w:t xml:space="preserve"> de r</w:t>
      </w:r>
      <w:r w:rsidR="00A10DCA" w:rsidRPr="00857CDA">
        <w:rPr>
          <w:i/>
          <w:lang w:val="ro-RO"/>
        </w:rPr>
        <w:t>e</w:t>
      </w:r>
      <w:r w:rsidR="00A5193B" w:rsidRPr="00857CDA">
        <w:rPr>
          <w:i/>
          <w:lang w:val="ro-RO"/>
        </w:rPr>
        <w:t>gla</w:t>
      </w:r>
      <w:r w:rsidR="00A10DCA" w:rsidRPr="00857CDA">
        <w:rPr>
          <w:i/>
          <w:lang w:val="ro-RO"/>
        </w:rPr>
        <w:t>re</w:t>
      </w:r>
      <w:r w:rsidR="004C27AD" w:rsidRPr="00857CDA">
        <w:rPr>
          <w:i/>
          <w:lang w:val="ro-RO"/>
        </w:rPr>
        <w:t xml:space="preserve"> și </w:t>
      </w:r>
      <w:r w:rsidR="00A10DCA" w:rsidRPr="00857CDA">
        <w:rPr>
          <w:i/>
          <w:lang w:val="ro-RO"/>
        </w:rPr>
        <w:t>a</w:t>
      </w:r>
      <w:r w:rsidR="00A5193B" w:rsidRPr="00857CDA">
        <w:rPr>
          <w:i/>
          <w:lang w:val="ro-RO"/>
        </w:rPr>
        <w:t xml:space="preserve"> temp</w:t>
      </w:r>
      <w:r w:rsidR="00A10DCA" w:rsidRPr="00857CDA">
        <w:rPr>
          <w:i/>
          <w:lang w:val="ro-RO"/>
        </w:rPr>
        <w:t>e</w:t>
      </w:r>
      <w:r w:rsidR="00A5193B" w:rsidRPr="00857CDA">
        <w:rPr>
          <w:i/>
          <w:lang w:val="ro-RO"/>
        </w:rPr>
        <w:t>ratur</w:t>
      </w:r>
      <w:r w:rsidR="00A10DCA" w:rsidRPr="00857CDA">
        <w:rPr>
          <w:i/>
          <w:lang w:val="ro-RO"/>
        </w:rPr>
        <w:t xml:space="preserve">ii </w:t>
      </w:r>
      <w:r w:rsidR="00A5193B" w:rsidRPr="00857CDA">
        <w:rPr>
          <w:i/>
          <w:lang w:val="ro-RO"/>
        </w:rPr>
        <w:t>criti</w:t>
      </w:r>
      <w:r w:rsidR="00A10DCA" w:rsidRPr="00857CDA">
        <w:rPr>
          <w:i/>
          <w:lang w:val="ro-RO"/>
        </w:rPr>
        <w:t>c</w:t>
      </w:r>
      <w:r w:rsidR="00A5193B" w:rsidRPr="00857CDA">
        <w:rPr>
          <w:i/>
          <w:lang w:val="ro-RO"/>
        </w:rPr>
        <w:t>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D80945" w:rsidRPr="00857CDA" w:rsidTr="00D80945">
        <w:tc>
          <w:tcPr>
            <w:tcW w:w="1170" w:type="dxa"/>
            <w:tcBorders>
              <w:bottom w:val="single" w:sz="4" w:space="0" w:color="auto"/>
            </w:tcBorders>
            <w:shd w:val="clear" w:color="auto" w:fill="auto"/>
            <w:tcMar>
              <w:left w:w="113" w:type="dxa"/>
            </w:tcMar>
            <w:vAlign w:val="center"/>
          </w:tcPr>
          <w:p w:rsidR="00D80945" w:rsidRPr="00857CDA" w:rsidRDefault="00D80945" w:rsidP="00D80945">
            <w:pPr>
              <w:widowControl w:val="0"/>
              <w:spacing w:before="100" w:after="100" w:line="240" w:lineRule="auto"/>
              <w:jc w:val="center"/>
              <w:rPr>
                <w:b/>
                <w:lang w:val="ro-RO"/>
              </w:rPr>
            </w:pPr>
            <w:r w:rsidRPr="00857CDA">
              <w:rPr>
                <w:b/>
                <w:lang w:val="ro-RO"/>
              </w:rPr>
              <w:t>Tip de recipient</w:t>
            </w:r>
          </w:p>
        </w:tc>
        <w:tc>
          <w:tcPr>
            <w:tcW w:w="1685" w:type="dxa"/>
            <w:tcBorders>
              <w:bottom w:val="single" w:sz="4" w:space="0" w:color="auto"/>
            </w:tcBorders>
            <w:shd w:val="clear" w:color="auto" w:fill="auto"/>
            <w:tcMar>
              <w:left w:w="113" w:type="dxa"/>
            </w:tcMar>
            <w:vAlign w:val="center"/>
          </w:tcPr>
          <w:p w:rsidR="00D80945" w:rsidRPr="00857CDA" w:rsidRDefault="00D80945" w:rsidP="00D80945">
            <w:pPr>
              <w:widowControl w:val="0"/>
              <w:spacing w:before="100" w:after="100" w:line="240" w:lineRule="auto"/>
              <w:jc w:val="center"/>
              <w:rPr>
                <w:b/>
                <w:lang w:val="ro-RO"/>
              </w:rPr>
            </w:pPr>
            <w:r w:rsidRPr="00857CDA">
              <w:rPr>
                <w:b/>
                <w:lang w:val="ro-RO"/>
              </w:rPr>
              <w:t xml:space="preserve">TDAA </w:t>
            </w:r>
            <w:r w:rsidRPr="00857CDA">
              <w:rPr>
                <w:b/>
                <w:vertAlign w:val="superscript"/>
                <w:lang w:val="ro-RO"/>
              </w:rPr>
              <w:t>a</w:t>
            </w:r>
            <w:r w:rsidRPr="00857CDA">
              <w:rPr>
                <w:b/>
                <w:lang w:val="ro-RO"/>
              </w:rPr>
              <w:t xml:space="preserve">/ TPAA </w:t>
            </w:r>
            <w:r w:rsidRPr="00857CDA">
              <w:rPr>
                <w:b/>
                <w:vertAlign w:val="superscript"/>
                <w:lang w:val="ro-RO"/>
              </w:rPr>
              <w:t>a</w:t>
            </w:r>
          </w:p>
        </w:tc>
        <w:tc>
          <w:tcPr>
            <w:tcW w:w="2167" w:type="dxa"/>
            <w:tcBorders>
              <w:bottom w:val="single" w:sz="4" w:space="0" w:color="auto"/>
            </w:tcBorders>
            <w:shd w:val="clear" w:color="auto" w:fill="auto"/>
            <w:tcMar>
              <w:left w:w="113" w:type="dxa"/>
            </w:tcMar>
            <w:vAlign w:val="center"/>
          </w:tcPr>
          <w:p w:rsidR="00D80945" w:rsidRPr="00857CDA" w:rsidRDefault="00D80945" w:rsidP="00D80945">
            <w:pPr>
              <w:widowControl w:val="0"/>
              <w:spacing w:before="100" w:after="100" w:line="240" w:lineRule="auto"/>
              <w:jc w:val="center"/>
              <w:rPr>
                <w:b/>
                <w:lang w:val="ro-RO"/>
              </w:rPr>
            </w:pPr>
            <w:r w:rsidRPr="00857CDA">
              <w:rPr>
                <w:b/>
                <w:lang w:val="ro-RO"/>
              </w:rPr>
              <w:t>Temperatura de reglare</w:t>
            </w:r>
          </w:p>
        </w:tc>
        <w:tc>
          <w:tcPr>
            <w:tcW w:w="2349" w:type="dxa"/>
            <w:tcBorders>
              <w:bottom w:val="single" w:sz="4" w:space="0" w:color="auto"/>
            </w:tcBorders>
            <w:shd w:val="clear" w:color="auto" w:fill="auto"/>
            <w:tcMar>
              <w:left w:w="113" w:type="dxa"/>
            </w:tcMar>
            <w:vAlign w:val="center"/>
          </w:tcPr>
          <w:p w:rsidR="00D80945" w:rsidRPr="00857CDA" w:rsidRDefault="00D80945" w:rsidP="00D80945">
            <w:pPr>
              <w:widowControl w:val="0"/>
              <w:spacing w:before="100" w:after="100" w:line="240" w:lineRule="auto"/>
              <w:jc w:val="center"/>
              <w:rPr>
                <w:b/>
                <w:lang w:val="ro-RO"/>
              </w:rPr>
            </w:pPr>
            <w:r w:rsidRPr="00857CDA">
              <w:rPr>
                <w:b/>
                <w:lang w:val="ro-RO"/>
              </w:rPr>
              <w:t>Temperatura critică</w:t>
            </w:r>
          </w:p>
        </w:tc>
      </w:tr>
      <w:tr w:rsidR="00D80945" w:rsidRPr="00857CDA" w:rsidTr="00D80945">
        <w:tc>
          <w:tcPr>
            <w:tcW w:w="1170" w:type="dxa"/>
            <w:vMerge w:val="restart"/>
            <w:tcBorders>
              <w:top w:val="single" w:sz="4" w:space="0" w:color="auto"/>
            </w:tcBorders>
            <w:shd w:val="clear" w:color="auto" w:fill="auto"/>
            <w:tcMar>
              <w:left w:w="113" w:type="dxa"/>
            </w:tcMar>
            <w:vAlign w:val="center"/>
          </w:tcPr>
          <w:p w:rsidR="00D80945" w:rsidRPr="00857CDA" w:rsidRDefault="00D80945" w:rsidP="00D80945">
            <w:pPr>
              <w:widowControl w:val="0"/>
              <w:spacing w:line="240" w:lineRule="auto"/>
              <w:jc w:val="center"/>
              <w:rPr>
                <w:lang w:val="ro-RO"/>
              </w:rPr>
            </w:pPr>
            <w:r w:rsidRPr="00857CDA">
              <w:rPr>
                <w:lang w:val="ro-RO"/>
              </w:rPr>
              <w:t>Ambalaje simple</w:t>
            </w:r>
          </w:p>
          <w:p w:rsidR="00D80945" w:rsidRPr="00857CDA" w:rsidRDefault="00D80945" w:rsidP="00D80945">
            <w:pPr>
              <w:widowControl w:val="0"/>
              <w:spacing w:line="240" w:lineRule="auto"/>
              <w:jc w:val="center"/>
              <w:rPr>
                <w:lang w:val="ro-RO"/>
              </w:rPr>
            </w:pPr>
            <w:r w:rsidRPr="00857CDA">
              <w:rPr>
                <w:lang w:val="ro-RO"/>
              </w:rPr>
              <w:t>și RMV</w:t>
            </w:r>
          </w:p>
        </w:tc>
        <w:tc>
          <w:tcPr>
            <w:tcW w:w="1685"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 20 °C</w:t>
            </w:r>
          </w:p>
        </w:tc>
        <w:tc>
          <w:tcPr>
            <w:tcW w:w="2167"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20 °C sub TDAA/TPAA</w:t>
            </w:r>
          </w:p>
        </w:tc>
        <w:tc>
          <w:tcPr>
            <w:tcW w:w="2349"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10 °C sub TDAA/TPAA</w:t>
            </w:r>
          </w:p>
        </w:tc>
      </w:tr>
      <w:tr w:rsidR="00D80945" w:rsidRPr="00857CDA" w:rsidTr="00D80945">
        <w:tc>
          <w:tcPr>
            <w:tcW w:w="1170" w:type="dxa"/>
            <w:vMerge/>
            <w:shd w:val="clear" w:color="auto" w:fill="auto"/>
            <w:tcMar>
              <w:left w:w="113" w:type="dxa"/>
            </w:tcMar>
            <w:vAlign w:val="center"/>
          </w:tcPr>
          <w:p w:rsidR="00D80945" w:rsidRPr="00857CDA" w:rsidRDefault="00D80945" w:rsidP="00D80945">
            <w:pPr>
              <w:widowControl w:val="0"/>
              <w:spacing w:line="240" w:lineRule="auto"/>
              <w:jc w:val="center"/>
              <w:rPr>
                <w:lang w:val="ro-RO"/>
              </w:rPr>
            </w:pPr>
          </w:p>
        </w:tc>
        <w:tc>
          <w:tcPr>
            <w:tcW w:w="1685"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&gt; 20 °C și ≤ 35 °C</w:t>
            </w:r>
          </w:p>
        </w:tc>
        <w:tc>
          <w:tcPr>
            <w:tcW w:w="2167"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15 °C sub TDAA/TPAA</w:t>
            </w:r>
          </w:p>
        </w:tc>
        <w:tc>
          <w:tcPr>
            <w:tcW w:w="2349"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10 °C sub TDAA/TPAA</w:t>
            </w:r>
          </w:p>
        </w:tc>
      </w:tr>
      <w:tr w:rsidR="00D80945" w:rsidRPr="00857CDA" w:rsidTr="00D80945">
        <w:tc>
          <w:tcPr>
            <w:tcW w:w="1170" w:type="dxa"/>
            <w:vMerge/>
            <w:tcBorders>
              <w:bottom w:val="single" w:sz="4" w:space="0" w:color="auto"/>
            </w:tcBorders>
            <w:shd w:val="clear" w:color="auto" w:fill="auto"/>
            <w:tcMar>
              <w:left w:w="113" w:type="dxa"/>
            </w:tcMar>
            <w:vAlign w:val="center"/>
          </w:tcPr>
          <w:p w:rsidR="00D80945" w:rsidRPr="00857CDA" w:rsidRDefault="00D80945" w:rsidP="00D80945">
            <w:pPr>
              <w:widowControl w:val="0"/>
              <w:spacing w:line="240" w:lineRule="auto"/>
              <w:jc w:val="center"/>
              <w:rPr>
                <w:lang w:val="ro-RO"/>
              </w:rPr>
            </w:pPr>
          </w:p>
        </w:tc>
        <w:tc>
          <w:tcPr>
            <w:tcW w:w="1685"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&gt; 35 °C</w:t>
            </w:r>
          </w:p>
        </w:tc>
        <w:tc>
          <w:tcPr>
            <w:tcW w:w="2167"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10 °C sub TDAA/TPAA</w:t>
            </w:r>
          </w:p>
        </w:tc>
        <w:tc>
          <w:tcPr>
            <w:tcW w:w="2349" w:type="dxa"/>
            <w:tcBorders>
              <w:bottom w:val="single" w:sz="4" w:space="0" w:color="auto"/>
            </w:tcBorders>
            <w:shd w:val="clear" w:color="auto" w:fill="auto"/>
            <w:tcMar>
              <w:left w:w="113" w:type="dxa"/>
            </w:tcMar>
            <w:vAlign w:val="center"/>
          </w:tcPr>
          <w:p w:rsidR="00D80945" w:rsidRPr="00857CDA" w:rsidRDefault="00D80945" w:rsidP="00D80945">
            <w:pPr>
              <w:keepNext/>
              <w:keepLines/>
              <w:spacing w:line="240" w:lineRule="auto"/>
              <w:jc w:val="center"/>
              <w:rPr>
                <w:lang w:val="ro-RO"/>
              </w:rPr>
            </w:pPr>
            <w:r w:rsidRPr="00857CDA">
              <w:rPr>
                <w:lang w:val="ro-RO"/>
              </w:rPr>
              <w:t>5 °C sub TDAA/TPAA</w:t>
            </w:r>
          </w:p>
        </w:tc>
      </w:tr>
      <w:tr w:rsidR="00D80945" w:rsidRPr="00857CDA" w:rsidTr="00D80945">
        <w:trPr>
          <w:trHeight w:val="317"/>
        </w:trPr>
        <w:tc>
          <w:tcPr>
            <w:tcW w:w="1170" w:type="dxa"/>
            <w:tcBorders>
              <w:top w:val="single" w:sz="4" w:space="0" w:color="auto"/>
            </w:tcBorders>
            <w:shd w:val="clear" w:color="auto" w:fill="auto"/>
            <w:tcMar>
              <w:left w:w="113" w:type="dxa"/>
            </w:tcMar>
            <w:vAlign w:val="center"/>
            <w:hideMark/>
          </w:tcPr>
          <w:p w:rsidR="00D80945" w:rsidRPr="00857CDA" w:rsidRDefault="00D80945" w:rsidP="00D80945">
            <w:pPr>
              <w:widowControl w:val="0"/>
              <w:spacing w:line="240" w:lineRule="auto"/>
              <w:contextualSpacing/>
              <w:jc w:val="center"/>
              <w:rPr>
                <w:lang w:val="ro-RO"/>
              </w:rPr>
            </w:pPr>
            <w:r w:rsidRPr="00857CDA">
              <w:rPr>
                <w:lang w:val="ro-RO"/>
              </w:rPr>
              <w:t>Cisterne</w:t>
            </w:r>
          </w:p>
        </w:tc>
        <w:tc>
          <w:tcPr>
            <w:tcW w:w="1685" w:type="dxa"/>
            <w:tcBorders>
              <w:top w:val="single" w:sz="4" w:space="0" w:color="auto"/>
            </w:tcBorders>
            <w:shd w:val="clear" w:color="auto" w:fill="auto"/>
            <w:tcMar>
              <w:left w:w="113" w:type="dxa"/>
            </w:tcMar>
            <w:vAlign w:val="center"/>
            <w:hideMark/>
          </w:tcPr>
          <w:p w:rsidR="00D80945" w:rsidRPr="00857CDA" w:rsidRDefault="00D80945" w:rsidP="00D80945">
            <w:pPr>
              <w:keepNext/>
              <w:keepLines/>
              <w:spacing w:line="240" w:lineRule="auto"/>
              <w:contextualSpacing/>
              <w:jc w:val="center"/>
              <w:rPr>
                <w:rFonts w:eastAsiaTheme="minorHAnsi"/>
                <w:lang w:val="ro-RO" w:eastAsia="de-DE"/>
              </w:rPr>
            </w:pPr>
            <w:r w:rsidRPr="00857CDA">
              <w:rPr>
                <w:lang w:val="ro-RO"/>
              </w:rPr>
              <w:t>≤ 45 °C</w:t>
            </w:r>
          </w:p>
        </w:tc>
        <w:tc>
          <w:tcPr>
            <w:tcW w:w="2167" w:type="dxa"/>
            <w:tcBorders>
              <w:top w:val="single" w:sz="4" w:space="0" w:color="auto"/>
            </w:tcBorders>
            <w:shd w:val="clear" w:color="auto" w:fill="auto"/>
            <w:tcMar>
              <w:left w:w="113" w:type="dxa"/>
            </w:tcMar>
            <w:vAlign w:val="center"/>
            <w:hideMark/>
          </w:tcPr>
          <w:p w:rsidR="00D80945" w:rsidRPr="00857CDA" w:rsidRDefault="00D80945" w:rsidP="00D80945">
            <w:pPr>
              <w:keepNext/>
              <w:keepLines/>
              <w:spacing w:line="240" w:lineRule="auto"/>
              <w:contextualSpacing/>
              <w:jc w:val="center"/>
              <w:rPr>
                <w:rFonts w:eastAsiaTheme="minorHAnsi"/>
                <w:lang w:val="ro-RO" w:eastAsia="de-DE"/>
              </w:rPr>
            </w:pPr>
            <w:r w:rsidRPr="00857CDA">
              <w:rPr>
                <w:lang w:val="ro-RO"/>
              </w:rPr>
              <w:t>10 °C sub TDAA/TPAA</w:t>
            </w:r>
          </w:p>
        </w:tc>
        <w:tc>
          <w:tcPr>
            <w:tcW w:w="2349" w:type="dxa"/>
            <w:tcBorders>
              <w:top w:val="single" w:sz="4" w:space="0" w:color="auto"/>
            </w:tcBorders>
            <w:shd w:val="clear" w:color="auto" w:fill="auto"/>
            <w:tcMar>
              <w:left w:w="113" w:type="dxa"/>
            </w:tcMar>
            <w:vAlign w:val="center"/>
            <w:hideMark/>
          </w:tcPr>
          <w:p w:rsidR="00D80945" w:rsidRPr="00857CDA" w:rsidRDefault="00D80945" w:rsidP="00D80945">
            <w:pPr>
              <w:keepNext/>
              <w:keepLines/>
              <w:spacing w:line="240" w:lineRule="auto"/>
              <w:contextualSpacing/>
              <w:jc w:val="center"/>
              <w:rPr>
                <w:rFonts w:eastAsiaTheme="minorHAnsi"/>
                <w:lang w:val="ro-RO" w:eastAsia="de-DE"/>
              </w:rPr>
            </w:pPr>
            <w:r w:rsidRPr="00857CDA">
              <w:rPr>
                <w:lang w:val="ro-RO"/>
              </w:rPr>
              <w:t>5 °C sub TDAA/TPAA</w:t>
            </w:r>
          </w:p>
        </w:tc>
      </w:tr>
    </w:tbl>
    <w:p w:rsidR="00A5193B" w:rsidRPr="00857CDA" w:rsidRDefault="00A5193B" w:rsidP="00D80945">
      <w:pPr>
        <w:pStyle w:val="SingleTxtG"/>
        <w:keepNext/>
        <w:keepLines/>
        <w:spacing w:after="0"/>
        <w:ind w:left="1701"/>
        <w:rPr>
          <w:i/>
          <w:lang w:val="ro-RO"/>
        </w:rPr>
      </w:pPr>
      <w:r w:rsidRPr="00857CDA">
        <w:rPr>
          <w:b/>
          <w:vertAlign w:val="superscript"/>
          <w:lang w:val="ro-RO"/>
        </w:rPr>
        <w:t>a</w:t>
      </w:r>
      <w:r w:rsidR="00EF4D90" w:rsidRPr="00857CDA">
        <w:rPr>
          <w:i/>
          <w:lang w:val="ro-RO"/>
        </w:rPr>
        <w:tab/>
      </w:r>
      <w:r w:rsidR="00D80945" w:rsidRPr="00857CDA">
        <w:rPr>
          <w:i/>
          <w:lang w:val="ro-RO"/>
        </w:rPr>
        <w:t>Prin aceasta se înțelege temperatura de descompunere auto-accelerată (TDAA) sau temperatura de polimerizare auto-accelerată (TPAA) a substanței așa cum este ambalată pentru transport</w:t>
      </w:r>
      <w:r w:rsidRPr="00857CDA">
        <w:rPr>
          <w:i/>
          <w:lang w:val="ro-RO"/>
        </w:rPr>
        <w:t>.</w:t>
      </w:r>
    </w:p>
    <w:p w:rsidR="00D80945" w:rsidRPr="00857CDA" w:rsidRDefault="005045B2" w:rsidP="002A4B9C">
      <w:pPr>
        <w:pStyle w:val="SingleTxtG"/>
        <w:rPr>
          <w:lang w:val="ro-RO"/>
        </w:rPr>
      </w:pPr>
      <w:r w:rsidRPr="00857CDA">
        <w:rPr>
          <w:lang w:val="ro-RO"/>
        </w:rPr>
        <w:t>7.1.7.3.6</w:t>
      </w:r>
      <w:r w:rsidR="00A5193B" w:rsidRPr="00857CDA">
        <w:rPr>
          <w:lang w:val="ro-RO"/>
        </w:rPr>
        <w:tab/>
      </w:r>
      <w:r w:rsidR="00D80945" w:rsidRPr="00857CDA">
        <w:rPr>
          <w:lang w:val="ro-RO"/>
        </w:rPr>
        <w:t>Temperatura de reglare și temperatura critică sunt calculate cu ajutorul tabelului de la 7.1.5.3.5 plecând de la TDAA sau TPAA, care sunt definite ca temperaturile cele mai scăzute la care o astfel de descompunere sau o astfel de polimerizare poate să apară în ambalaj, IBC sau cisterna mobilă utilizată pentru transport. TDAA sau TPAA trebuie să fie determinată pentru a de</w:t>
      </w:r>
      <w:r w:rsidR="003D535B" w:rsidRPr="00857CDA">
        <w:rPr>
          <w:lang w:val="ro-RO"/>
        </w:rPr>
        <w:t>cide</w:t>
      </w:r>
      <w:r w:rsidR="00D80945" w:rsidRPr="00857CDA">
        <w:rPr>
          <w:lang w:val="ro-RO"/>
        </w:rPr>
        <w:t xml:space="preserve"> dacă o substanță trebuie să </w:t>
      </w:r>
      <w:r w:rsidR="003D535B" w:rsidRPr="00857CDA">
        <w:rPr>
          <w:lang w:val="ro-RO"/>
        </w:rPr>
        <w:t xml:space="preserve">facă obiectul reglării temperaturii </w:t>
      </w:r>
      <w:r w:rsidR="00D80945" w:rsidRPr="00857CDA">
        <w:rPr>
          <w:lang w:val="ro-RO"/>
        </w:rPr>
        <w:t>în timpul transportului. Dispozițiile privind determinarea T</w:t>
      </w:r>
      <w:r w:rsidR="003D535B" w:rsidRPr="00857CDA">
        <w:rPr>
          <w:lang w:val="ro-RO"/>
        </w:rPr>
        <w:t>DAA</w:t>
      </w:r>
      <w:r w:rsidR="00D80945" w:rsidRPr="00857CDA">
        <w:rPr>
          <w:lang w:val="ro-RO"/>
        </w:rPr>
        <w:t xml:space="preserve"> și </w:t>
      </w:r>
      <w:r w:rsidR="003D535B" w:rsidRPr="00857CDA">
        <w:rPr>
          <w:lang w:val="ro-RO"/>
        </w:rPr>
        <w:t>TP</w:t>
      </w:r>
      <w:r w:rsidR="00D80945" w:rsidRPr="00857CDA">
        <w:rPr>
          <w:lang w:val="ro-RO"/>
        </w:rPr>
        <w:t xml:space="preserve">AA sunt </w:t>
      </w:r>
      <w:r w:rsidR="003D535B" w:rsidRPr="00857CDA">
        <w:rPr>
          <w:lang w:val="ro-RO"/>
        </w:rPr>
        <w:t>prevăzute</w:t>
      </w:r>
      <w:r w:rsidR="00D80945" w:rsidRPr="00857CDA">
        <w:rPr>
          <w:lang w:val="ro-RO"/>
        </w:rPr>
        <w:t xml:space="preserve"> în secțiunea 28 din Partea a II-a a Manualului de </w:t>
      </w:r>
      <w:r w:rsidR="003D535B" w:rsidRPr="00857CDA">
        <w:rPr>
          <w:lang w:val="ro-RO"/>
        </w:rPr>
        <w:t>Încercări</w:t>
      </w:r>
      <w:r w:rsidR="00D80945" w:rsidRPr="00857CDA">
        <w:rPr>
          <w:lang w:val="ro-RO"/>
        </w:rPr>
        <w:t xml:space="preserve"> și </w:t>
      </w:r>
      <w:r w:rsidR="003D535B" w:rsidRPr="00857CDA">
        <w:rPr>
          <w:lang w:val="ro-RO"/>
        </w:rPr>
        <w:t>Criterii</w:t>
      </w:r>
      <w:r w:rsidR="00D80945" w:rsidRPr="00857CDA">
        <w:rPr>
          <w:lang w:val="ro-RO"/>
        </w:rPr>
        <w:t>.</w:t>
      </w:r>
    </w:p>
    <w:p w:rsidR="00A5193B" w:rsidRPr="00857CDA" w:rsidRDefault="005045B2" w:rsidP="002A4B9C">
      <w:pPr>
        <w:pStyle w:val="SingleTxtG"/>
        <w:rPr>
          <w:lang w:val="ro-RO"/>
        </w:rPr>
      </w:pPr>
      <w:r w:rsidRPr="00857CDA">
        <w:rPr>
          <w:lang w:val="ro-RO"/>
        </w:rPr>
        <w:t>7.1.7.3.7</w:t>
      </w:r>
      <w:r w:rsidR="00A5193B" w:rsidRPr="00857CDA">
        <w:rPr>
          <w:lang w:val="ro-RO"/>
        </w:rPr>
        <w:tab/>
      </w:r>
      <w:r w:rsidR="003D535B" w:rsidRPr="00857CDA">
        <w:rPr>
          <w:lang w:val="ro-RO"/>
        </w:rPr>
        <w:t>Temperatura de reglare și temperatura critică, pentru substanțele autoreactive și pentru preparatele cu peroxizi organici deja clasificate, sunt indicate la 2.2.41.4 și respectiv la 2.2.52.4</w:t>
      </w:r>
      <w:r w:rsidR="00A5193B" w:rsidRPr="00857CDA">
        <w:rPr>
          <w:lang w:val="ro-RO"/>
        </w:rPr>
        <w:t>.</w:t>
      </w:r>
    </w:p>
    <w:p w:rsidR="00A5193B" w:rsidRPr="00857CDA" w:rsidRDefault="005045B2" w:rsidP="00397A69">
      <w:pPr>
        <w:pStyle w:val="SingleTxtG"/>
        <w:rPr>
          <w:lang w:val="ro-RO"/>
        </w:rPr>
      </w:pPr>
      <w:r w:rsidRPr="00857CDA">
        <w:rPr>
          <w:lang w:val="ro-RO"/>
        </w:rPr>
        <w:t>7.1.7.3.8</w:t>
      </w:r>
      <w:r w:rsidR="00A5193B" w:rsidRPr="00857CDA">
        <w:rPr>
          <w:lang w:val="ro-RO"/>
        </w:rPr>
        <w:tab/>
      </w:r>
      <w:r w:rsidR="00397A69" w:rsidRPr="00857CDA">
        <w:rPr>
          <w:lang w:val="ro-RO"/>
        </w:rPr>
        <w:t>Temperatura reală de transport poate fi mai mică decât temperatura de reglare, dar ar trebui aleasă astfel încât să se evite separarea periculoasă a fazelor</w:t>
      </w:r>
      <w:r w:rsidR="00A5193B" w:rsidRPr="00857CDA">
        <w:rPr>
          <w:lang w:val="ro-RO"/>
        </w:rPr>
        <w:t>.</w:t>
      </w:r>
    </w:p>
    <w:p w:rsidR="00A5193B" w:rsidRPr="00857CDA" w:rsidRDefault="005045B2" w:rsidP="00FB018B">
      <w:pPr>
        <w:pStyle w:val="SingleTxtG"/>
        <w:tabs>
          <w:tab w:val="left" w:pos="2268"/>
        </w:tabs>
        <w:rPr>
          <w:b/>
          <w:lang w:val="ro-RO"/>
        </w:rPr>
      </w:pPr>
      <w:r w:rsidRPr="00857CDA">
        <w:rPr>
          <w:b/>
          <w:lang w:val="ro-RO"/>
        </w:rPr>
        <w:t>7.1.7.4</w:t>
      </w:r>
      <w:r w:rsidR="00A5193B" w:rsidRPr="00857CDA">
        <w:rPr>
          <w:b/>
          <w:lang w:val="ro-RO"/>
        </w:rPr>
        <w:tab/>
      </w:r>
      <w:r w:rsidR="00A5193B" w:rsidRPr="00857CDA">
        <w:rPr>
          <w:b/>
          <w:i/>
          <w:lang w:val="ro-RO"/>
        </w:rPr>
        <w:t xml:space="preserve">Transport </w:t>
      </w:r>
      <w:r w:rsidR="00397A69" w:rsidRPr="00857CDA">
        <w:rPr>
          <w:b/>
          <w:i/>
          <w:lang w:val="ro-RO"/>
        </w:rPr>
        <w:t>cu</w:t>
      </w:r>
      <w:r w:rsidR="00A5193B" w:rsidRPr="00857CDA">
        <w:rPr>
          <w:b/>
          <w:i/>
          <w:lang w:val="ro-RO"/>
        </w:rPr>
        <w:t xml:space="preserve"> r</w:t>
      </w:r>
      <w:r w:rsidR="00397A69" w:rsidRPr="00857CDA">
        <w:rPr>
          <w:b/>
          <w:i/>
          <w:lang w:val="ro-RO"/>
        </w:rPr>
        <w:t>e</w:t>
      </w:r>
      <w:r w:rsidR="00A5193B" w:rsidRPr="00857CDA">
        <w:rPr>
          <w:b/>
          <w:i/>
          <w:lang w:val="ro-RO"/>
        </w:rPr>
        <w:t>gla</w:t>
      </w:r>
      <w:r w:rsidR="00397A69" w:rsidRPr="00857CDA">
        <w:rPr>
          <w:b/>
          <w:i/>
          <w:lang w:val="ro-RO"/>
        </w:rPr>
        <w:t>rea</w:t>
      </w:r>
      <w:r w:rsidR="00A5193B" w:rsidRPr="00857CDA">
        <w:rPr>
          <w:b/>
          <w:i/>
          <w:lang w:val="ro-RO"/>
        </w:rPr>
        <w:t xml:space="preserve"> temp</w:t>
      </w:r>
      <w:r w:rsidR="00397A69" w:rsidRPr="00857CDA">
        <w:rPr>
          <w:b/>
          <w:i/>
          <w:lang w:val="ro-RO"/>
        </w:rPr>
        <w:t>e</w:t>
      </w:r>
      <w:r w:rsidR="00A5193B" w:rsidRPr="00857CDA">
        <w:rPr>
          <w:b/>
          <w:i/>
          <w:lang w:val="ro-RO"/>
        </w:rPr>
        <w:t>ratur</w:t>
      </w:r>
      <w:r w:rsidR="00397A69" w:rsidRPr="00857CDA">
        <w:rPr>
          <w:b/>
          <w:i/>
          <w:lang w:val="ro-RO"/>
        </w:rPr>
        <w:t>ii</w:t>
      </w:r>
    </w:p>
    <w:p w:rsidR="00397A69" w:rsidRPr="00857CDA" w:rsidRDefault="005045B2" w:rsidP="00397A69">
      <w:pPr>
        <w:pStyle w:val="SingleTxtG"/>
        <w:rPr>
          <w:lang w:val="ro-RO"/>
        </w:rPr>
      </w:pPr>
      <w:r w:rsidRPr="00857CDA">
        <w:rPr>
          <w:lang w:val="ro-RO"/>
        </w:rPr>
        <w:t>7.1.7.4.1</w:t>
      </w:r>
      <w:r w:rsidR="00A5193B" w:rsidRPr="00857CDA">
        <w:rPr>
          <w:lang w:val="ro-RO"/>
        </w:rPr>
        <w:tab/>
      </w:r>
      <w:r w:rsidR="00397A69" w:rsidRPr="00857CDA">
        <w:rPr>
          <w:lang w:val="ro-RO"/>
        </w:rPr>
        <w:t xml:space="preserve">Menținerea temperaturii prescrise este o condiție esențială pentru transportul în siguranță al </w:t>
      </w:r>
      <w:r w:rsidR="008933E2" w:rsidRPr="00857CDA">
        <w:rPr>
          <w:lang w:val="ro-RO"/>
        </w:rPr>
        <w:t>substanțelor</w:t>
      </w:r>
      <w:r w:rsidR="00397A69" w:rsidRPr="00857CDA">
        <w:rPr>
          <w:lang w:val="ro-RO"/>
        </w:rPr>
        <w:t xml:space="preserve"> stabilizate prin </w:t>
      </w:r>
      <w:r w:rsidR="008933E2" w:rsidRPr="00857CDA">
        <w:rPr>
          <w:lang w:val="ro-RO"/>
        </w:rPr>
        <w:t>reglarea</w:t>
      </w:r>
      <w:r w:rsidR="00397A69" w:rsidRPr="00857CDA">
        <w:rPr>
          <w:lang w:val="ro-RO"/>
        </w:rPr>
        <w:t xml:space="preserve"> temperaturii. În general, trebuie să existe:</w:t>
      </w:r>
    </w:p>
    <w:p w:rsidR="00397A69" w:rsidRPr="00857CDA" w:rsidRDefault="00397A69" w:rsidP="008933E2">
      <w:pPr>
        <w:pStyle w:val="SingleTxtG"/>
        <w:ind w:left="2127" w:hanging="426"/>
        <w:rPr>
          <w:lang w:val="ro-RO"/>
        </w:rPr>
      </w:pPr>
      <w:r w:rsidRPr="00857CDA">
        <w:rPr>
          <w:lang w:val="ro-RO"/>
        </w:rPr>
        <w:t xml:space="preserve">(a) </w:t>
      </w:r>
      <w:r w:rsidR="008933E2" w:rsidRPr="00857CDA">
        <w:rPr>
          <w:lang w:val="ro-RO"/>
        </w:rPr>
        <w:tab/>
      </w:r>
      <w:r w:rsidRPr="00857CDA">
        <w:rPr>
          <w:lang w:val="ro-RO"/>
        </w:rPr>
        <w:t xml:space="preserve">o inspecție amănunțită a </w:t>
      </w:r>
      <w:r w:rsidR="008933E2" w:rsidRPr="00857CDA">
        <w:rPr>
          <w:lang w:val="ro-RO"/>
        </w:rPr>
        <w:t xml:space="preserve">mijlocului de transport </w:t>
      </w:r>
      <w:r w:rsidRPr="00857CDA">
        <w:rPr>
          <w:lang w:val="ro-RO"/>
        </w:rPr>
        <w:t>înainte de încărcare;</w:t>
      </w:r>
    </w:p>
    <w:p w:rsidR="008933E2" w:rsidRPr="00857CDA" w:rsidRDefault="00397A69" w:rsidP="008933E2">
      <w:pPr>
        <w:pStyle w:val="SingleTxtG"/>
        <w:ind w:left="2127" w:hanging="426"/>
        <w:rPr>
          <w:lang w:val="ro-RO"/>
        </w:rPr>
      </w:pPr>
      <w:r w:rsidRPr="00857CDA">
        <w:rPr>
          <w:lang w:val="ro-RO"/>
        </w:rPr>
        <w:t>(b)</w:t>
      </w:r>
      <w:r w:rsidR="008933E2" w:rsidRPr="00857CDA">
        <w:rPr>
          <w:lang w:val="ro-RO"/>
        </w:rPr>
        <w:t xml:space="preserve"> </w:t>
      </w:r>
      <w:r w:rsidR="008933E2" w:rsidRPr="00857CDA">
        <w:rPr>
          <w:lang w:val="ro-RO"/>
        </w:rPr>
        <w:tab/>
      </w:r>
      <w:r w:rsidRPr="00857CDA">
        <w:rPr>
          <w:lang w:val="ro-RO"/>
        </w:rPr>
        <w:t>instrucțiuni pentru transport</w:t>
      </w:r>
      <w:r w:rsidR="008933E2" w:rsidRPr="00857CDA">
        <w:rPr>
          <w:lang w:val="ro-RO"/>
        </w:rPr>
        <w:t>ator</w:t>
      </w:r>
      <w:r w:rsidRPr="00857CDA">
        <w:rPr>
          <w:lang w:val="ro-RO"/>
        </w:rPr>
        <w:t xml:space="preserve"> cu privire la funcționarea sistemului de refrigerare, inclusiv, </w:t>
      </w:r>
      <w:r w:rsidR="008933E2" w:rsidRPr="00857CDA">
        <w:rPr>
          <w:lang w:val="ro-RO"/>
        </w:rPr>
        <w:t>dacă este cazul</w:t>
      </w:r>
      <w:r w:rsidRPr="00857CDA">
        <w:rPr>
          <w:lang w:val="ro-RO"/>
        </w:rPr>
        <w:t xml:space="preserve">, o listă a furnizorilor de agenți </w:t>
      </w:r>
      <w:r w:rsidR="008933E2" w:rsidRPr="00857CDA">
        <w:rPr>
          <w:lang w:val="ro-RO"/>
        </w:rPr>
        <w:t>f</w:t>
      </w:r>
      <w:r w:rsidRPr="00857CDA">
        <w:rPr>
          <w:lang w:val="ro-RO"/>
        </w:rPr>
        <w:t>rig</w:t>
      </w:r>
      <w:r w:rsidR="008933E2" w:rsidRPr="00857CDA">
        <w:rPr>
          <w:lang w:val="ro-RO"/>
        </w:rPr>
        <w:t xml:space="preserve">orifici </w:t>
      </w:r>
      <w:r w:rsidRPr="00857CDA">
        <w:rPr>
          <w:lang w:val="ro-RO"/>
        </w:rPr>
        <w:t>disponibili pe traseu;</w:t>
      </w:r>
    </w:p>
    <w:p w:rsidR="008933E2" w:rsidRPr="00857CDA" w:rsidRDefault="00445671" w:rsidP="008933E2">
      <w:pPr>
        <w:pStyle w:val="SingleTxtG"/>
        <w:ind w:left="2127" w:hanging="426"/>
        <w:rPr>
          <w:lang w:val="ro-RO"/>
        </w:rPr>
      </w:pPr>
      <w:r>
        <w:rPr>
          <w:lang w:val="ro-RO"/>
        </w:rPr>
        <w:t>(</w:t>
      </w:r>
      <w:r w:rsidR="00397A69" w:rsidRPr="00857CDA">
        <w:rPr>
          <w:lang w:val="ro-RO"/>
        </w:rPr>
        <w:t xml:space="preserve">c) </w:t>
      </w:r>
      <w:r w:rsidR="008933E2" w:rsidRPr="00857CDA">
        <w:rPr>
          <w:lang w:val="ro-RO"/>
        </w:rPr>
        <w:tab/>
      </w:r>
      <w:r w:rsidR="00397A69" w:rsidRPr="00857CDA">
        <w:rPr>
          <w:lang w:val="ro-RO"/>
        </w:rPr>
        <w:t xml:space="preserve">procedurile de urmat în cazul unei </w:t>
      </w:r>
      <w:r w:rsidR="008933E2" w:rsidRPr="00857CDA">
        <w:rPr>
          <w:lang w:val="ro-RO"/>
        </w:rPr>
        <w:t>defecțiuni a</w:t>
      </w:r>
      <w:r w:rsidR="00397A69" w:rsidRPr="00857CDA">
        <w:rPr>
          <w:lang w:val="ro-RO"/>
        </w:rPr>
        <w:t xml:space="preserve"> regl</w:t>
      </w:r>
      <w:r w:rsidR="008933E2" w:rsidRPr="00857CDA">
        <w:rPr>
          <w:lang w:val="ro-RO"/>
        </w:rPr>
        <w:t>ării temperaturii</w:t>
      </w:r>
      <w:r w:rsidR="00397A69" w:rsidRPr="00857CDA">
        <w:rPr>
          <w:lang w:val="ro-RO"/>
        </w:rPr>
        <w:t>;</w:t>
      </w:r>
    </w:p>
    <w:p w:rsidR="008933E2" w:rsidRPr="00857CDA" w:rsidRDefault="00397A69" w:rsidP="008933E2">
      <w:pPr>
        <w:pStyle w:val="SingleTxtG"/>
        <w:ind w:left="2127" w:hanging="426"/>
        <w:rPr>
          <w:lang w:val="ro-RO"/>
        </w:rPr>
      </w:pPr>
      <w:r w:rsidRPr="00857CDA">
        <w:rPr>
          <w:lang w:val="ro-RO"/>
        </w:rPr>
        <w:t xml:space="preserve">(d) </w:t>
      </w:r>
      <w:r w:rsidR="008933E2" w:rsidRPr="00857CDA">
        <w:rPr>
          <w:lang w:val="ro-RO"/>
        </w:rPr>
        <w:tab/>
        <w:t xml:space="preserve">o </w:t>
      </w:r>
      <w:r w:rsidRPr="00857CDA">
        <w:rPr>
          <w:lang w:val="ro-RO"/>
        </w:rPr>
        <w:t>monitorizare</w:t>
      </w:r>
      <w:r w:rsidR="008933E2" w:rsidRPr="00857CDA">
        <w:rPr>
          <w:lang w:val="ro-RO"/>
        </w:rPr>
        <w:t xml:space="preserve"> regulat a</w:t>
      </w:r>
      <w:r w:rsidRPr="00857CDA">
        <w:rPr>
          <w:lang w:val="ro-RO"/>
        </w:rPr>
        <w:t xml:space="preserve"> temperaturi</w:t>
      </w:r>
      <w:r w:rsidR="008933E2" w:rsidRPr="00857CDA">
        <w:rPr>
          <w:lang w:val="ro-RO"/>
        </w:rPr>
        <w:t>i</w:t>
      </w:r>
      <w:r w:rsidRPr="00857CDA">
        <w:rPr>
          <w:lang w:val="ro-RO"/>
        </w:rPr>
        <w:t xml:space="preserve"> de funcționare; și</w:t>
      </w:r>
    </w:p>
    <w:p w:rsidR="008933E2" w:rsidRPr="00857CDA" w:rsidRDefault="00445671" w:rsidP="008933E2">
      <w:pPr>
        <w:pStyle w:val="SingleTxtG"/>
        <w:ind w:left="2127" w:hanging="426"/>
        <w:rPr>
          <w:lang w:val="ro-RO"/>
        </w:rPr>
      </w:pPr>
      <w:r>
        <w:rPr>
          <w:lang w:val="ro-RO"/>
        </w:rPr>
        <w:t>(</w:t>
      </w:r>
      <w:r w:rsidR="00397A69" w:rsidRPr="00857CDA">
        <w:rPr>
          <w:lang w:val="ro-RO"/>
        </w:rPr>
        <w:t xml:space="preserve">e) </w:t>
      </w:r>
      <w:r w:rsidR="008933E2" w:rsidRPr="00857CDA">
        <w:rPr>
          <w:lang w:val="ro-RO"/>
        </w:rPr>
        <w:tab/>
        <w:t>o f</w:t>
      </w:r>
      <w:r w:rsidR="00397A69" w:rsidRPr="00857CDA">
        <w:rPr>
          <w:lang w:val="ro-RO"/>
        </w:rPr>
        <w:t>urnizare</w:t>
      </w:r>
      <w:r w:rsidR="008933E2" w:rsidRPr="00857CDA">
        <w:rPr>
          <w:lang w:val="ro-RO"/>
        </w:rPr>
        <w:t xml:space="preserve"> </w:t>
      </w:r>
      <w:r w:rsidR="00397A69" w:rsidRPr="00857CDA">
        <w:rPr>
          <w:lang w:val="ro-RO"/>
        </w:rPr>
        <w:t>a unui sistem de refrigerare de urgență sau a pieselor de schimb.</w:t>
      </w:r>
    </w:p>
    <w:p w:rsidR="00A5193B" w:rsidRPr="00857CDA" w:rsidRDefault="00B57E96" w:rsidP="004A1028">
      <w:pPr>
        <w:pStyle w:val="SingleTxtG"/>
        <w:rPr>
          <w:lang w:val="ro-RO"/>
        </w:rPr>
      </w:pPr>
      <w:r w:rsidRPr="00857CDA">
        <w:rPr>
          <w:lang w:val="ro-RO"/>
        </w:rPr>
        <w:t>7.1.7.4.2</w:t>
      </w:r>
      <w:r w:rsidR="00A5193B" w:rsidRPr="00857CDA">
        <w:rPr>
          <w:lang w:val="ro-RO"/>
        </w:rPr>
        <w:tab/>
      </w:r>
      <w:r w:rsidR="004A1028" w:rsidRPr="00857CDA">
        <w:rPr>
          <w:lang w:val="ro-RO"/>
        </w:rPr>
        <w:t>Toate dispozitivele de control și senzorii de temperatură din sistemul de refrigerare trebuie să fie ușor accesibili(e), iar conexiunile electrice trebuie să fie protejate toate de intemperii. Temperatura spațiului de aer din interiorul mijlocului de transport trebuie măsurată de doi senzori independenți, iar datele trebuie înregistrate astfel încât orice modificare a temperaturii să fie ușor de identificat. Temperatura trebuie controlată la intervale de patru până la șase ore și înregistrată. Atunci când se transportă substanțe cu o temperatură de reglare mai mică de + 25 °C, mijlocul de transport trebuie să fie echipat cu dispozitive de alarmă optice și sonore, furnizate independent de sistemul de refrigerare, reglate să funcționeze la o temperatură egală sau mai mică decât temperatura de reglare</w:t>
      </w:r>
      <w:r w:rsidR="00A5193B" w:rsidRPr="00857CDA">
        <w:rPr>
          <w:lang w:val="ro-RO"/>
        </w:rPr>
        <w:t>.</w:t>
      </w:r>
    </w:p>
    <w:p w:rsidR="00FE0B79" w:rsidRPr="00857CDA" w:rsidRDefault="00B57E96" w:rsidP="002A4B9C">
      <w:pPr>
        <w:pStyle w:val="SingleTxtG"/>
        <w:rPr>
          <w:lang w:val="ro-RO"/>
        </w:rPr>
      </w:pPr>
      <w:r w:rsidRPr="00857CDA">
        <w:rPr>
          <w:lang w:val="ro-RO"/>
        </w:rPr>
        <w:t>7.1.7.4.3</w:t>
      </w:r>
      <w:r w:rsidR="00A5193B" w:rsidRPr="00857CDA">
        <w:rPr>
          <w:lang w:val="ro-RO"/>
        </w:rPr>
        <w:tab/>
      </w:r>
      <w:r w:rsidR="00FE0B79" w:rsidRPr="00857CDA">
        <w:rPr>
          <w:lang w:val="ro-RO"/>
        </w:rPr>
        <w:t xml:space="preserve">Dacă temperatura de reglare este depășită în timpul transportului, trebuie să se declanșeze procedura de alertă, inclusiv o eventuală reparare a dispozitivului frigorific sau se crește capacitatea de răcire (de exemplu, prin adăugarea de </w:t>
      </w:r>
      <w:r w:rsidR="00EA5E6D" w:rsidRPr="00857CDA">
        <w:rPr>
          <w:lang w:val="ro-RO"/>
        </w:rPr>
        <w:t>refrigerenți</w:t>
      </w:r>
      <w:r w:rsidR="00FE0B79" w:rsidRPr="00857CDA">
        <w:rPr>
          <w:lang w:val="ro-RO"/>
        </w:rPr>
        <w:t xml:space="preserve"> lichizi sau solizi). În plus, temperatura trebuie </w:t>
      </w:r>
      <w:r w:rsidR="00FB399E" w:rsidRPr="00857CDA">
        <w:rPr>
          <w:lang w:val="ro-RO"/>
        </w:rPr>
        <w:t>controlată</w:t>
      </w:r>
      <w:r w:rsidR="00FE0B79" w:rsidRPr="00857CDA">
        <w:rPr>
          <w:lang w:val="ro-RO"/>
        </w:rPr>
        <w:t xml:space="preserve"> frecvent și </w:t>
      </w:r>
      <w:r w:rsidR="00FB399E" w:rsidRPr="00857CDA">
        <w:rPr>
          <w:lang w:val="ro-RO"/>
        </w:rPr>
        <w:t xml:space="preserve">trebuie </w:t>
      </w:r>
      <w:r w:rsidR="00FE0B79" w:rsidRPr="00857CDA">
        <w:rPr>
          <w:lang w:val="ro-RO"/>
        </w:rPr>
        <w:t>pregătită</w:t>
      </w:r>
      <w:r w:rsidR="00FB399E" w:rsidRPr="00857CDA">
        <w:rPr>
          <w:lang w:val="ro-RO"/>
        </w:rPr>
        <w:t xml:space="preserve"> întreprinderea de</w:t>
      </w:r>
      <w:r w:rsidR="00FE0B79" w:rsidRPr="00857CDA">
        <w:rPr>
          <w:lang w:val="ro-RO"/>
        </w:rPr>
        <w:t xml:space="preserve"> </w:t>
      </w:r>
      <w:r w:rsidR="00FE0B79" w:rsidRPr="00857CDA">
        <w:rPr>
          <w:lang w:val="ro-RO"/>
        </w:rPr>
        <w:lastRenderedPageBreak/>
        <w:t xml:space="preserve">măsuri de urgență. Dacă se atinge temperatura critică, trebuie </w:t>
      </w:r>
      <w:r w:rsidR="00FB399E" w:rsidRPr="00857CDA">
        <w:rPr>
          <w:lang w:val="ro-RO"/>
        </w:rPr>
        <w:t xml:space="preserve">întreprinse </w:t>
      </w:r>
      <w:r w:rsidR="00FE0B79" w:rsidRPr="00857CDA">
        <w:rPr>
          <w:lang w:val="ro-RO"/>
        </w:rPr>
        <w:t>măsurile de urgență.</w:t>
      </w:r>
    </w:p>
    <w:p w:rsidR="00A5193B" w:rsidRPr="00857CDA" w:rsidRDefault="00B57E96" w:rsidP="002A4B9C">
      <w:pPr>
        <w:pStyle w:val="SingleTxtG"/>
        <w:rPr>
          <w:lang w:val="ro-RO"/>
        </w:rPr>
      </w:pPr>
      <w:r w:rsidRPr="00857CDA">
        <w:rPr>
          <w:lang w:val="ro-RO"/>
        </w:rPr>
        <w:t>7.1.7.4.4</w:t>
      </w:r>
      <w:r w:rsidR="00A5193B" w:rsidRPr="00857CDA">
        <w:rPr>
          <w:lang w:val="ro-RO"/>
        </w:rPr>
        <w:tab/>
      </w:r>
      <w:r w:rsidR="00D25BC4" w:rsidRPr="00857CDA">
        <w:rPr>
          <w:lang w:val="ro-RO"/>
        </w:rPr>
        <w:t>Mijloacele de reglare a temperaturii alese pentru transport depind de anume număr de factori, cum ar fi</w:t>
      </w:r>
      <w:r w:rsidR="00A5193B" w:rsidRPr="00857CDA">
        <w:rPr>
          <w:lang w:val="ro-RO"/>
        </w:rPr>
        <w:t xml:space="preserve">: </w:t>
      </w:r>
    </w:p>
    <w:p w:rsidR="00A5193B" w:rsidRPr="00857CDA" w:rsidRDefault="00A5193B" w:rsidP="00D25BC4">
      <w:pPr>
        <w:pStyle w:val="SingleTxtG"/>
        <w:ind w:left="2268"/>
        <w:rPr>
          <w:lang w:val="ro-RO"/>
        </w:rPr>
      </w:pPr>
      <w:r w:rsidRPr="00857CDA">
        <w:rPr>
          <w:lang w:val="ro-RO"/>
        </w:rPr>
        <w:t>a)</w:t>
      </w:r>
      <w:r w:rsidRPr="00857CDA">
        <w:rPr>
          <w:lang w:val="ro-RO"/>
        </w:rPr>
        <w:tab/>
      </w:r>
      <w:r w:rsidR="00D25BC4" w:rsidRPr="00857CDA">
        <w:rPr>
          <w:lang w:val="ro-RO"/>
        </w:rPr>
        <w:t>temperatura sau temperaturile de reglarea ale substanței sau substanțelor de transportat</w:t>
      </w:r>
      <w:r w:rsidRPr="00857CDA">
        <w:rPr>
          <w:lang w:val="ro-RO"/>
        </w:rPr>
        <w:t>;</w:t>
      </w:r>
    </w:p>
    <w:p w:rsidR="00A5193B" w:rsidRPr="00857CDA" w:rsidRDefault="00A5193B" w:rsidP="00D25BC4">
      <w:pPr>
        <w:pStyle w:val="SingleTxtG"/>
        <w:ind w:left="2268"/>
        <w:rPr>
          <w:lang w:val="ro-RO"/>
        </w:rPr>
      </w:pPr>
      <w:r w:rsidRPr="00857CDA">
        <w:rPr>
          <w:lang w:val="ro-RO"/>
        </w:rPr>
        <w:t>b)</w:t>
      </w:r>
      <w:r w:rsidRPr="00857CDA">
        <w:rPr>
          <w:lang w:val="ro-RO"/>
        </w:rPr>
        <w:tab/>
      </w:r>
      <w:r w:rsidR="00D25BC4" w:rsidRPr="00857CDA">
        <w:rPr>
          <w:lang w:val="ro-RO"/>
        </w:rPr>
        <w:t>diferența dintre temperatura de reglare și temperaturile ambiante prevăzute</w:t>
      </w:r>
      <w:r w:rsidRPr="00857CDA">
        <w:rPr>
          <w:lang w:val="ro-RO"/>
        </w:rPr>
        <w:t>;</w:t>
      </w:r>
    </w:p>
    <w:p w:rsidR="00A5193B" w:rsidRPr="00857CDA" w:rsidRDefault="00A5193B" w:rsidP="00A5193B">
      <w:pPr>
        <w:pStyle w:val="SingleTxtG"/>
        <w:ind w:left="2268"/>
        <w:rPr>
          <w:lang w:val="ro-RO"/>
        </w:rPr>
      </w:pPr>
      <w:r w:rsidRPr="00857CDA">
        <w:rPr>
          <w:lang w:val="ro-RO"/>
        </w:rPr>
        <w:t>c)</w:t>
      </w:r>
      <w:r w:rsidRPr="00857CDA">
        <w:rPr>
          <w:lang w:val="ro-RO"/>
        </w:rPr>
        <w:tab/>
      </w:r>
      <w:r w:rsidR="00D25BC4" w:rsidRPr="00857CDA">
        <w:rPr>
          <w:lang w:val="ro-RO"/>
        </w:rPr>
        <w:t>eficiența izolației termice</w:t>
      </w:r>
      <w:r w:rsidRPr="00857CDA">
        <w:rPr>
          <w:lang w:val="ro-RO"/>
        </w:rPr>
        <w:t>;</w:t>
      </w:r>
    </w:p>
    <w:p w:rsidR="00A5193B" w:rsidRPr="00857CDA" w:rsidRDefault="00A5193B" w:rsidP="00A5193B">
      <w:pPr>
        <w:pStyle w:val="SingleTxtG"/>
        <w:ind w:left="2268"/>
        <w:rPr>
          <w:lang w:val="ro-RO"/>
        </w:rPr>
      </w:pPr>
      <w:r w:rsidRPr="00857CDA">
        <w:rPr>
          <w:lang w:val="ro-RO"/>
        </w:rPr>
        <w:t>d)</w:t>
      </w:r>
      <w:r w:rsidRPr="00857CDA">
        <w:rPr>
          <w:lang w:val="ro-RO"/>
        </w:rPr>
        <w:tab/>
      </w:r>
      <w:r w:rsidR="00D25BC4" w:rsidRPr="00857CDA">
        <w:rPr>
          <w:lang w:val="ro-RO"/>
        </w:rPr>
        <w:t>durata transportului</w:t>
      </w:r>
      <w:r w:rsidRPr="00857CDA">
        <w:rPr>
          <w:lang w:val="ro-RO"/>
        </w:rPr>
        <w:t>;</w:t>
      </w:r>
      <w:r w:rsidR="00765AC9" w:rsidRPr="00857CDA">
        <w:rPr>
          <w:lang w:val="ro-RO"/>
        </w:rPr>
        <w:t xml:space="preserve"> </w:t>
      </w:r>
      <w:r w:rsidR="00D25BC4" w:rsidRPr="00857CDA">
        <w:rPr>
          <w:lang w:val="ro-RO"/>
        </w:rPr>
        <w:t>și</w:t>
      </w:r>
    </w:p>
    <w:p w:rsidR="00A5193B" w:rsidRPr="00857CDA" w:rsidRDefault="00A5193B" w:rsidP="00A5193B">
      <w:pPr>
        <w:pStyle w:val="SingleTxtG"/>
        <w:ind w:left="2268"/>
        <w:rPr>
          <w:lang w:val="ro-RO"/>
        </w:rPr>
      </w:pPr>
      <w:r w:rsidRPr="00857CDA">
        <w:rPr>
          <w:lang w:val="ro-RO"/>
        </w:rPr>
        <w:t>e)</w:t>
      </w:r>
      <w:r w:rsidRPr="00857CDA">
        <w:rPr>
          <w:lang w:val="ro-RO"/>
        </w:rPr>
        <w:tab/>
      </w:r>
      <w:r w:rsidR="00D25BC4" w:rsidRPr="00857CDA">
        <w:rPr>
          <w:lang w:val="ro-RO"/>
        </w:rPr>
        <w:t>marja de siguranță prevăzută pentru întârzierile pe parcursul transportului</w:t>
      </w:r>
      <w:r w:rsidRPr="00857CDA">
        <w:rPr>
          <w:lang w:val="ro-RO"/>
        </w:rPr>
        <w:t>.</w:t>
      </w:r>
    </w:p>
    <w:p w:rsidR="00A5193B" w:rsidRPr="00857CDA" w:rsidRDefault="00B57E96" w:rsidP="002A4B9C">
      <w:pPr>
        <w:pStyle w:val="SingleTxtG"/>
        <w:rPr>
          <w:lang w:val="ro-RO"/>
        </w:rPr>
      </w:pPr>
      <w:r w:rsidRPr="00857CDA">
        <w:rPr>
          <w:lang w:val="ro-RO"/>
        </w:rPr>
        <w:t>7.1.7.4.5</w:t>
      </w:r>
      <w:r w:rsidR="00A5193B" w:rsidRPr="00857CDA">
        <w:rPr>
          <w:lang w:val="ro-RO"/>
        </w:rPr>
        <w:tab/>
      </w:r>
      <w:r w:rsidR="00D25BC4" w:rsidRPr="00857CDA">
        <w:rPr>
          <w:lang w:val="ro-RO"/>
        </w:rPr>
        <w:t>Metodele adecvate pentru împiedicarea depășirii temperaturii de reglare sunt enumerate mai jos, în ordinea crescândă a eficienței</w:t>
      </w:r>
      <w:r w:rsidR="00765AC9" w:rsidRPr="00857CDA">
        <w:rPr>
          <w:lang w:val="ro-RO"/>
        </w:rPr>
        <w:t>:</w:t>
      </w:r>
    </w:p>
    <w:p w:rsidR="00A5193B" w:rsidRPr="00857CDA" w:rsidRDefault="00A5193B" w:rsidP="00A5193B">
      <w:pPr>
        <w:pStyle w:val="SingleTxtG"/>
        <w:ind w:left="2268"/>
        <w:rPr>
          <w:lang w:val="ro-RO"/>
        </w:rPr>
      </w:pPr>
      <w:r w:rsidRPr="00857CDA">
        <w:rPr>
          <w:lang w:val="ro-RO"/>
        </w:rPr>
        <w:t>a)</w:t>
      </w:r>
      <w:r w:rsidRPr="00857CDA">
        <w:rPr>
          <w:lang w:val="ro-RO"/>
        </w:rPr>
        <w:tab/>
      </w:r>
      <w:r w:rsidR="00D25BC4" w:rsidRPr="00857CDA">
        <w:rPr>
          <w:lang w:val="ro-RO"/>
        </w:rPr>
        <w:t>Izolare termică, cu condiția ca temperatura inițială a substanței sau substanțelor să fie suficient de scăzută față de temperatura de reglare</w:t>
      </w:r>
      <w:r w:rsidRPr="00857CDA">
        <w:rPr>
          <w:lang w:val="ro-RO"/>
        </w:rPr>
        <w:t>;</w:t>
      </w:r>
    </w:p>
    <w:p w:rsidR="00A5193B" w:rsidRPr="00857CDA" w:rsidRDefault="00A5193B" w:rsidP="00A5193B">
      <w:pPr>
        <w:pStyle w:val="SingleTxtG"/>
        <w:ind w:left="2268"/>
        <w:rPr>
          <w:lang w:val="ro-RO"/>
        </w:rPr>
      </w:pPr>
      <w:r w:rsidRPr="00857CDA">
        <w:rPr>
          <w:lang w:val="ro-RO"/>
        </w:rPr>
        <w:t>b)</w:t>
      </w:r>
      <w:r w:rsidRPr="00857CDA">
        <w:rPr>
          <w:lang w:val="ro-RO"/>
        </w:rPr>
        <w:tab/>
      </w:r>
      <w:r w:rsidR="00D25BC4" w:rsidRPr="00857CDA">
        <w:rPr>
          <w:lang w:val="ro-RO"/>
        </w:rPr>
        <w:t>Izolare termică și sistem de răcire, cu condiția ca</w:t>
      </w:r>
      <w:r w:rsidR="00765AC9" w:rsidRPr="00857CDA">
        <w:rPr>
          <w:lang w:val="ro-RO"/>
        </w:rPr>
        <w:t>:</w:t>
      </w:r>
      <w:r w:rsidRPr="00857CDA">
        <w:rPr>
          <w:lang w:val="ro-RO"/>
        </w:rPr>
        <w:t xml:space="preserve"> </w:t>
      </w:r>
    </w:p>
    <w:p w:rsidR="00A5193B" w:rsidRPr="00857CDA" w:rsidRDefault="00A5193B" w:rsidP="00D25BC4">
      <w:pPr>
        <w:pStyle w:val="SingleTxtG"/>
        <w:ind w:left="2835"/>
        <w:rPr>
          <w:lang w:val="ro-RO"/>
        </w:rPr>
      </w:pPr>
      <w:r w:rsidRPr="00857CDA">
        <w:rPr>
          <w:lang w:val="ro-RO"/>
        </w:rPr>
        <w:t>i)</w:t>
      </w:r>
      <w:r w:rsidRPr="00857CDA">
        <w:rPr>
          <w:lang w:val="ro-RO"/>
        </w:rPr>
        <w:tab/>
      </w:r>
      <w:r w:rsidR="00D25BC4" w:rsidRPr="00857CDA">
        <w:rPr>
          <w:lang w:val="ro-RO"/>
        </w:rPr>
        <w:t>o cantitate suficientă de refrigerent neinflamabil (de exemplu, azot lichid sau zăpadă carbonică), inclusiv o marjă suficientă pentru eventualele întârzieri, să fie transportată, cu excepția cazului în care este asigurată cel puțin o modalitate de aprovizionare</w:t>
      </w:r>
      <w:r w:rsidRPr="00857CDA">
        <w:rPr>
          <w:lang w:val="ro-RO"/>
        </w:rPr>
        <w:t>;</w:t>
      </w:r>
    </w:p>
    <w:p w:rsidR="00A5193B" w:rsidRPr="00857CDA" w:rsidRDefault="00A5193B" w:rsidP="00A5193B">
      <w:pPr>
        <w:pStyle w:val="SingleTxtG"/>
        <w:ind w:left="2835"/>
        <w:rPr>
          <w:lang w:val="ro-RO"/>
        </w:rPr>
      </w:pPr>
      <w:r w:rsidRPr="00857CDA">
        <w:rPr>
          <w:lang w:val="ro-RO"/>
        </w:rPr>
        <w:t>ii)</w:t>
      </w:r>
      <w:r w:rsidRPr="00857CDA">
        <w:rPr>
          <w:lang w:val="ro-RO"/>
        </w:rPr>
        <w:tab/>
      </w:r>
      <w:r w:rsidR="00D25BC4" w:rsidRPr="00857CDA">
        <w:rPr>
          <w:lang w:val="ro-RO"/>
        </w:rPr>
        <w:t>nici oxigenul lichid și nici aerul să nu fie utilizați ca și refrigerenți</w:t>
      </w:r>
      <w:r w:rsidR="00765AC9" w:rsidRPr="00857CDA">
        <w:rPr>
          <w:lang w:val="ro-RO"/>
        </w:rPr>
        <w:t>;</w:t>
      </w:r>
    </w:p>
    <w:p w:rsidR="00A5193B" w:rsidRPr="00857CDA" w:rsidRDefault="00A5193B" w:rsidP="00A5193B">
      <w:pPr>
        <w:pStyle w:val="SingleTxtG"/>
        <w:ind w:left="2835"/>
        <w:rPr>
          <w:lang w:val="ro-RO"/>
        </w:rPr>
      </w:pPr>
      <w:r w:rsidRPr="00857CDA">
        <w:rPr>
          <w:lang w:val="ro-RO"/>
        </w:rPr>
        <w:t>iii)</w:t>
      </w:r>
      <w:r w:rsidRPr="00857CDA">
        <w:rPr>
          <w:lang w:val="ro-RO"/>
        </w:rPr>
        <w:tab/>
      </w:r>
      <w:r w:rsidR="00EA5E6D" w:rsidRPr="00857CDA">
        <w:rPr>
          <w:lang w:val="ro-RO"/>
        </w:rPr>
        <w:t>sistemul de răcire să aibă un efect uniform, chiar atunci când majoritatea refrigerentului s-a epuizat</w:t>
      </w:r>
      <w:r w:rsidR="00765AC9" w:rsidRPr="00857CDA">
        <w:rPr>
          <w:lang w:val="ro-RO"/>
        </w:rPr>
        <w:t xml:space="preserve">; </w:t>
      </w:r>
      <w:r w:rsidR="00EA5E6D" w:rsidRPr="00857CDA">
        <w:rPr>
          <w:lang w:val="ro-RO"/>
        </w:rPr>
        <w:t>și</w:t>
      </w:r>
    </w:p>
    <w:p w:rsidR="00A5193B" w:rsidRPr="00857CDA" w:rsidRDefault="00A5193B" w:rsidP="00EA5E6D">
      <w:pPr>
        <w:pStyle w:val="SingleTxtG"/>
        <w:ind w:left="2835"/>
        <w:rPr>
          <w:lang w:val="ro-RO"/>
        </w:rPr>
      </w:pPr>
      <w:r w:rsidRPr="00857CDA">
        <w:rPr>
          <w:lang w:val="ro-RO"/>
        </w:rPr>
        <w:t>iv)</w:t>
      </w:r>
      <w:r w:rsidRPr="00857CDA">
        <w:rPr>
          <w:lang w:val="ro-RO"/>
        </w:rPr>
        <w:tab/>
      </w:r>
      <w:r w:rsidR="00EA5E6D" w:rsidRPr="00857CDA">
        <w:rPr>
          <w:lang w:val="ro-RO"/>
        </w:rPr>
        <w:t>necesitatea de ventilare a unității de transport înainte de a intra în interiorul său să fie clar indicată printr-o avertizare aplicată pe ușa (ușile) mijlocului de transport</w:t>
      </w:r>
      <w:r w:rsidRPr="00857CDA">
        <w:rPr>
          <w:lang w:val="ro-RO"/>
        </w:rPr>
        <w:t>;</w:t>
      </w:r>
    </w:p>
    <w:p w:rsidR="00A5193B" w:rsidRPr="00857CDA" w:rsidRDefault="00A5193B" w:rsidP="00D82389">
      <w:pPr>
        <w:pStyle w:val="SingleTxtG"/>
        <w:ind w:left="2268"/>
        <w:rPr>
          <w:lang w:val="ro-RO"/>
        </w:rPr>
      </w:pPr>
      <w:r w:rsidRPr="00857CDA">
        <w:rPr>
          <w:lang w:val="ro-RO"/>
        </w:rPr>
        <w:t>c)</w:t>
      </w:r>
      <w:r w:rsidRPr="00857CDA">
        <w:rPr>
          <w:lang w:val="ro-RO"/>
        </w:rPr>
        <w:tab/>
      </w:r>
      <w:r w:rsidR="00D82389" w:rsidRPr="00857CDA">
        <w:rPr>
          <w:lang w:val="ro-RO"/>
        </w:rPr>
        <w:t xml:space="preserve">Izolare termică a unității și refrigerare mecanică simplă, cu condiția ca pentru substanțele cu punct de aprindere mai mic decât temperatura critică mărită cu 5 °C, să fie utilizate racorduri electrice de protecție împotriva exploziei, </w:t>
      </w:r>
      <w:r w:rsidR="00D82389" w:rsidRPr="00857CDA">
        <w:rPr>
          <w:b/>
          <w:lang w:val="ro-RO"/>
        </w:rPr>
        <w:t>EEx IIB T3</w:t>
      </w:r>
      <w:r w:rsidR="00D82389" w:rsidRPr="00857CDA">
        <w:rPr>
          <w:lang w:val="ro-RO"/>
        </w:rPr>
        <w:t>, în compartimentul de refrigerare, pentru a se evita riscul de aprindere a vaporilor degajați de substanțe</w:t>
      </w:r>
      <w:r w:rsidRPr="00857CDA">
        <w:rPr>
          <w:lang w:val="ro-RO"/>
        </w:rPr>
        <w:t xml:space="preserve">; </w:t>
      </w:r>
    </w:p>
    <w:p w:rsidR="00A5193B" w:rsidRPr="00857CDA" w:rsidRDefault="00A5193B" w:rsidP="00A5193B">
      <w:pPr>
        <w:pStyle w:val="SingleTxtG"/>
        <w:ind w:left="2268"/>
        <w:rPr>
          <w:lang w:val="ro-RO"/>
        </w:rPr>
      </w:pPr>
      <w:r w:rsidRPr="00857CDA">
        <w:rPr>
          <w:lang w:val="ro-RO"/>
        </w:rPr>
        <w:t>d)</w:t>
      </w:r>
      <w:r w:rsidRPr="00857CDA">
        <w:rPr>
          <w:lang w:val="ro-RO"/>
        </w:rPr>
        <w:tab/>
      </w:r>
      <w:r w:rsidR="00D82389" w:rsidRPr="00857CDA">
        <w:rPr>
          <w:lang w:val="ro-RO"/>
        </w:rPr>
        <w:t>Izolare termică și sistem de refrigerare mecanică combinat cu un sistem de răcire, cu condiția ca</w:t>
      </w:r>
      <w:r w:rsidR="00C936FB" w:rsidRPr="00857CDA">
        <w:rPr>
          <w:lang w:val="ro-RO"/>
        </w:rPr>
        <w:t>:</w:t>
      </w:r>
      <w:r w:rsidRPr="00857CDA">
        <w:rPr>
          <w:lang w:val="ro-RO"/>
        </w:rPr>
        <w:t xml:space="preserve"> </w:t>
      </w:r>
    </w:p>
    <w:p w:rsidR="00A5193B" w:rsidRPr="00857CDA" w:rsidRDefault="00A5193B" w:rsidP="00A5193B">
      <w:pPr>
        <w:pStyle w:val="SingleTxtG"/>
        <w:ind w:left="2835"/>
        <w:rPr>
          <w:lang w:val="ro-RO"/>
        </w:rPr>
      </w:pPr>
      <w:r w:rsidRPr="00857CDA">
        <w:rPr>
          <w:lang w:val="ro-RO"/>
        </w:rPr>
        <w:t>i)</w:t>
      </w:r>
      <w:r w:rsidRPr="00857CDA">
        <w:rPr>
          <w:lang w:val="ro-RO"/>
        </w:rPr>
        <w:tab/>
      </w:r>
      <w:r w:rsidR="00D82389" w:rsidRPr="00857CDA">
        <w:rPr>
          <w:lang w:val="ro-RO"/>
        </w:rPr>
        <w:t>cele două sisteme să fie independente unul față de celălalt</w:t>
      </w:r>
      <w:r w:rsidR="00C936FB" w:rsidRPr="00857CDA">
        <w:rPr>
          <w:lang w:val="ro-RO"/>
        </w:rPr>
        <w:t xml:space="preserve">; </w:t>
      </w:r>
      <w:r w:rsidR="00D82389" w:rsidRPr="00857CDA">
        <w:rPr>
          <w:lang w:val="ro-RO"/>
        </w:rPr>
        <w:t>și</w:t>
      </w:r>
    </w:p>
    <w:p w:rsidR="00A5193B" w:rsidRPr="00857CDA" w:rsidRDefault="00A5193B" w:rsidP="00A5193B">
      <w:pPr>
        <w:pStyle w:val="SingleTxtG"/>
        <w:ind w:left="2835"/>
        <w:rPr>
          <w:lang w:val="ro-RO"/>
        </w:rPr>
      </w:pPr>
      <w:r w:rsidRPr="00857CDA">
        <w:rPr>
          <w:lang w:val="ro-RO"/>
        </w:rPr>
        <w:t>ii)</w:t>
      </w:r>
      <w:r w:rsidRPr="00857CDA">
        <w:rPr>
          <w:lang w:val="ro-RO"/>
        </w:rPr>
        <w:tab/>
      </w:r>
      <w:r w:rsidR="00D82389" w:rsidRPr="00857CDA">
        <w:rPr>
          <w:lang w:val="ro-RO"/>
        </w:rPr>
        <w:t>prescripțiile alineatelor b) și c) de mai sus, să fie îndeplinite</w:t>
      </w:r>
      <w:r w:rsidRPr="00857CDA">
        <w:rPr>
          <w:lang w:val="ro-RO"/>
        </w:rPr>
        <w:t>;</w:t>
      </w:r>
    </w:p>
    <w:p w:rsidR="00A5193B" w:rsidRPr="00857CDA" w:rsidRDefault="00A5193B" w:rsidP="00A5193B">
      <w:pPr>
        <w:pStyle w:val="SingleTxtG"/>
        <w:ind w:left="2268"/>
        <w:rPr>
          <w:lang w:val="ro-RO"/>
        </w:rPr>
      </w:pPr>
      <w:r w:rsidRPr="00857CDA">
        <w:rPr>
          <w:lang w:val="ro-RO"/>
        </w:rPr>
        <w:t>e)</w:t>
      </w:r>
      <w:r w:rsidRPr="00857CDA">
        <w:rPr>
          <w:lang w:val="ro-RO"/>
        </w:rPr>
        <w:tab/>
      </w:r>
      <w:r w:rsidR="00D82389" w:rsidRPr="00857CDA">
        <w:rPr>
          <w:lang w:val="ro-RO"/>
        </w:rPr>
        <w:t>Izolare termică și sistem de refrigerare mecanică dublu, cu condiția ca</w:t>
      </w:r>
      <w:r w:rsidR="00C936FB" w:rsidRPr="00857CDA">
        <w:rPr>
          <w:lang w:val="ro-RO"/>
        </w:rPr>
        <w:t>:</w:t>
      </w:r>
      <w:r w:rsidRPr="00857CDA">
        <w:rPr>
          <w:lang w:val="ro-RO"/>
        </w:rPr>
        <w:t xml:space="preserve"> </w:t>
      </w:r>
    </w:p>
    <w:p w:rsidR="00A5193B" w:rsidRPr="00857CDA" w:rsidRDefault="00A5193B" w:rsidP="00A5193B">
      <w:pPr>
        <w:pStyle w:val="SingleTxtG"/>
        <w:ind w:left="2835"/>
        <w:rPr>
          <w:lang w:val="ro-RO"/>
        </w:rPr>
      </w:pPr>
      <w:r w:rsidRPr="00857CDA">
        <w:rPr>
          <w:lang w:val="ro-RO"/>
        </w:rPr>
        <w:t>i)</w:t>
      </w:r>
      <w:r w:rsidRPr="00857CDA">
        <w:rPr>
          <w:lang w:val="ro-RO"/>
        </w:rPr>
        <w:tab/>
      </w:r>
      <w:r w:rsidR="00D82389" w:rsidRPr="00857CDA">
        <w:rPr>
          <w:lang w:val="ro-RO"/>
        </w:rPr>
        <w:t>în afara unității de alimentare, cele două sisteme să fie independente unul față de celălalt</w:t>
      </w:r>
      <w:r w:rsidRPr="00857CDA">
        <w:rPr>
          <w:lang w:val="ro-RO"/>
        </w:rPr>
        <w:t>;</w:t>
      </w:r>
    </w:p>
    <w:p w:rsidR="00A5193B" w:rsidRPr="00857CDA" w:rsidRDefault="00A5193B" w:rsidP="00A5193B">
      <w:pPr>
        <w:pStyle w:val="SingleTxtG"/>
        <w:ind w:left="2835"/>
        <w:rPr>
          <w:lang w:val="ro-RO"/>
        </w:rPr>
      </w:pPr>
      <w:r w:rsidRPr="00857CDA">
        <w:rPr>
          <w:lang w:val="ro-RO"/>
        </w:rPr>
        <w:t>ii)</w:t>
      </w:r>
      <w:r w:rsidRPr="00857CDA">
        <w:rPr>
          <w:lang w:val="ro-RO"/>
        </w:rPr>
        <w:tab/>
      </w:r>
      <w:r w:rsidR="00D82389" w:rsidRPr="00857CDA">
        <w:rPr>
          <w:lang w:val="ro-RO"/>
        </w:rPr>
        <w:t>fiecare sistem să poată menține de unul singur o reglare suficientă a temperaturii</w:t>
      </w:r>
      <w:r w:rsidR="00C936FB" w:rsidRPr="00857CDA">
        <w:rPr>
          <w:lang w:val="ro-RO"/>
        </w:rPr>
        <w:t xml:space="preserve">; </w:t>
      </w:r>
      <w:r w:rsidR="00D82389" w:rsidRPr="00857CDA">
        <w:rPr>
          <w:lang w:val="ro-RO"/>
        </w:rPr>
        <w:t>și</w:t>
      </w:r>
    </w:p>
    <w:p w:rsidR="00B57E96" w:rsidRPr="00857CDA" w:rsidRDefault="00A5193B" w:rsidP="00B57E96">
      <w:pPr>
        <w:pStyle w:val="SingleTxtG"/>
        <w:ind w:left="2835"/>
        <w:rPr>
          <w:i/>
          <w:lang w:val="ro-RO"/>
        </w:rPr>
      </w:pPr>
      <w:r w:rsidRPr="00857CDA">
        <w:rPr>
          <w:lang w:val="ro-RO"/>
        </w:rPr>
        <w:lastRenderedPageBreak/>
        <w:t>iii)</w:t>
      </w:r>
      <w:r w:rsidRPr="00857CDA">
        <w:rPr>
          <w:lang w:val="ro-RO"/>
        </w:rPr>
        <w:tab/>
      </w:r>
      <w:r w:rsidR="00D82389" w:rsidRPr="00857CDA">
        <w:rPr>
          <w:lang w:val="ro-RO"/>
        </w:rPr>
        <w:t>pentru substanțele cu punct de aprindere mai mic decât temperatura critică mărită cu 5 °C, să fie utilizate racorduri electrice cu protecție împotriva exploziei, </w:t>
      </w:r>
      <w:r w:rsidR="00D82389" w:rsidRPr="00857CDA">
        <w:rPr>
          <w:b/>
          <w:lang w:val="ro-RO"/>
        </w:rPr>
        <w:t>EEx IIB T3</w:t>
      </w:r>
      <w:r w:rsidR="00D82389" w:rsidRPr="00857CDA">
        <w:rPr>
          <w:lang w:val="ro-RO"/>
        </w:rPr>
        <w:t>, în compartimentul de refrigerare, pentru a se evita riscul de aprindere a vaporilor degajați de substanțe</w:t>
      </w:r>
      <w:r w:rsidRPr="00857CDA">
        <w:rPr>
          <w:bCs/>
          <w:lang w:val="ro-RO"/>
        </w:rPr>
        <w:t>.</w:t>
      </w:r>
    </w:p>
    <w:p w:rsidR="00AC270A" w:rsidRPr="00857CDA" w:rsidRDefault="00554F93" w:rsidP="00554F93">
      <w:pPr>
        <w:pStyle w:val="SingleTxtG"/>
        <w:rPr>
          <w:lang w:val="ro-RO"/>
        </w:rPr>
      </w:pPr>
      <w:r w:rsidRPr="00857CDA">
        <w:rPr>
          <w:lang w:val="ro-RO"/>
        </w:rPr>
        <w:t>7.1.7.4.6</w:t>
      </w:r>
      <w:r w:rsidRPr="00857CDA">
        <w:rPr>
          <w:lang w:val="ro-RO"/>
        </w:rPr>
        <w:tab/>
      </w:r>
      <w:r w:rsidR="00AC270A" w:rsidRPr="00857CDA">
        <w:rPr>
          <w:lang w:val="ro-RO"/>
        </w:rPr>
        <w:t>Metodele descrise la 7.1.7.4.5 d) și e) pot fi utilizate pentru toți peroxizii organici, substanțele autoreactive și substanțele care polimerizează.</w:t>
      </w:r>
    </w:p>
    <w:p w:rsidR="00AC270A" w:rsidRPr="00857CDA" w:rsidRDefault="00AC270A" w:rsidP="0023370B">
      <w:pPr>
        <w:pStyle w:val="SingleTxtG"/>
        <w:ind w:firstLine="1134"/>
        <w:rPr>
          <w:lang w:val="ro-RO"/>
        </w:rPr>
      </w:pPr>
      <w:r w:rsidRPr="00857CDA">
        <w:rPr>
          <w:lang w:val="ro-RO"/>
        </w:rPr>
        <w:t xml:space="preserve">Metoda descrisă </w:t>
      </w:r>
      <w:r w:rsidR="00930E05" w:rsidRPr="00857CDA">
        <w:rPr>
          <w:lang w:val="ro-RO"/>
        </w:rPr>
        <w:t>la</w:t>
      </w:r>
      <w:r w:rsidRPr="00857CDA">
        <w:rPr>
          <w:lang w:val="ro-RO"/>
        </w:rPr>
        <w:t xml:space="preserve"> 7.1.7.4.5 c) poate fi utilizată pentru peroxizii organici și substanțele autoreactive de tip C, D, E și F, precum și atunci când temperatura ambiantă maximă prevăzută în timpul transportului nu depășește cu mai mult de 10 °C temperatura de </w:t>
      </w:r>
      <w:r w:rsidR="00930E05" w:rsidRPr="00857CDA">
        <w:rPr>
          <w:lang w:val="ro-RO"/>
        </w:rPr>
        <w:t>reglare în cazul</w:t>
      </w:r>
      <w:r w:rsidRPr="00857CDA">
        <w:rPr>
          <w:lang w:val="ro-RO"/>
        </w:rPr>
        <w:t xml:space="preserve"> peroxizi</w:t>
      </w:r>
      <w:r w:rsidR="00930E05" w:rsidRPr="00857CDA">
        <w:rPr>
          <w:lang w:val="ro-RO"/>
        </w:rPr>
        <w:t>lor</w:t>
      </w:r>
      <w:r w:rsidRPr="00857CDA">
        <w:rPr>
          <w:lang w:val="ro-RO"/>
        </w:rPr>
        <w:t xml:space="preserve"> organici și substanțe</w:t>
      </w:r>
      <w:r w:rsidR="00930E05" w:rsidRPr="00857CDA">
        <w:rPr>
          <w:lang w:val="ro-RO"/>
        </w:rPr>
        <w:t>lor</w:t>
      </w:r>
      <w:r w:rsidRPr="00857CDA">
        <w:rPr>
          <w:lang w:val="ro-RO"/>
        </w:rPr>
        <w:t xml:space="preserve"> autoreactive de tip B</w:t>
      </w:r>
      <w:r w:rsidR="00930E05" w:rsidRPr="00857CDA">
        <w:rPr>
          <w:lang w:val="ro-RO"/>
        </w:rPr>
        <w:t xml:space="preserve">, precum </w:t>
      </w:r>
      <w:r w:rsidRPr="00857CDA">
        <w:rPr>
          <w:lang w:val="ro-RO"/>
        </w:rPr>
        <w:t xml:space="preserve">și </w:t>
      </w:r>
      <w:r w:rsidR="00930E05" w:rsidRPr="00857CDA">
        <w:rPr>
          <w:lang w:val="ro-RO"/>
        </w:rPr>
        <w:t>în cazul</w:t>
      </w:r>
      <w:r w:rsidRPr="00857CDA">
        <w:rPr>
          <w:lang w:val="ro-RO"/>
        </w:rPr>
        <w:t xml:space="preserve"> </w:t>
      </w:r>
      <w:r w:rsidR="00930E05" w:rsidRPr="00857CDA">
        <w:rPr>
          <w:lang w:val="ro-RO"/>
        </w:rPr>
        <w:t>substanțelor care</w:t>
      </w:r>
      <w:r w:rsidRPr="00857CDA">
        <w:rPr>
          <w:lang w:val="ro-RO"/>
        </w:rPr>
        <w:t xml:space="preserve"> polimerize</w:t>
      </w:r>
      <w:r w:rsidR="00930E05" w:rsidRPr="00857CDA">
        <w:rPr>
          <w:lang w:val="ro-RO"/>
        </w:rPr>
        <w:t>ază</w:t>
      </w:r>
      <w:r w:rsidRPr="00857CDA">
        <w:rPr>
          <w:lang w:val="ro-RO"/>
        </w:rPr>
        <w:t>.</w:t>
      </w:r>
    </w:p>
    <w:p w:rsidR="00930E05" w:rsidRPr="00857CDA" w:rsidRDefault="00930E05" w:rsidP="0023370B">
      <w:pPr>
        <w:pStyle w:val="SingleTxtG"/>
        <w:ind w:firstLine="1134"/>
        <w:rPr>
          <w:lang w:val="ro-RO"/>
        </w:rPr>
      </w:pPr>
      <w:r w:rsidRPr="00857CDA">
        <w:rPr>
          <w:lang w:val="ro-RO"/>
        </w:rPr>
        <w:t>Metoda descrisă la 7.1.7.4.5 b) poate fi utilizată pentru peroxizii organici și pentru substanțele autoreactive de tip C, D, E și F, precum și pentru substanțele care polimerizează atunci când temperatura ambiantă maximă prevăzută în timpul transportului nu depășește cu mai mult de 30 °C temperatura de reglare.</w:t>
      </w:r>
    </w:p>
    <w:p w:rsidR="00930E05" w:rsidRPr="00857CDA" w:rsidRDefault="00930E05" w:rsidP="0023370B">
      <w:pPr>
        <w:pStyle w:val="SingleTxtG"/>
        <w:ind w:firstLine="1134"/>
        <w:rPr>
          <w:lang w:val="ro-RO"/>
        </w:rPr>
      </w:pPr>
      <w:r w:rsidRPr="00857CDA">
        <w:rPr>
          <w:lang w:val="ro-RO"/>
        </w:rPr>
        <w:t>Metoda descrisă la 7.1.7.4.5 a) poate fi utilizată pentru peroxizii organici și pentru substanțele autoreactive de tip C, D, E și F, precum și pentru substanțele care polimerizează atunci când temperatura ambiantă maximă prevăzută în timpul transportului este cu cel puțin 10 °C inferioară temperaturii de reglare.</w:t>
      </w:r>
    </w:p>
    <w:p w:rsidR="00386D70" w:rsidRPr="00857CDA" w:rsidRDefault="00554F93" w:rsidP="00554F93">
      <w:pPr>
        <w:pStyle w:val="SingleTxtG"/>
        <w:rPr>
          <w:lang w:val="ro-RO"/>
        </w:rPr>
      </w:pPr>
      <w:r w:rsidRPr="00857CDA">
        <w:rPr>
          <w:lang w:val="ro-RO"/>
        </w:rPr>
        <w:t>7.1.7.4.7</w:t>
      </w:r>
      <w:r w:rsidRPr="00857CDA">
        <w:rPr>
          <w:lang w:val="ro-RO"/>
        </w:rPr>
        <w:tab/>
      </w:r>
      <w:r w:rsidR="00386D70" w:rsidRPr="00857CDA">
        <w:rPr>
          <w:lang w:val="ro-RO"/>
        </w:rPr>
        <w:t>Dacă substanțele sunt transportate în vehicule sau containere izotermice, refrigerate sau frigorifice, aceste vehicule sau containere trebuie să respecte prescripțiile de la capitolul 9.6.</w:t>
      </w:r>
    </w:p>
    <w:p w:rsidR="001A24A2" w:rsidRPr="00857CDA" w:rsidRDefault="00554F93" w:rsidP="00374815">
      <w:pPr>
        <w:pStyle w:val="SingleTxtG"/>
        <w:rPr>
          <w:lang w:val="ro-RO"/>
        </w:rPr>
      </w:pPr>
      <w:r w:rsidRPr="00857CDA">
        <w:rPr>
          <w:lang w:val="ro-RO"/>
        </w:rPr>
        <w:t>7.1.7.4.8</w:t>
      </w:r>
      <w:r w:rsidRPr="00857CDA">
        <w:rPr>
          <w:lang w:val="ro-RO"/>
        </w:rPr>
        <w:tab/>
      </w:r>
      <w:r w:rsidR="00A76DDB" w:rsidRPr="00857CDA">
        <w:rPr>
          <w:lang w:val="ro-RO"/>
        </w:rPr>
        <w:t xml:space="preserve">În cazul în care substanțele sunt conținute în ambalaje de protecție umplute cu un agent frigorific, acestea trebuie să fie încărcate în containere închise sau vehicule cu prelată sau închise sau cu prelată. Atunci când vehiculele sau containerele utilizate sunt acoperite sau închise, ventilația trebuie să fie asigurată în mod corespunzător. Vehiculele și containerele cu prelată trebuie să fie prevăzute cu obloane laterale și </w:t>
      </w:r>
      <w:r w:rsidR="00374815" w:rsidRPr="00857CDA">
        <w:rPr>
          <w:lang w:val="ro-RO"/>
        </w:rPr>
        <w:t>oblon în spate</w:t>
      </w:r>
      <w:r w:rsidR="00A76DDB" w:rsidRPr="00857CDA">
        <w:rPr>
          <w:lang w:val="ro-RO"/>
        </w:rPr>
        <w:t>. Acoperirea acestor vehicule și containere trebuie să fie realizată dintr-</w:t>
      </w:r>
      <w:r w:rsidR="00374815" w:rsidRPr="00857CDA">
        <w:rPr>
          <w:lang w:val="ro-RO"/>
        </w:rPr>
        <w:t>un</w:t>
      </w:r>
      <w:r w:rsidR="00A76DDB" w:rsidRPr="00857CDA">
        <w:rPr>
          <w:lang w:val="ro-RO"/>
        </w:rPr>
        <w:t xml:space="preserve"> </w:t>
      </w:r>
      <w:r w:rsidR="00374815" w:rsidRPr="00857CDA">
        <w:rPr>
          <w:lang w:val="ro-RO"/>
        </w:rPr>
        <w:t xml:space="preserve">material </w:t>
      </w:r>
      <w:r w:rsidR="00A76DDB" w:rsidRPr="00857CDA">
        <w:rPr>
          <w:lang w:val="ro-RO"/>
        </w:rPr>
        <w:t>impermeabil și greu inflamabil</w:t>
      </w:r>
      <w:r w:rsidRPr="00857CDA">
        <w:rPr>
          <w:lang w:val="ro-RO"/>
        </w:rPr>
        <w:t>.</w:t>
      </w:r>
      <w:r w:rsidR="00660131" w:rsidRPr="00857CDA">
        <w:rPr>
          <w:lang w:val="ro-RO"/>
        </w:rPr>
        <w:t>”</w:t>
      </w:r>
      <w:r w:rsidR="001A24A2" w:rsidRPr="00857CDA">
        <w:rPr>
          <w:lang w:val="ro-RO"/>
        </w:rPr>
        <w:t>.</w:t>
      </w:r>
    </w:p>
    <w:p w:rsidR="007F41E4" w:rsidRPr="00857CDA" w:rsidRDefault="007F41E4" w:rsidP="007F41E4">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7.2</w:t>
      </w:r>
    </w:p>
    <w:p w:rsidR="007F41E4" w:rsidRPr="00857CDA" w:rsidRDefault="007F41E4" w:rsidP="00B57E96">
      <w:pPr>
        <w:pStyle w:val="SingleTxtG"/>
        <w:rPr>
          <w:lang w:val="ro-RO"/>
        </w:rPr>
      </w:pPr>
      <w:r w:rsidRPr="00857CDA">
        <w:rPr>
          <w:lang w:val="ro-RO"/>
        </w:rPr>
        <w:t>7.2.4, V8</w:t>
      </w:r>
      <w:r w:rsidRPr="00857CDA">
        <w:rPr>
          <w:lang w:val="ro-RO"/>
        </w:rPr>
        <w:tab/>
      </w:r>
      <w:r w:rsidR="002B679C" w:rsidRPr="00857CDA">
        <w:rPr>
          <w:lang w:val="ro-RO"/>
        </w:rPr>
        <w:t>Se modifică, după cum urmează</w:t>
      </w:r>
      <w:r w:rsidR="00091658" w:rsidRPr="00857CDA">
        <w:rPr>
          <w:lang w:val="ro-RO"/>
        </w:rPr>
        <w:t>:</w:t>
      </w:r>
    </w:p>
    <w:p w:rsidR="007F41E4" w:rsidRPr="00857CDA" w:rsidRDefault="008B288A" w:rsidP="00B57E96">
      <w:pPr>
        <w:pStyle w:val="SingleTxtG"/>
        <w:rPr>
          <w:lang w:val="ro-RO"/>
        </w:rPr>
      </w:pPr>
      <w:r w:rsidRPr="00857CDA">
        <w:rPr>
          <w:lang w:val="ro-RO"/>
        </w:rPr>
        <w:t>„</w:t>
      </w:r>
      <w:r w:rsidR="007F41E4" w:rsidRPr="00857CDA">
        <w:rPr>
          <w:lang w:val="ro-RO"/>
        </w:rPr>
        <w:t>V8</w:t>
      </w:r>
      <w:r w:rsidR="007F41E4" w:rsidRPr="00857CDA">
        <w:rPr>
          <w:lang w:val="ro-RO"/>
        </w:rPr>
        <w:tab/>
      </w:r>
      <w:r w:rsidR="0043120D" w:rsidRPr="00857CDA">
        <w:rPr>
          <w:lang w:val="ro-RO"/>
        </w:rPr>
        <w:t>A se vedea</w:t>
      </w:r>
      <w:r w:rsidR="007F41E4" w:rsidRPr="00857CDA">
        <w:rPr>
          <w:lang w:val="ro-RO"/>
        </w:rPr>
        <w:t xml:space="preserve"> 7.1.7.</w:t>
      </w:r>
    </w:p>
    <w:p w:rsidR="007F41E4" w:rsidRPr="00857CDA" w:rsidRDefault="007F41E4" w:rsidP="0081333C">
      <w:pPr>
        <w:pStyle w:val="SingleTxtG"/>
        <w:rPr>
          <w:lang w:val="ro-RO"/>
        </w:rPr>
      </w:pPr>
      <w:r w:rsidRPr="00857CDA">
        <w:rPr>
          <w:b/>
          <w:i/>
          <w:lang w:val="ro-RO"/>
        </w:rPr>
        <w:t>NOT</w:t>
      </w:r>
      <w:r w:rsidR="008B288A" w:rsidRPr="00857CDA">
        <w:rPr>
          <w:b/>
          <w:i/>
          <w:lang w:val="ro-RO"/>
        </w:rPr>
        <w:t>Ă</w:t>
      </w:r>
      <w:r w:rsidRPr="00857CDA">
        <w:rPr>
          <w:b/>
          <w:i/>
          <w:lang w:val="ro-RO"/>
        </w:rPr>
        <w:t>:</w:t>
      </w:r>
      <w:r w:rsidRPr="00857CDA">
        <w:rPr>
          <w:i/>
          <w:lang w:val="ro-RO"/>
        </w:rPr>
        <w:t xml:space="preserve"> </w:t>
      </w:r>
      <w:r w:rsidR="0081333C" w:rsidRPr="00857CDA">
        <w:rPr>
          <w:i/>
          <w:lang w:val="ro-RO"/>
        </w:rPr>
        <w:t xml:space="preserve">Această </w:t>
      </w:r>
      <w:r w:rsidR="001737F3" w:rsidRPr="00857CDA">
        <w:rPr>
          <w:i/>
          <w:lang w:val="ro-RO"/>
        </w:rPr>
        <w:t>d</w:t>
      </w:r>
      <w:r w:rsidR="0043120D" w:rsidRPr="00857CDA">
        <w:rPr>
          <w:i/>
          <w:lang w:val="ro-RO"/>
        </w:rPr>
        <w:t>ispoziți</w:t>
      </w:r>
      <w:r w:rsidR="00FE54FB" w:rsidRPr="00857CDA">
        <w:rPr>
          <w:i/>
          <w:lang w:val="ro-RO"/>
        </w:rPr>
        <w:t>e</w:t>
      </w:r>
      <w:r w:rsidR="0043120D" w:rsidRPr="00857CDA">
        <w:rPr>
          <w:i/>
          <w:lang w:val="ro-RO"/>
        </w:rPr>
        <w:t xml:space="preserve"> specială</w:t>
      </w:r>
      <w:r w:rsidR="001A27A7" w:rsidRPr="00857CDA">
        <w:rPr>
          <w:i/>
          <w:lang w:val="ro-RO"/>
        </w:rPr>
        <w:t xml:space="preserve"> </w:t>
      </w:r>
      <w:r w:rsidRPr="00857CDA">
        <w:rPr>
          <w:i/>
          <w:lang w:val="ro-RO"/>
        </w:rPr>
        <w:t>V8 n</w:t>
      </w:r>
      <w:r w:rsidR="0081333C" w:rsidRPr="00857CDA">
        <w:rPr>
          <w:i/>
          <w:lang w:val="ro-RO"/>
        </w:rPr>
        <w:t>u</w:t>
      </w:r>
      <w:r w:rsidRPr="00857CDA">
        <w:rPr>
          <w:i/>
          <w:lang w:val="ro-RO"/>
        </w:rPr>
        <w:t xml:space="preserve"> s</w:t>
      </w:r>
      <w:r w:rsidR="0081333C" w:rsidRPr="00857CDA">
        <w:rPr>
          <w:i/>
          <w:lang w:val="ro-RO"/>
        </w:rPr>
        <w:t xml:space="preserve">e </w:t>
      </w:r>
      <w:r w:rsidRPr="00857CDA">
        <w:rPr>
          <w:i/>
          <w:lang w:val="ro-RO"/>
        </w:rPr>
        <w:t>apli</w:t>
      </w:r>
      <w:r w:rsidR="0081333C" w:rsidRPr="00857CDA">
        <w:rPr>
          <w:i/>
          <w:lang w:val="ro-RO"/>
        </w:rPr>
        <w:t xml:space="preserve">că substanțelor </w:t>
      </w:r>
      <w:r w:rsidR="001737F3" w:rsidRPr="00857CDA">
        <w:rPr>
          <w:i/>
          <w:lang w:val="ro-RO"/>
        </w:rPr>
        <w:t>vizate</w:t>
      </w:r>
      <w:r w:rsidR="0081333C" w:rsidRPr="00857CDA">
        <w:rPr>
          <w:i/>
          <w:lang w:val="ro-RO"/>
        </w:rPr>
        <w:t xml:space="preserve"> la</w:t>
      </w:r>
      <w:r w:rsidRPr="00857CDA">
        <w:rPr>
          <w:i/>
          <w:lang w:val="ro-RO"/>
        </w:rPr>
        <w:t xml:space="preserve"> 3.1.2.6 </w:t>
      </w:r>
      <w:r w:rsidR="0081333C" w:rsidRPr="00857CDA">
        <w:rPr>
          <w:i/>
          <w:lang w:val="ro-RO"/>
        </w:rPr>
        <w:t xml:space="preserve">dacă stabilizarea este </w:t>
      </w:r>
      <w:r w:rsidR="00FE54FB" w:rsidRPr="00857CDA">
        <w:rPr>
          <w:i/>
          <w:lang w:val="ro-RO"/>
        </w:rPr>
        <w:t>realizează prin</w:t>
      </w:r>
      <w:r w:rsidR="00902C44" w:rsidRPr="00857CDA">
        <w:rPr>
          <w:i/>
          <w:lang w:val="ro-RO"/>
        </w:rPr>
        <w:t xml:space="preserve"> </w:t>
      </w:r>
      <w:r w:rsidRPr="00857CDA">
        <w:rPr>
          <w:i/>
          <w:lang w:val="ro-RO"/>
        </w:rPr>
        <w:t>ad</w:t>
      </w:r>
      <w:r w:rsidR="0081333C" w:rsidRPr="00857CDA">
        <w:rPr>
          <w:i/>
          <w:lang w:val="ro-RO"/>
        </w:rPr>
        <w:t xml:space="preserve">ăugare de </w:t>
      </w:r>
      <w:r w:rsidRPr="00857CDA">
        <w:rPr>
          <w:i/>
          <w:lang w:val="ro-RO"/>
        </w:rPr>
        <w:t>inhibit</w:t>
      </w:r>
      <w:r w:rsidR="0081333C" w:rsidRPr="00857CDA">
        <w:rPr>
          <w:i/>
          <w:lang w:val="ro-RO"/>
        </w:rPr>
        <w:t>ori</w:t>
      </w:r>
      <w:r w:rsidRPr="00857CDA">
        <w:rPr>
          <w:i/>
          <w:lang w:val="ro-RO"/>
        </w:rPr>
        <w:t xml:space="preserve"> chimi</w:t>
      </w:r>
      <w:r w:rsidR="0081333C" w:rsidRPr="00857CDA">
        <w:rPr>
          <w:i/>
          <w:lang w:val="ro-RO"/>
        </w:rPr>
        <w:t xml:space="preserve">ci astfel încât TDAA să fie mai mare de 50 °C. În acest caz, reglarea temperaturii poate fi necesară, de asemenea, dacă temperatura în timpul transportului </w:t>
      </w:r>
      <w:r w:rsidR="00FE54FB" w:rsidRPr="00857CDA">
        <w:rPr>
          <w:i/>
          <w:lang w:val="ro-RO"/>
        </w:rPr>
        <w:t>va</w:t>
      </w:r>
      <w:r w:rsidR="0081333C" w:rsidRPr="00857CDA">
        <w:rPr>
          <w:i/>
          <w:lang w:val="ro-RO"/>
        </w:rPr>
        <w:t xml:space="preserve"> depăși 55 °C</w:t>
      </w:r>
      <w:r w:rsidRPr="00857CDA">
        <w:rPr>
          <w:i/>
          <w:lang w:val="ro-RO"/>
        </w:rPr>
        <w:t>.</w:t>
      </w:r>
      <w:r w:rsidR="00660131" w:rsidRPr="00857CDA">
        <w:rPr>
          <w:lang w:val="ro-RO"/>
        </w:rPr>
        <w:t>”</w:t>
      </w:r>
      <w:r w:rsidRPr="00857CDA">
        <w:rPr>
          <w:lang w:val="ro-RO"/>
        </w:rPr>
        <w:t>.</w:t>
      </w:r>
    </w:p>
    <w:p w:rsidR="007F62A9" w:rsidRPr="00857CDA" w:rsidRDefault="007F62A9" w:rsidP="007F62A9">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7.3</w:t>
      </w:r>
    </w:p>
    <w:p w:rsidR="007F62A9" w:rsidRPr="00857CDA" w:rsidRDefault="007F62A9" w:rsidP="007F62A9">
      <w:pPr>
        <w:pStyle w:val="SingleTxtG"/>
        <w:rPr>
          <w:lang w:val="ro-RO"/>
        </w:rPr>
      </w:pPr>
      <w:r w:rsidRPr="00857CDA">
        <w:rPr>
          <w:lang w:val="ro-RO"/>
        </w:rPr>
        <w:t>7.3.2.10</w:t>
      </w:r>
      <w:r w:rsidRPr="00857CDA">
        <w:rPr>
          <w:lang w:val="ro-RO"/>
        </w:rPr>
        <w:tab/>
        <w:t>Su</w:t>
      </w:r>
      <w:r w:rsidR="0081333C" w:rsidRPr="00857CDA">
        <w:rPr>
          <w:lang w:val="ro-RO"/>
        </w:rPr>
        <w:t>b</w:t>
      </w:r>
      <w:r w:rsidRPr="00857CDA">
        <w:rPr>
          <w:lang w:val="ro-RO"/>
        </w:rPr>
        <w:t xml:space="preserve"> tit</w:t>
      </w:r>
      <w:r w:rsidR="0081333C" w:rsidRPr="00857CDA">
        <w:rPr>
          <w:lang w:val="ro-RO"/>
        </w:rPr>
        <w:t>lu</w:t>
      </w:r>
      <w:r w:rsidRPr="00857CDA">
        <w:rPr>
          <w:lang w:val="ro-RO"/>
        </w:rPr>
        <w:t xml:space="preserve">, </w:t>
      </w:r>
      <w:r w:rsidR="000022EF" w:rsidRPr="00857CDA">
        <w:rPr>
          <w:lang w:val="ro-RO"/>
        </w:rPr>
        <w:t>se introduce</w:t>
      </w:r>
      <w:r w:rsidRPr="00857CDA">
        <w:rPr>
          <w:lang w:val="ro-RO"/>
        </w:rPr>
        <w:t xml:space="preserve"> </w:t>
      </w:r>
      <w:r w:rsidR="00E26361" w:rsidRPr="00857CDA">
        <w:rPr>
          <w:lang w:val="ro-RO"/>
        </w:rPr>
        <w:t>o nouă</w:t>
      </w:r>
      <w:r w:rsidRPr="00857CDA">
        <w:rPr>
          <w:lang w:val="ro-RO"/>
        </w:rPr>
        <w:t xml:space="preserve"> not</w:t>
      </w:r>
      <w:r w:rsidR="00E26361" w:rsidRPr="00857CDA">
        <w:rPr>
          <w:lang w:val="ro-RO"/>
        </w:rPr>
        <w:t>ă, după cum urmează</w:t>
      </w:r>
      <w:r w:rsidR="00091658" w:rsidRPr="00857CDA">
        <w:rPr>
          <w:lang w:val="ro-RO"/>
        </w:rPr>
        <w:t>:</w:t>
      </w:r>
    </w:p>
    <w:p w:rsidR="007F62A9" w:rsidRPr="00857CDA" w:rsidRDefault="008B288A" w:rsidP="00015B09">
      <w:pPr>
        <w:pStyle w:val="SingleTxtG"/>
        <w:rPr>
          <w:lang w:val="ro-RO"/>
        </w:rPr>
      </w:pPr>
      <w:r w:rsidRPr="00857CDA">
        <w:rPr>
          <w:lang w:val="ro-RO"/>
        </w:rPr>
        <w:t>„</w:t>
      </w:r>
      <w:r w:rsidR="007F62A9" w:rsidRPr="00857CDA">
        <w:rPr>
          <w:rFonts w:cs="Arial"/>
          <w:b/>
          <w:i/>
          <w:szCs w:val="22"/>
          <w:lang w:val="ro-RO"/>
        </w:rPr>
        <w:t>NOT</w:t>
      </w:r>
      <w:r w:rsidRPr="00857CDA">
        <w:rPr>
          <w:rFonts w:cs="Arial"/>
          <w:b/>
          <w:i/>
          <w:szCs w:val="22"/>
          <w:lang w:val="ro-RO"/>
        </w:rPr>
        <w:t>Ă</w:t>
      </w:r>
      <w:r w:rsidR="007F62A9" w:rsidRPr="00857CDA">
        <w:rPr>
          <w:rFonts w:cs="Arial"/>
          <w:b/>
          <w:i/>
          <w:szCs w:val="22"/>
          <w:lang w:val="ro-RO"/>
        </w:rPr>
        <w:t>:</w:t>
      </w:r>
      <w:r w:rsidR="007F62A9" w:rsidRPr="00857CDA">
        <w:rPr>
          <w:rFonts w:cs="Arial"/>
          <w:i/>
          <w:szCs w:val="22"/>
          <w:lang w:val="ro-RO"/>
        </w:rPr>
        <w:tab/>
      </w:r>
      <w:r w:rsidR="00015B09" w:rsidRPr="00857CDA">
        <w:rPr>
          <w:bCs/>
          <w:i/>
          <w:lang w:val="ro-RO"/>
        </w:rPr>
        <w:t>Containerele pentru vrac flexibile marcate în conformitate cu 6.11.5.5, dar care au fost omologate într-o țară care nu este parte contractantă ADR, pot fi, de asemenea, utilizate pentru transport conform ADR.</w:t>
      </w:r>
      <w:r w:rsidR="00660131" w:rsidRPr="00857CDA">
        <w:rPr>
          <w:bCs/>
          <w:i/>
          <w:lang w:val="ro-RO"/>
        </w:rPr>
        <w:t>”</w:t>
      </w:r>
      <w:r w:rsidR="007F62A9" w:rsidRPr="00857CDA">
        <w:rPr>
          <w:bCs/>
          <w:lang w:val="ro-RO"/>
        </w:rPr>
        <w:t>.</w:t>
      </w:r>
    </w:p>
    <w:p w:rsidR="007F62A9" w:rsidRPr="00857CDA" w:rsidRDefault="007F62A9" w:rsidP="007F62A9">
      <w:pPr>
        <w:pStyle w:val="SingleTxtG"/>
        <w:rPr>
          <w:lang w:val="ro-RO"/>
        </w:rPr>
      </w:pPr>
      <w:r w:rsidRPr="00857CDA">
        <w:rPr>
          <w:lang w:val="ro-RO"/>
        </w:rPr>
        <w:t>7.3.3.1</w:t>
      </w:r>
      <w:r w:rsidRPr="00857CDA">
        <w:rPr>
          <w:lang w:val="ro-RO"/>
        </w:rPr>
        <w:tab/>
      </w:r>
      <w:r w:rsidRPr="00857CDA">
        <w:rPr>
          <w:lang w:val="ro-RO"/>
        </w:rPr>
        <w:tab/>
      </w:r>
      <w:r w:rsidR="00991390" w:rsidRPr="00857CDA">
        <w:rPr>
          <w:lang w:val="ro-RO"/>
        </w:rPr>
        <w:t>După</w:t>
      </w:r>
      <w:r w:rsidRPr="00857CDA">
        <w:rPr>
          <w:lang w:val="ro-RO"/>
        </w:rPr>
        <w:t xml:space="preserve"> pr</w:t>
      </w:r>
      <w:r w:rsidR="00015B09" w:rsidRPr="00857CDA">
        <w:rPr>
          <w:lang w:val="ro-RO"/>
        </w:rPr>
        <w:t>i</w:t>
      </w:r>
      <w:r w:rsidRPr="00857CDA">
        <w:rPr>
          <w:lang w:val="ro-RO"/>
        </w:rPr>
        <w:t>m</w:t>
      </w:r>
      <w:r w:rsidR="00015B09" w:rsidRPr="00857CDA">
        <w:rPr>
          <w:lang w:val="ro-RO"/>
        </w:rPr>
        <w:t>ul</w:t>
      </w:r>
      <w:r w:rsidRPr="00857CDA">
        <w:rPr>
          <w:lang w:val="ro-RO"/>
        </w:rPr>
        <w:t xml:space="preserve"> </w:t>
      </w:r>
      <w:r w:rsidR="00970E20" w:rsidRPr="00857CDA">
        <w:rPr>
          <w:lang w:val="ro-RO"/>
        </w:rPr>
        <w:t>paragraf</w:t>
      </w:r>
      <w:r w:rsidRPr="00857CDA">
        <w:rPr>
          <w:lang w:val="ro-RO"/>
        </w:rPr>
        <w:t xml:space="preserve">, </w:t>
      </w:r>
      <w:r w:rsidR="00902C44" w:rsidRPr="00857CDA">
        <w:rPr>
          <w:lang w:val="ro-RO"/>
        </w:rPr>
        <w:t>se adaugă</w:t>
      </w:r>
      <w:r w:rsidRPr="00857CDA">
        <w:rPr>
          <w:lang w:val="ro-RO"/>
        </w:rPr>
        <w:t xml:space="preserve"> </w:t>
      </w:r>
      <w:r w:rsidR="00015B09" w:rsidRPr="00857CDA">
        <w:rPr>
          <w:lang w:val="ro-RO"/>
        </w:rPr>
        <w:t>o notă nouă, după cum urmează</w:t>
      </w:r>
      <w:r w:rsidR="00091658" w:rsidRPr="00857CDA">
        <w:rPr>
          <w:lang w:val="ro-RO"/>
        </w:rPr>
        <w:t>:</w:t>
      </w:r>
    </w:p>
    <w:p w:rsidR="007F62A9" w:rsidRPr="00857CDA" w:rsidRDefault="008B288A" w:rsidP="007F62A9">
      <w:pPr>
        <w:pStyle w:val="SingleTxtG"/>
        <w:rPr>
          <w:lang w:val="ro-RO"/>
        </w:rPr>
      </w:pPr>
      <w:r w:rsidRPr="00857CDA">
        <w:rPr>
          <w:lang w:val="ro-RO"/>
        </w:rPr>
        <w:lastRenderedPageBreak/>
        <w:t>„</w:t>
      </w:r>
      <w:r w:rsidR="007F62A9" w:rsidRPr="00857CDA">
        <w:rPr>
          <w:b/>
          <w:i/>
          <w:lang w:val="ro-RO"/>
        </w:rPr>
        <w:t>NOT</w:t>
      </w:r>
      <w:r w:rsidRPr="00857CDA">
        <w:rPr>
          <w:b/>
          <w:i/>
          <w:lang w:val="ro-RO"/>
        </w:rPr>
        <w:t>Ă</w:t>
      </w:r>
      <w:r w:rsidR="007F62A9" w:rsidRPr="00857CDA">
        <w:rPr>
          <w:b/>
          <w:i/>
          <w:lang w:val="ro-RO"/>
        </w:rPr>
        <w:t>:</w:t>
      </w:r>
      <w:r w:rsidR="007F62A9" w:rsidRPr="00857CDA">
        <w:rPr>
          <w:b/>
          <w:i/>
          <w:lang w:val="ro-RO"/>
        </w:rPr>
        <w:tab/>
      </w:r>
      <w:r w:rsidR="006A6063" w:rsidRPr="00857CDA">
        <w:rPr>
          <w:i/>
          <w:lang w:val="ro-RO"/>
        </w:rPr>
        <w:t xml:space="preserve">Atunci când în coloana (17) </w:t>
      </w:r>
      <w:r w:rsidR="00FE54FB" w:rsidRPr="00857CDA">
        <w:rPr>
          <w:i/>
          <w:lang w:val="ro-RO"/>
        </w:rPr>
        <w:t>a tabelului A din capitolul 3.2</w:t>
      </w:r>
      <w:r w:rsidR="006A6063" w:rsidRPr="00857CDA">
        <w:rPr>
          <w:i/>
          <w:lang w:val="ro-RO"/>
        </w:rPr>
        <w:t xml:space="preserve"> este indicat un cod VC1, este posibil, de asemenea, să se utilizeze și un container pentru vrac </w:t>
      </w:r>
      <w:r w:rsidR="00FE54FB" w:rsidRPr="00857CDA">
        <w:rPr>
          <w:i/>
          <w:lang w:val="ro-RO"/>
        </w:rPr>
        <w:t>BK1 pentru transportul terestru</w:t>
      </w:r>
      <w:r w:rsidR="006A6063" w:rsidRPr="00857CDA">
        <w:rPr>
          <w:i/>
          <w:lang w:val="ro-RO"/>
        </w:rPr>
        <w:t xml:space="preserve"> în cazul în care sunt îndeplinite condițiile suplimentare specificate la 7.3.3.2. Atunci când în coloana (17) din tabelul A din capitolul 3.2 este indicat un cod VC2, este posibil, de asemenea, să se utilizeze și un container pentru vrac BK2 pentru transportul terestru în cazul în care sunt îndeplinite condițiile suplimentare specificate la 7.3.3.2.</w:t>
      </w:r>
      <w:r w:rsidR="00660131" w:rsidRPr="00857CDA">
        <w:rPr>
          <w:i/>
          <w:lang w:val="ro-RO"/>
        </w:rPr>
        <w:t>”</w:t>
      </w:r>
      <w:r w:rsidR="007F62A9" w:rsidRPr="00857CDA">
        <w:rPr>
          <w:lang w:val="ro-RO"/>
        </w:rPr>
        <w:t>.</w:t>
      </w:r>
    </w:p>
    <w:p w:rsidR="003E4741" w:rsidRPr="00857CDA" w:rsidRDefault="003E4741" w:rsidP="003E4741">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7.5</w:t>
      </w:r>
    </w:p>
    <w:p w:rsidR="007F62A9" w:rsidRPr="00857CDA" w:rsidRDefault="001E0D22" w:rsidP="001E0D22">
      <w:pPr>
        <w:pStyle w:val="SingleTxtG"/>
        <w:tabs>
          <w:tab w:val="left" w:pos="2268"/>
        </w:tabs>
        <w:rPr>
          <w:lang w:val="ro-RO"/>
        </w:rPr>
      </w:pPr>
      <w:r w:rsidRPr="00857CDA">
        <w:rPr>
          <w:lang w:val="ro-RO"/>
        </w:rPr>
        <w:t>7.5.1.1</w:t>
      </w:r>
      <w:r w:rsidR="007F62A9" w:rsidRPr="00857CDA">
        <w:rPr>
          <w:lang w:val="ro-RO"/>
        </w:rPr>
        <w:tab/>
      </w:r>
      <w:r w:rsidR="00902C44" w:rsidRPr="00857CDA">
        <w:rPr>
          <w:lang w:val="ro-RO"/>
        </w:rPr>
        <w:t>Se modifică</w:t>
      </w:r>
      <w:r w:rsidR="007F62A9" w:rsidRPr="00857CDA">
        <w:rPr>
          <w:lang w:val="ro-RO"/>
        </w:rPr>
        <w:t xml:space="preserve"> </w:t>
      </w:r>
      <w:r w:rsidR="008B288A" w:rsidRPr="00857CDA">
        <w:rPr>
          <w:lang w:val="ro-RO"/>
        </w:rPr>
        <w:t>„</w:t>
      </w:r>
      <w:r w:rsidR="00FE54FB" w:rsidRPr="00857CDA">
        <w:rPr>
          <w:lang w:val="ro-RO"/>
        </w:rPr>
        <w:t>Vehiculul și conducătorul său</w:t>
      </w:r>
      <w:r w:rsidR="00660131" w:rsidRPr="00857CDA">
        <w:rPr>
          <w:lang w:val="ro-RO"/>
        </w:rPr>
        <w:t>”</w:t>
      </w:r>
      <w:r w:rsidR="00902C44" w:rsidRPr="00857CDA">
        <w:rPr>
          <w:lang w:val="ro-RO"/>
        </w:rPr>
        <w:t xml:space="preserve"> cu </w:t>
      </w:r>
      <w:r w:rsidR="008B288A" w:rsidRPr="00857CDA">
        <w:rPr>
          <w:lang w:val="ro-RO"/>
        </w:rPr>
        <w:t>„</w:t>
      </w:r>
      <w:r w:rsidR="00FE54FB" w:rsidRPr="00857CDA">
        <w:rPr>
          <w:lang w:val="ro-RO"/>
        </w:rPr>
        <w:t>Vehiculul și membrul echipajului</w:t>
      </w:r>
      <w:r w:rsidR="00660131" w:rsidRPr="00857CDA">
        <w:rPr>
          <w:lang w:val="ro-RO"/>
        </w:rPr>
        <w:t>”</w:t>
      </w:r>
      <w:r w:rsidR="00C90A26" w:rsidRPr="00857CDA">
        <w:rPr>
          <w:lang w:val="ro-RO"/>
        </w:rPr>
        <w:t>.</w:t>
      </w:r>
    </w:p>
    <w:p w:rsidR="007F62A9" w:rsidRPr="00857CDA" w:rsidRDefault="001E0D22" w:rsidP="001E0D22">
      <w:pPr>
        <w:pStyle w:val="SingleTxtG"/>
        <w:tabs>
          <w:tab w:val="left" w:pos="2268"/>
        </w:tabs>
        <w:rPr>
          <w:lang w:val="ro-RO"/>
        </w:rPr>
      </w:pPr>
      <w:r w:rsidRPr="00857CDA">
        <w:rPr>
          <w:lang w:val="ro-RO"/>
        </w:rPr>
        <w:t>7.5.1.2</w:t>
      </w:r>
      <w:r w:rsidR="007F62A9" w:rsidRPr="00857CDA">
        <w:rPr>
          <w:lang w:val="ro-RO"/>
        </w:rPr>
        <w:tab/>
      </w:r>
      <w:r w:rsidR="00902C44" w:rsidRPr="00857CDA">
        <w:rPr>
          <w:lang w:val="ro-RO"/>
        </w:rPr>
        <w:t>Se modifică</w:t>
      </w:r>
      <w:r w:rsidR="007F62A9" w:rsidRPr="00857CDA">
        <w:rPr>
          <w:lang w:val="ro-RO"/>
        </w:rPr>
        <w:t xml:space="preserve"> </w:t>
      </w:r>
      <w:r w:rsidR="008B288A" w:rsidRPr="00857CDA">
        <w:rPr>
          <w:lang w:val="ro-RO"/>
        </w:rPr>
        <w:t>„</w:t>
      </w:r>
      <w:r w:rsidR="00FE54FB" w:rsidRPr="00857CDA">
        <w:rPr>
          <w:lang w:val="ro-RO"/>
        </w:rPr>
        <w:t>vehiculul, conducătorul auto</w:t>
      </w:r>
      <w:r w:rsidR="00660131" w:rsidRPr="00857CDA">
        <w:rPr>
          <w:lang w:val="ro-RO"/>
        </w:rPr>
        <w:t>”</w:t>
      </w:r>
      <w:r w:rsidR="00902C44" w:rsidRPr="00857CDA">
        <w:rPr>
          <w:lang w:val="ro-RO"/>
        </w:rPr>
        <w:t xml:space="preserve"> cu </w:t>
      </w:r>
      <w:r w:rsidR="008B288A" w:rsidRPr="00857CDA">
        <w:rPr>
          <w:lang w:val="ro-RO"/>
        </w:rPr>
        <w:t>„</w:t>
      </w:r>
      <w:r w:rsidR="00FE54FB" w:rsidRPr="00857CDA">
        <w:rPr>
          <w:lang w:val="ro-RO"/>
        </w:rPr>
        <w:t>vehiculul, membrul echipajului</w:t>
      </w:r>
      <w:r w:rsidR="00660131" w:rsidRPr="00857CDA">
        <w:rPr>
          <w:lang w:val="ro-RO"/>
        </w:rPr>
        <w:t>”</w:t>
      </w:r>
      <w:r w:rsidR="007F62A9" w:rsidRPr="00857CDA">
        <w:rPr>
          <w:lang w:val="ro-RO"/>
        </w:rPr>
        <w:t>.</w:t>
      </w:r>
    </w:p>
    <w:p w:rsidR="007F41E4" w:rsidRPr="00857CDA" w:rsidRDefault="001A27A7" w:rsidP="006E6D3E">
      <w:pPr>
        <w:pStyle w:val="SingleTxtG"/>
        <w:tabs>
          <w:tab w:val="left" w:pos="2268"/>
        </w:tabs>
        <w:rPr>
          <w:lang w:val="ro-RO"/>
        </w:rPr>
      </w:pPr>
      <w:r w:rsidRPr="00857CDA">
        <w:rPr>
          <w:lang w:val="ro-RO"/>
        </w:rPr>
        <w:t>7.5.2.2</w:t>
      </w:r>
      <w:r w:rsidR="007D42AD" w:rsidRPr="00857CDA">
        <w:rPr>
          <w:lang w:val="ro-RO"/>
        </w:rPr>
        <w:tab/>
      </w:r>
      <w:r w:rsidR="00902C44" w:rsidRPr="00857CDA">
        <w:rPr>
          <w:lang w:val="ro-RO"/>
        </w:rPr>
        <w:t xml:space="preserve">În </w:t>
      </w:r>
      <w:r w:rsidR="00D97698" w:rsidRPr="00857CDA">
        <w:rPr>
          <w:lang w:val="ro-RO"/>
        </w:rPr>
        <w:t>not</w:t>
      </w:r>
      <w:r w:rsidR="00FE54FB" w:rsidRPr="00857CDA">
        <w:rPr>
          <w:lang w:val="ro-RO"/>
        </w:rPr>
        <w:t>a</w:t>
      </w:r>
      <w:r w:rsidR="00D97698" w:rsidRPr="00857CDA">
        <w:rPr>
          <w:lang w:val="ro-RO"/>
        </w:rPr>
        <w:t xml:space="preserve"> b</w:t>
      </w:r>
      <w:r w:rsidR="00FE54FB" w:rsidRPr="00857CDA">
        <w:rPr>
          <w:lang w:val="ro-RO"/>
        </w:rPr>
        <w:t xml:space="preserve"> de sub tabel</w:t>
      </w:r>
      <w:r w:rsidR="00D97698" w:rsidRPr="00857CDA">
        <w:rPr>
          <w:lang w:val="ro-RO"/>
        </w:rPr>
        <w:t xml:space="preserve">, </w:t>
      </w:r>
      <w:r w:rsidR="00FE54FB" w:rsidRPr="00857CDA">
        <w:rPr>
          <w:lang w:val="ro-RO"/>
        </w:rPr>
        <w:t>s</w:t>
      </w:r>
      <w:r w:rsidR="00902C44" w:rsidRPr="00857CDA">
        <w:rPr>
          <w:lang w:val="ro-RO"/>
        </w:rPr>
        <w:t>e modifică</w:t>
      </w:r>
      <w:r w:rsidR="00D97698" w:rsidRPr="00857CDA">
        <w:rPr>
          <w:lang w:val="ro-RO"/>
        </w:rPr>
        <w:t xml:space="preserve"> </w:t>
      </w:r>
      <w:r w:rsidR="00570A93" w:rsidRPr="00857CDA">
        <w:rPr>
          <w:lang w:val="ro-RO"/>
        </w:rPr>
        <w:t xml:space="preserve">„riscuri suplimentare” cu „pericole suplimentare” și </w:t>
      </w:r>
      <w:r w:rsidR="008B288A" w:rsidRPr="00857CDA">
        <w:rPr>
          <w:lang w:val="ro-RO"/>
        </w:rPr>
        <w:t>„</w:t>
      </w:r>
      <w:r w:rsidR="00570A93" w:rsidRPr="00857CDA">
        <w:rPr>
          <w:lang w:val="ro-RO"/>
        </w:rPr>
        <w:t>d</w:t>
      </w:r>
      <w:r w:rsidR="007F0D67" w:rsidRPr="00857CDA">
        <w:rPr>
          <w:lang w:val="ro-RO"/>
        </w:rPr>
        <w:t>iviziun</w:t>
      </w:r>
      <w:r w:rsidR="00570A93" w:rsidRPr="00857CDA">
        <w:rPr>
          <w:lang w:val="ro-RO"/>
        </w:rPr>
        <w:t>ii</w:t>
      </w:r>
      <w:r w:rsidR="00D97698" w:rsidRPr="00857CDA">
        <w:rPr>
          <w:lang w:val="ro-RO"/>
        </w:rPr>
        <w:t xml:space="preserve"> de </w:t>
      </w:r>
      <w:r w:rsidR="002B679C" w:rsidRPr="00857CDA">
        <w:rPr>
          <w:lang w:val="ro-RO"/>
        </w:rPr>
        <w:t>risc</w:t>
      </w:r>
      <w:r w:rsidR="00660131" w:rsidRPr="00857CDA">
        <w:rPr>
          <w:lang w:val="ro-RO"/>
        </w:rPr>
        <w:t>”</w:t>
      </w:r>
      <w:r w:rsidR="00902C44" w:rsidRPr="00857CDA">
        <w:rPr>
          <w:lang w:val="ro-RO"/>
        </w:rPr>
        <w:t xml:space="preserve"> cu </w:t>
      </w:r>
      <w:r w:rsidR="008B288A" w:rsidRPr="00857CDA">
        <w:rPr>
          <w:lang w:val="ro-RO"/>
        </w:rPr>
        <w:t>„</w:t>
      </w:r>
      <w:r w:rsidR="00570A93" w:rsidRPr="00857CDA">
        <w:rPr>
          <w:lang w:val="ro-RO"/>
        </w:rPr>
        <w:t>d</w:t>
      </w:r>
      <w:r w:rsidR="007F0D67" w:rsidRPr="00857CDA">
        <w:rPr>
          <w:lang w:val="ro-RO"/>
        </w:rPr>
        <w:t>iviziun</w:t>
      </w:r>
      <w:r w:rsidR="00570A93" w:rsidRPr="00857CDA">
        <w:rPr>
          <w:lang w:val="ro-RO"/>
        </w:rPr>
        <w:t>ii de pericol</w:t>
      </w:r>
      <w:r w:rsidR="00660131" w:rsidRPr="00857CDA">
        <w:rPr>
          <w:lang w:val="ro-RO"/>
        </w:rPr>
        <w:t>”</w:t>
      </w:r>
      <w:r w:rsidR="00C90A26" w:rsidRPr="00857CDA">
        <w:rPr>
          <w:lang w:val="ro-RO"/>
        </w:rPr>
        <w:t>.</w:t>
      </w:r>
    </w:p>
    <w:p w:rsidR="007A2A1D" w:rsidRPr="00857CDA" w:rsidRDefault="007A2A1D" w:rsidP="007A2A1D">
      <w:pPr>
        <w:pStyle w:val="ParNoG"/>
        <w:numPr>
          <w:ilvl w:val="0"/>
          <w:numId w:val="0"/>
        </w:numPr>
        <w:tabs>
          <w:tab w:val="left" w:pos="2268"/>
        </w:tabs>
        <w:kinsoku w:val="0"/>
        <w:overflowPunct w:val="0"/>
        <w:autoSpaceDE w:val="0"/>
        <w:autoSpaceDN w:val="0"/>
        <w:adjustRightInd w:val="0"/>
        <w:snapToGrid w:val="0"/>
        <w:ind w:left="1134"/>
        <w:rPr>
          <w:lang w:val="ro-RO"/>
        </w:rPr>
      </w:pPr>
      <w:r w:rsidRPr="00857CDA">
        <w:rPr>
          <w:lang w:val="ro-RO"/>
        </w:rPr>
        <w:t>7.5.7.1</w:t>
      </w:r>
      <w:r w:rsidRPr="00857CDA">
        <w:rPr>
          <w:lang w:val="ro-RO"/>
        </w:rPr>
        <w:tab/>
      </w:r>
      <w:r w:rsidR="002B679C" w:rsidRPr="00857CDA">
        <w:rPr>
          <w:lang w:val="ro-RO"/>
        </w:rPr>
        <w:t>Se modifică</w:t>
      </w:r>
      <w:r w:rsidRPr="00857CDA">
        <w:rPr>
          <w:lang w:val="ro-RO"/>
        </w:rPr>
        <w:t xml:space="preserve"> not</w:t>
      </w:r>
      <w:r w:rsidR="00570A93" w:rsidRPr="00857CDA">
        <w:rPr>
          <w:lang w:val="ro-RO"/>
        </w:rPr>
        <w:t>a</w:t>
      </w:r>
      <w:r w:rsidRPr="00857CDA">
        <w:rPr>
          <w:lang w:val="ro-RO"/>
        </w:rPr>
        <w:t xml:space="preserve"> de </w:t>
      </w:r>
      <w:r w:rsidR="00570A93" w:rsidRPr="00857CDA">
        <w:rPr>
          <w:lang w:val="ro-RO"/>
        </w:rPr>
        <w:t>subsol</w:t>
      </w:r>
      <w:r w:rsidRPr="00857CDA">
        <w:rPr>
          <w:lang w:val="ro-RO"/>
        </w:rPr>
        <w:t> 1</w:t>
      </w:r>
      <w:r w:rsidR="002B679C" w:rsidRPr="00857CDA">
        <w:rPr>
          <w:lang w:val="ro-RO"/>
        </w:rPr>
        <w:t>, după cum urmează</w:t>
      </w:r>
      <w:r w:rsidR="00091658" w:rsidRPr="00857CDA">
        <w:rPr>
          <w:lang w:val="ro-RO"/>
        </w:rPr>
        <w:t>:</w:t>
      </w:r>
      <w:r w:rsidRPr="00857CDA">
        <w:rPr>
          <w:lang w:val="ro-RO"/>
        </w:rPr>
        <w:t xml:space="preserve"> </w:t>
      </w:r>
    </w:p>
    <w:p w:rsidR="007A2A1D" w:rsidRPr="00857CDA" w:rsidRDefault="008B288A" w:rsidP="007A2A1D">
      <w:pPr>
        <w:pStyle w:val="SingleTxtG"/>
        <w:rPr>
          <w:i/>
          <w:lang w:val="ro-RO"/>
        </w:rPr>
      </w:pPr>
      <w:r w:rsidRPr="00857CDA">
        <w:rPr>
          <w:lang w:val="ro-RO"/>
        </w:rPr>
        <w:t>„</w:t>
      </w:r>
      <w:r w:rsidR="007A2A1D" w:rsidRPr="00857CDA">
        <w:rPr>
          <w:rStyle w:val="FootnoteReference"/>
          <w:b/>
          <w:sz w:val="20"/>
          <w:lang w:val="ro-RO"/>
        </w:rPr>
        <w:t>1</w:t>
      </w:r>
      <w:r w:rsidR="007A2A1D" w:rsidRPr="00857CDA">
        <w:rPr>
          <w:i/>
          <w:lang w:val="ro-RO"/>
        </w:rPr>
        <w:tab/>
      </w:r>
      <w:r w:rsidR="009715D9" w:rsidRPr="00857CDA">
        <w:rPr>
          <w:i/>
          <w:iCs/>
          <w:lang w:val="ro-RO" w:eastAsia="ro-RO"/>
        </w:rPr>
        <w:t>Instrucțiuni</w:t>
      </w:r>
      <w:r w:rsidR="00F0766E" w:rsidRPr="00857CDA">
        <w:rPr>
          <w:i/>
          <w:iCs/>
          <w:lang w:val="ro-RO" w:eastAsia="ro-RO"/>
        </w:rPr>
        <w:t>le</w:t>
      </w:r>
      <w:r w:rsidR="009715D9" w:rsidRPr="00857CDA">
        <w:rPr>
          <w:i/>
          <w:iCs/>
          <w:lang w:val="ro-RO" w:eastAsia="ro-RO"/>
        </w:rPr>
        <w:t xml:space="preserve"> privind arimarea mărfurilor periculoase se găsesc în </w:t>
      </w:r>
      <w:r w:rsidR="00F0766E" w:rsidRPr="00857CDA">
        <w:rPr>
          <w:i/>
          <w:iCs/>
          <w:lang w:val="ro-RO" w:eastAsia="ro-RO"/>
        </w:rPr>
        <w:t xml:space="preserve">Codul de bune practici al OMI/OIM/CEE-ONU pentru încărcarea unitățile de transport marfă (Cod CTU) (a se vedea, de exemplu, capitolul 9 Încărcarea mărfurilor pe unitățile de transport marfă și capitolul 10 </w:t>
      </w:r>
      <w:r w:rsidR="009715D9" w:rsidRPr="00857CDA">
        <w:rPr>
          <w:i/>
          <w:iCs/>
          <w:lang w:val="ro-RO" w:eastAsia="ro-RO"/>
        </w:rPr>
        <w:t xml:space="preserve">Ghid </w:t>
      </w:r>
      <w:r w:rsidR="00F0766E" w:rsidRPr="00857CDA">
        <w:rPr>
          <w:i/>
          <w:iCs/>
          <w:lang w:val="ro-RO" w:eastAsia="ro-RO"/>
        </w:rPr>
        <w:t xml:space="preserve">suplimentar pentru încărcarea mărfurilor periculoase) și în </w:t>
      </w:r>
      <w:r w:rsidR="00F0766E" w:rsidRPr="00857CDA">
        <w:rPr>
          <w:lang w:val="ro-RO"/>
        </w:rPr>
        <w:t>„</w:t>
      </w:r>
      <w:r w:rsidR="00F0766E" w:rsidRPr="00857CDA">
        <w:rPr>
          <w:i/>
          <w:iCs/>
          <w:lang w:val="ro-RO" w:eastAsia="ro-RO"/>
        </w:rPr>
        <w:t>Codul de</w:t>
      </w:r>
      <w:r w:rsidR="009715D9" w:rsidRPr="00857CDA">
        <w:rPr>
          <w:i/>
          <w:iCs/>
          <w:lang w:val="ro-RO" w:eastAsia="ro-RO"/>
        </w:rPr>
        <w:t xml:space="preserve"> bune practici </w:t>
      </w:r>
      <w:r w:rsidR="00F0766E" w:rsidRPr="00857CDA">
        <w:rPr>
          <w:i/>
          <w:iCs/>
          <w:lang w:val="ro-RO" w:eastAsia="ro-RO"/>
        </w:rPr>
        <w:t>european p</w:t>
      </w:r>
      <w:r w:rsidR="009715D9" w:rsidRPr="00857CDA">
        <w:rPr>
          <w:i/>
          <w:iCs/>
          <w:lang w:val="ro-RO" w:eastAsia="ro-RO"/>
        </w:rPr>
        <w:t xml:space="preserve">rivind arimarea încărcăturilor pe vehiculele rutiere" publicat de către Comisia Europeană. Alte </w:t>
      </w:r>
      <w:r w:rsidR="00F0766E" w:rsidRPr="00857CDA">
        <w:rPr>
          <w:i/>
          <w:iCs/>
          <w:lang w:val="ro-RO" w:eastAsia="ro-RO"/>
        </w:rPr>
        <w:t>îndrumări</w:t>
      </w:r>
      <w:r w:rsidR="009715D9" w:rsidRPr="00857CDA">
        <w:rPr>
          <w:i/>
          <w:iCs/>
          <w:lang w:val="ro-RO" w:eastAsia="ro-RO"/>
        </w:rPr>
        <w:t xml:space="preserve"> sunt disponibile la autoritățile competente și organisme</w:t>
      </w:r>
      <w:r w:rsidR="00F0766E" w:rsidRPr="00857CDA">
        <w:rPr>
          <w:i/>
          <w:iCs/>
          <w:lang w:val="ro-RO" w:eastAsia="ro-RO"/>
        </w:rPr>
        <w:t>le</w:t>
      </w:r>
      <w:r w:rsidR="009715D9" w:rsidRPr="00857CDA">
        <w:rPr>
          <w:i/>
          <w:iCs/>
          <w:lang w:val="ro-RO" w:eastAsia="ro-RO"/>
        </w:rPr>
        <w:t xml:space="preserve"> industriei</w:t>
      </w:r>
      <w:r w:rsidR="007A2A1D" w:rsidRPr="00857CDA">
        <w:rPr>
          <w:i/>
          <w:lang w:val="ro-RO"/>
        </w:rPr>
        <w:t>.</w:t>
      </w:r>
      <w:r w:rsidR="00660131" w:rsidRPr="00857CDA">
        <w:rPr>
          <w:i/>
          <w:lang w:val="ro-RO"/>
        </w:rPr>
        <w:t>”</w:t>
      </w:r>
      <w:r w:rsidR="007A2A1D" w:rsidRPr="00857CDA">
        <w:rPr>
          <w:lang w:val="ro-RO"/>
        </w:rPr>
        <w:t>.</w:t>
      </w:r>
    </w:p>
    <w:p w:rsidR="007A2A1D" w:rsidRPr="00857CDA" w:rsidRDefault="001E0D22" w:rsidP="001E0D22">
      <w:pPr>
        <w:pStyle w:val="SingleTxtG"/>
        <w:tabs>
          <w:tab w:val="left" w:pos="2268"/>
        </w:tabs>
        <w:rPr>
          <w:iCs/>
          <w:lang w:val="ro-RO"/>
        </w:rPr>
      </w:pPr>
      <w:r w:rsidRPr="00857CDA">
        <w:rPr>
          <w:iCs/>
          <w:lang w:val="ro-RO"/>
        </w:rPr>
        <w:t>7.5.7.4</w:t>
      </w:r>
      <w:r w:rsidR="007A2A1D" w:rsidRPr="00857CDA">
        <w:rPr>
          <w:iCs/>
          <w:lang w:val="ro-RO"/>
        </w:rPr>
        <w:tab/>
      </w:r>
      <w:r w:rsidR="002B679C" w:rsidRPr="00857CDA">
        <w:rPr>
          <w:iCs/>
          <w:lang w:val="ro-RO"/>
        </w:rPr>
        <w:t>Se modifică, după cum urmează</w:t>
      </w:r>
      <w:r w:rsidR="00091658" w:rsidRPr="00857CDA">
        <w:rPr>
          <w:iCs/>
          <w:lang w:val="ro-RO"/>
        </w:rPr>
        <w:t>:</w:t>
      </w:r>
    </w:p>
    <w:p w:rsidR="007A2A1D" w:rsidRPr="00857CDA" w:rsidRDefault="008B288A" w:rsidP="00B371DF">
      <w:pPr>
        <w:pStyle w:val="SingleTxtG"/>
        <w:rPr>
          <w:lang w:val="ro-RO"/>
        </w:rPr>
      </w:pPr>
      <w:r w:rsidRPr="00857CDA">
        <w:rPr>
          <w:lang w:val="ro-RO"/>
        </w:rPr>
        <w:t>„</w:t>
      </w:r>
      <w:r w:rsidR="007A2A1D" w:rsidRPr="00857CDA">
        <w:rPr>
          <w:lang w:val="ro-RO"/>
        </w:rPr>
        <w:t>7.5.7.4</w:t>
      </w:r>
      <w:r w:rsidR="007A2A1D" w:rsidRPr="00857CDA">
        <w:rPr>
          <w:lang w:val="ro-RO"/>
        </w:rPr>
        <w:tab/>
      </w:r>
      <w:r w:rsidR="009E7C28" w:rsidRPr="00857CDA">
        <w:rPr>
          <w:lang w:val="ro-RO"/>
        </w:rPr>
        <w:t xml:space="preserve">Dispozițiile de la 7.5.7.1 se aplică, de asemenea, încărcării și arimării containerelor, containerelor-cisternă, cisternelor mobile și CGEM pe vehicule, precum și descărcării acestora de pe vehicule. Pentru containerele-cisternă, cisternele mobile și CGEM care nu includ, din construcție, piese de colț în conformitate cu ISO 1496-1 (Containere din seria 1 - Specificație și încercare - Partea 1: Containere de uz general pentru mărfuri diverse), </w:t>
      </w:r>
      <w:r w:rsidR="00B371DF" w:rsidRPr="00857CDA">
        <w:rPr>
          <w:lang w:val="ro-RO"/>
        </w:rPr>
        <w:t>trebuie verificat dacă</w:t>
      </w:r>
      <w:r w:rsidR="009E7C28" w:rsidRPr="00857CDA">
        <w:rPr>
          <w:lang w:val="ro-RO"/>
        </w:rPr>
        <w:t xml:space="preserve"> dispozitivele </w:t>
      </w:r>
      <w:r w:rsidR="00B371DF" w:rsidRPr="00857CDA">
        <w:rPr>
          <w:lang w:val="ro-RO"/>
        </w:rPr>
        <w:t>utilizate</w:t>
      </w:r>
      <w:r w:rsidR="009E7C28" w:rsidRPr="00857CDA">
        <w:rPr>
          <w:lang w:val="ro-RO"/>
        </w:rPr>
        <w:t xml:space="preserve"> pe </w:t>
      </w:r>
      <w:r w:rsidR="00B371DF" w:rsidRPr="00857CDA">
        <w:rPr>
          <w:lang w:val="ro-RO"/>
        </w:rPr>
        <w:t>container</w:t>
      </w:r>
      <w:r w:rsidR="009E7C28" w:rsidRPr="00857CDA">
        <w:rPr>
          <w:lang w:val="ro-RO"/>
        </w:rPr>
        <w:t xml:space="preserve">ele-cisternă, cisternele </w:t>
      </w:r>
      <w:r w:rsidR="00B371DF" w:rsidRPr="00857CDA">
        <w:rPr>
          <w:lang w:val="ro-RO"/>
        </w:rPr>
        <w:t>mobile</w:t>
      </w:r>
      <w:r w:rsidR="009E7C28" w:rsidRPr="00857CDA">
        <w:rPr>
          <w:lang w:val="ro-RO"/>
        </w:rPr>
        <w:t xml:space="preserve"> și C</w:t>
      </w:r>
      <w:r w:rsidR="00B371DF" w:rsidRPr="00857CDA">
        <w:rPr>
          <w:lang w:val="ro-RO"/>
        </w:rPr>
        <w:t>GEM</w:t>
      </w:r>
      <w:r w:rsidR="009E7C28" w:rsidRPr="00857CDA">
        <w:rPr>
          <w:lang w:val="ro-RO"/>
        </w:rPr>
        <w:t xml:space="preserve"> sunt compatibile cu dispozitivul montat pe vehicul și </w:t>
      </w:r>
      <w:r w:rsidR="00B371DF" w:rsidRPr="00857CDA">
        <w:rPr>
          <w:lang w:val="ro-RO"/>
        </w:rPr>
        <w:t>sunt conforme cu prescripțiile</w:t>
      </w:r>
      <w:r w:rsidR="009E7C28" w:rsidRPr="00857CDA">
        <w:rPr>
          <w:lang w:val="ro-RO"/>
        </w:rPr>
        <w:t xml:space="preserve"> de la </w:t>
      </w:r>
      <w:r w:rsidR="00B371DF" w:rsidRPr="00857CDA">
        <w:rPr>
          <w:lang w:val="ro-RO"/>
        </w:rPr>
        <w:t>secțiunea 9.7.3</w:t>
      </w:r>
      <w:r w:rsidR="007A2A1D" w:rsidRPr="00857CDA">
        <w:rPr>
          <w:lang w:val="ro-RO"/>
        </w:rPr>
        <w:t>.</w:t>
      </w:r>
      <w:r w:rsidR="00660131" w:rsidRPr="00857CDA">
        <w:rPr>
          <w:lang w:val="ro-RO"/>
        </w:rPr>
        <w:t>”</w:t>
      </w:r>
      <w:r w:rsidR="007A2A1D" w:rsidRPr="00857CDA">
        <w:rPr>
          <w:lang w:val="ro-RO"/>
        </w:rPr>
        <w:t>.</w:t>
      </w:r>
    </w:p>
    <w:p w:rsidR="002F5575" w:rsidRPr="00857CDA" w:rsidRDefault="002F5575" w:rsidP="002F5575">
      <w:pPr>
        <w:pStyle w:val="SingleTxtG"/>
        <w:rPr>
          <w:lang w:val="ro-RO"/>
        </w:rPr>
      </w:pPr>
      <w:r w:rsidRPr="00857CDA">
        <w:rPr>
          <w:lang w:val="ro-RO"/>
        </w:rPr>
        <w:t>7.5.7.6.1</w:t>
      </w:r>
      <w:r w:rsidRPr="00857CDA">
        <w:rPr>
          <w:lang w:val="ro-RO"/>
        </w:rPr>
        <w:tab/>
      </w:r>
      <w:r w:rsidR="00902C44" w:rsidRPr="00857CDA">
        <w:rPr>
          <w:lang w:val="ro-RO"/>
        </w:rPr>
        <w:t xml:space="preserve">În </w:t>
      </w:r>
      <w:r w:rsidRPr="00857CDA">
        <w:rPr>
          <w:lang w:val="ro-RO"/>
        </w:rPr>
        <w:t>Not</w:t>
      </w:r>
      <w:r w:rsidR="00F0766E" w:rsidRPr="00857CDA">
        <w:rPr>
          <w:lang w:val="ro-RO"/>
        </w:rPr>
        <w:t>ă</w:t>
      </w:r>
      <w:r w:rsidRPr="00857CDA">
        <w:rPr>
          <w:lang w:val="ro-RO"/>
        </w:rPr>
        <w:t xml:space="preserve">, </w:t>
      </w:r>
      <w:r w:rsidR="00991390" w:rsidRPr="00857CDA">
        <w:rPr>
          <w:lang w:val="ro-RO"/>
        </w:rPr>
        <w:t>după</w:t>
      </w:r>
      <w:r w:rsidRPr="00857CDA">
        <w:rPr>
          <w:lang w:val="ro-RO"/>
        </w:rPr>
        <w:t xml:space="preserve"> </w:t>
      </w:r>
      <w:r w:rsidR="008B288A" w:rsidRPr="00857CDA">
        <w:rPr>
          <w:lang w:val="ro-RO"/>
        </w:rPr>
        <w:t>„</w:t>
      </w:r>
      <w:r w:rsidR="00F0766E" w:rsidRPr="00857CDA">
        <w:rPr>
          <w:lang w:val="ro-RO"/>
        </w:rPr>
        <w:t>stabilite la</w:t>
      </w:r>
      <w:r w:rsidRPr="00857CDA">
        <w:rPr>
          <w:lang w:val="ro-RO"/>
        </w:rPr>
        <w:t xml:space="preserve"> 7.5.7.1</w:t>
      </w:r>
      <w:r w:rsidR="00660131" w:rsidRPr="00857CDA">
        <w:rPr>
          <w:lang w:val="ro-RO"/>
        </w:rPr>
        <w:t>”</w:t>
      </w:r>
      <w:r w:rsidRPr="00857CDA">
        <w:rPr>
          <w:lang w:val="ro-RO"/>
        </w:rPr>
        <w:t xml:space="preserve"> </w:t>
      </w:r>
      <w:r w:rsidR="00902C44" w:rsidRPr="00857CDA">
        <w:rPr>
          <w:lang w:val="ro-RO"/>
        </w:rPr>
        <w:t>Se șterge</w:t>
      </w:r>
      <w:r w:rsidRPr="00857CDA">
        <w:rPr>
          <w:lang w:val="ro-RO"/>
        </w:rPr>
        <w:t xml:space="preserve"> </w:t>
      </w:r>
      <w:r w:rsidR="008B288A" w:rsidRPr="00857CDA">
        <w:rPr>
          <w:lang w:val="ro-RO"/>
        </w:rPr>
        <w:t xml:space="preserve">„ </w:t>
      </w:r>
      <w:r w:rsidRPr="00857CDA">
        <w:rPr>
          <w:lang w:val="ro-RO"/>
        </w:rPr>
        <w:t xml:space="preserve">, </w:t>
      </w:r>
      <w:r w:rsidR="00F0766E" w:rsidRPr="00857CDA">
        <w:rPr>
          <w:lang w:val="ro-RO"/>
        </w:rPr>
        <w:t>precum și prin Codul de bune practici al OMI/OIM/CEE-ONU pentru încărcarea unitățile de transport marfă (Cod CTU)</w:t>
      </w:r>
      <w:r w:rsidR="00660131" w:rsidRPr="00857CDA">
        <w:rPr>
          <w:lang w:val="ro-RO"/>
        </w:rPr>
        <w:t>”</w:t>
      </w:r>
      <w:r w:rsidRPr="00857CDA">
        <w:rPr>
          <w:lang w:val="ro-RO"/>
        </w:rPr>
        <w:t>.</w:t>
      </w:r>
    </w:p>
    <w:p w:rsidR="000B1500" w:rsidRPr="00857CDA" w:rsidRDefault="000B1500" w:rsidP="000B1500">
      <w:pPr>
        <w:pStyle w:val="SingleTxtG"/>
        <w:rPr>
          <w:lang w:val="ro-RO"/>
        </w:rPr>
      </w:pPr>
      <w:r w:rsidRPr="00857CDA">
        <w:rPr>
          <w:lang w:val="ro-RO"/>
        </w:rPr>
        <w:t>7.5</w:t>
      </w:r>
      <w:r w:rsidR="00CD744E" w:rsidRPr="00857CDA">
        <w:rPr>
          <w:lang w:val="ro-RO"/>
        </w:rPr>
        <w:t xml:space="preserve">.11, </w:t>
      </w:r>
      <w:r w:rsidR="0043120D" w:rsidRPr="00857CDA">
        <w:rPr>
          <w:lang w:val="ro-RO"/>
        </w:rPr>
        <w:t>Dispoziția specială</w:t>
      </w:r>
      <w:r w:rsidR="00CD744E" w:rsidRPr="00857CDA">
        <w:rPr>
          <w:lang w:val="ro-RO"/>
        </w:rPr>
        <w:t xml:space="preserve"> CV20</w:t>
      </w:r>
      <w:r w:rsidR="00CD744E" w:rsidRPr="00857CDA">
        <w:rPr>
          <w:lang w:val="ro-RO"/>
        </w:rPr>
        <w:tab/>
      </w:r>
      <w:r w:rsidR="00B371DF" w:rsidRPr="00857CDA">
        <w:rPr>
          <w:lang w:val="ro-RO"/>
        </w:rPr>
        <w:t>S</w:t>
      </w:r>
      <w:r w:rsidR="00902C44" w:rsidRPr="00857CDA">
        <w:rPr>
          <w:lang w:val="ro-RO"/>
        </w:rPr>
        <w:t>e modifică</w:t>
      </w:r>
      <w:r w:rsidRPr="00857CDA">
        <w:rPr>
          <w:lang w:val="ro-RO"/>
        </w:rPr>
        <w:t xml:space="preserve"> </w:t>
      </w:r>
      <w:r w:rsidR="008B288A" w:rsidRPr="00857CDA">
        <w:rPr>
          <w:lang w:val="ro-RO"/>
        </w:rPr>
        <w:t>„</w:t>
      </w:r>
      <w:r w:rsidR="00B371DF" w:rsidRPr="00857CDA">
        <w:rPr>
          <w:lang w:val="ro-RO"/>
        </w:rPr>
        <w:t>și dispozițiile speciale V1 și V8 (5) și (6) nu sunt aplicabile</w:t>
      </w:r>
      <w:r w:rsidR="00660131" w:rsidRPr="00857CDA">
        <w:rPr>
          <w:lang w:val="ro-RO"/>
        </w:rPr>
        <w:t>”</w:t>
      </w:r>
      <w:r w:rsidR="00902C44" w:rsidRPr="00857CDA">
        <w:rPr>
          <w:lang w:val="ro-RO"/>
        </w:rPr>
        <w:t xml:space="preserve"> cu </w:t>
      </w:r>
      <w:r w:rsidR="008B288A" w:rsidRPr="00857CDA">
        <w:rPr>
          <w:lang w:val="ro-RO"/>
        </w:rPr>
        <w:t xml:space="preserve">„ </w:t>
      </w:r>
      <w:r w:rsidRPr="00857CDA">
        <w:rPr>
          <w:lang w:val="ro-RO"/>
        </w:rPr>
        <w:t xml:space="preserve">, </w:t>
      </w:r>
      <w:r w:rsidR="00B371DF" w:rsidRPr="00857CDA">
        <w:rPr>
          <w:lang w:val="ro-RO"/>
        </w:rPr>
        <w:t>paragraful</w:t>
      </w:r>
      <w:r w:rsidRPr="00857CDA">
        <w:rPr>
          <w:lang w:val="ro-RO"/>
        </w:rPr>
        <w:t xml:space="preserve"> 7.1.7.4.7</w:t>
      </w:r>
      <w:r w:rsidR="004C27AD" w:rsidRPr="00857CDA">
        <w:rPr>
          <w:lang w:val="ro-RO"/>
        </w:rPr>
        <w:t xml:space="preserve"> și </w:t>
      </w:r>
      <w:r w:rsidR="00B371DF" w:rsidRPr="00857CDA">
        <w:rPr>
          <w:lang w:val="ro-RO"/>
        </w:rPr>
        <w:t xml:space="preserve">paragraful </w:t>
      </w:r>
      <w:r w:rsidRPr="00857CDA">
        <w:rPr>
          <w:lang w:val="ro-RO"/>
        </w:rPr>
        <w:t>7.1.7.4.8</w:t>
      </w:r>
      <w:r w:rsidR="00B371DF" w:rsidRPr="00857CDA">
        <w:rPr>
          <w:lang w:val="ro-RO"/>
        </w:rPr>
        <w:t>, precum și d</w:t>
      </w:r>
      <w:r w:rsidR="0043120D" w:rsidRPr="00857CDA">
        <w:rPr>
          <w:lang w:val="ro-RO"/>
        </w:rPr>
        <w:t>ispoziția specială</w:t>
      </w:r>
      <w:r w:rsidRPr="00857CDA">
        <w:rPr>
          <w:lang w:val="ro-RO"/>
        </w:rPr>
        <w:t xml:space="preserve"> V1 d</w:t>
      </w:r>
      <w:r w:rsidR="00B371DF" w:rsidRPr="00857CDA">
        <w:rPr>
          <w:lang w:val="ro-RO"/>
        </w:rPr>
        <w:t>e la</w:t>
      </w:r>
      <w:r w:rsidRPr="00857CDA">
        <w:rPr>
          <w:lang w:val="ro-RO"/>
        </w:rPr>
        <w:t xml:space="preserve"> </w:t>
      </w:r>
      <w:r w:rsidR="00902C44" w:rsidRPr="00857CDA">
        <w:rPr>
          <w:lang w:val="ro-RO"/>
        </w:rPr>
        <w:t>Capitolul</w:t>
      </w:r>
      <w:r w:rsidRPr="00857CDA">
        <w:rPr>
          <w:lang w:val="ro-RO"/>
        </w:rPr>
        <w:t xml:space="preserve"> 7.2</w:t>
      </w:r>
      <w:r w:rsidR="00B371DF" w:rsidRPr="00857CDA">
        <w:rPr>
          <w:lang w:val="ro-RO"/>
        </w:rPr>
        <w:t xml:space="preserve"> nu sunt aplicabile</w:t>
      </w:r>
      <w:r w:rsidR="00660131" w:rsidRPr="00857CDA">
        <w:rPr>
          <w:lang w:val="ro-RO"/>
        </w:rPr>
        <w:t>”</w:t>
      </w:r>
      <w:r w:rsidRPr="00857CDA">
        <w:rPr>
          <w:lang w:val="ro-RO"/>
        </w:rPr>
        <w:t>.</w:t>
      </w:r>
    </w:p>
    <w:p w:rsidR="000B1500" w:rsidRPr="00857CDA" w:rsidRDefault="000B1500" w:rsidP="000B1500">
      <w:pPr>
        <w:pStyle w:val="SingleTxtG"/>
        <w:rPr>
          <w:lang w:val="ro-RO"/>
        </w:rPr>
      </w:pPr>
      <w:r w:rsidRPr="00857CDA">
        <w:rPr>
          <w:lang w:val="ro-RO"/>
        </w:rPr>
        <w:t>7.5</w:t>
      </w:r>
      <w:r w:rsidR="00CD744E" w:rsidRPr="00857CDA">
        <w:rPr>
          <w:lang w:val="ro-RO"/>
        </w:rPr>
        <w:t xml:space="preserve">.11, </w:t>
      </w:r>
      <w:r w:rsidR="0043120D" w:rsidRPr="00857CDA">
        <w:rPr>
          <w:lang w:val="ro-RO"/>
        </w:rPr>
        <w:t>Dispoziția specială</w:t>
      </w:r>
      <w:r w:rsidR="00CD744E" w:rsidRPr="00857CDA">
        <w:rPr>
          <w:lang w:val="ro-RO"/>
        </w:rPr>
        <w:t xml:space="preserve"> CV21</w:t>
      </w:r>
      <w:r w:rsidR="00CD744E" w:rsidRPr="00857CDA">
        <w:rPr>
          <w:lang w:val="ro-RO"/>
        </w:rPr>
        <w:tab/>
      </w:r>
      <w:r w:rsidR="00902C44" w:rsidRPr="00857CDA">
        <w:rPr>
          <w:lang w:val="ro-RO"/>
        </w:rPr>
        <w:t xml:space="preserve">În </w:t>
      </w:r>
      <w:r w:rsidR="00B371DF" w:rsidRPr="00857CDA">
        <w:rPr>
          <w:lang w:val="ro-RO"/>
        </w:rPr>
        <w:t>cel de al treilea</w:t>
      </w:r>
      <w:r w:rsidRPr="00857CDA">
        <w:rPr>
          <w:lang w:val="ro-RO"/>
        </w:rPr>
        <w:t xml:space="preserve"> </w:t>
      </w:r>
      <w:r w:rsidR="00970E20" w:rsidRPr="00857CDA">
        <w:rPr>
          <w:lang w:val="ro-RO"/>
        </w:rPr>
        <w:t>paragraf</w:t>
      </w:r>
      <w:r w:rsidRPr="00857CDA">
        <w:rPr>
          <w:lang w:val="ro-RO"/>
        </w:rPr>
        <w:t xml:space="preserve">, </w:t>
      </w:r>
      <w:r w:rsidR="00B371DF" w:rsidRPr="00857CDA">
        <w:rPr>
          <w:lang w:val="ro-RO"/>
        </w:rPr>
        <w:t>s</w:t>
      </w:r>
      <w:r w:rsidR="00902C44" w:rsidRPr="00857CDA">
        <w:rPr>
          <w:lang w:val="ro-RO"/>
        </w:rPr>
        <w:t>e modifică</w:t>
      </w:r>
      <w:r w:rsidRPr="00857CDA">
        <w:rPr>
          <w:lang w:val="ro-RO"/>
        </w:rPr>
        <w:t xml:space="preserve"> </w:t>
      </w:r>
      <w:r w:rsidR="008B288A" w:rsidRPr="00857CDA">
        <w:rPr>
          <w:lang w:val="ro-RO"/>
        </w:rPr>
        <w:t>„</w:t>
      </w:r>
      <w:r w:rsidR="00B371DF" w:rsidRPr="00857CDA">
        <w:rPr>
          <w:lang w:val="ro-RO"/>
        </w:rPr>
        <w:t>conform metodelor R2 sau R4 ale dispoziției speciale V8(3) din capitolul 7.2</w:t>
      </w:r>
      <w:r w:rsidR="00660131" w:rsidRPr="00857CDA">
        <w:rPr>
          <w:lang w:val="ro-RO"/>
        </w:rPr>
        <w:t>”</w:t>
      </w:r>
      <w:r w:rsidR="00902C44" w:rsidRPr="00857CDA">
        <w:rPr>
          <w:lang w:val="ro-RO"/>
        </w:rPr>
        <w:t xml:space="preserve"> cu </w:t>
      </w:r>
      <w:r w:rsidR="008B288A" w:rsidRPr="00857CDA">
        <w:rPr>
          <w:lang w:val="ro-RO"/>
        </w:rPr>
        <w:t>„</w:t>
      </w:r>
      <w:r w:rsidR="00B371DF" w:rsidRPr="00857CDA">
        <w:rPr>
          <w:lang w:val="ro-RO"/>
        </w:rPr>
        <w:t>conform metodelor descrise la</w:t>
      </w:r>
      <w:r w:rsidRPr="00857CDA">
        <w:rPr>
          <w:lang w:val="ro-RO"/>
        </w:rPr>
        <w:t xml:space="preserve"> 7.1.7.4.5 b) </w:t>
      </w:r>
      <w:r w:rsidR="00B371DF" w:rsidRPr="00857CDA">
        <w:rPr>
          <w:lang w:val="ro-RO"/>
        </w:rPr>
        <w:t>sa</w:t>
      </w:r>
      <w:r w:rsidRPr="00857CDA">
        <w:rPr>
          <w:lang w:val="ro-RO"/>
        </w:rPr>
        <w:t>u d)</w:t>
      </w:r>
      <w:r w:rsidR="00660131" w:rsidRPr="00857CDA">
        <w:rPr>
          <w:lang w:val="ro-RO"/>
        </w:rPr>
        <w:t>”</w:t>
      </w:r>
      <w:r w:rsidRPr="00857CDA">
        <w:rPr>
          <w:lang w:val="ro-RO"/>
        </w:rPr>
        <w:t>.</w:t>
      </w:r>
    </w:p>
    <w:p w:rsidR="002F5575" w:rsidRPr="00857CDA" w:rsidRDefault="002F5575" w:rsidP="002F5575">
      <w:pPr>
        <w:pStyle w:val="SingleTxtG"/>
        <w:rPr>
          <w:lang w:val="ro-RO" w:eastAsia="en-GB"/>
        </w:rPr>
      </w:pPr>
      <w:r w:rsidRPr="00857CDA">
        <w:rPr>
          <w:lang w:val="ro-RO"/>
        </w:rPr>
        <w:t xml:space="preserve">7.5.11, </w:t>
      </w:r>
      <w:r w:rsidR="0043120D" w:rsidRPr="00857CDA">
        <w:rPr>
          <w:lang w:val="ro-RO"/>
        </w:rPr>
        <w:t>Dispoziția specială</w:t>
      </w:r>
      <w:r w:rsidRPr="00857CDA">
        <w:rPr>
          <w:lang w:val="ro-RO"/>
        </w:rPr>
        <w:t xml:space="preserve"> </w:t>
      </w:r>
      <w:r w:rsidR="00CD744E" w:rsidRPr="00857CDA">
        <w:rPr>
          <w:lang w:val="ro-RO"/>
        </w:rPr>
        <w:t>CV36</w:t>
      </w:r>
      <w:r w:rsidR="00CD744E" w:rsidRPr="00857CDA">
        <w:rPr>
          <w:lang w:val="ro-RO"/>
        </w:rPr>
        <w:tab/>
      </w:r>
      <w:r w:rsidR="002B679C" w:rsidRPr="00857CDA">
        <w:rPr>
          <w:lang w:val="ro-RO" w:eastAsia="en-GB"/>
        </w:rPr>
        <w:t>Se modifică</w:t>
      </w:r>
      <w:r w:rsidR="00B371DF" w:rsidRPr="00857CDA">
        <w:rPr>
          <w:lang w:val="ro-RO" w:eastAsia="en-GB"/>
        </w:rPr>
        <w:t xml:space="preserve"> începutul</w:t>
      </w:r>
      <w:r w:rsidR="00CD744E" w:rsidRPr="00857CDA">
        <w:rPr>
          <w:lang w:val="ro-RO" w:eastAsia="en-GB"/>
        </w:rPr>
        <w:t xml:space="preserve"> </w:t>
      </w:r>
      <w:r w:rsidRPr="00857CDA">
        <w:rPr>
          <w:lang w:val="ro-RO" w:eastAsia="en-GB"/>
        </w:rPr>
        <w:t>pr</w:t>
      </w:r>
      <w:r w:rsidR="00B371DF" w:rsidRPr="00857CDA">
        <w:rPr>
          <w:lang w:val="ro-RO" w:eastAsia="en-GB"/>
        </w:rPr>
        <w:t>i</w:t>
      </w:r>
      <w:r w:rsidRPr="00857CDA">
        <w:rPr>
          <w:lang w:val="ro-RO" w:eastAsia="en-GB"/>
        </w:rPr>
        <w:t>m</w:t>
      </w:r>
      <w:r w:rsidR="00B371DF" w:rsidRPr="00857CDA">
        <w:rPr>
          <w:lang w:val="ro-RO" w:eastAsia="en-GB"/>
        </w:rPr>
        <w:t>ului</w:t>
      </w:r>
      <w:r w:rsidRPr="00857CDA">
        <w:rPr>
          <w:lang w:val="ro-RO" w:eastAsia="en-GB"/>
        </w:rPr>
        <w:t xml:space="preserve"> </w:t>
      </w:r>
      <w:r w:rsidR="00970E20" w:rsidRPr="00857CDA">
        <w:rPr>
          <w:lang w:val="ro-RO" w:eastAsia="en-GB"/>
        </w:rPr>
        <w:t>paragraf</w:t>
      </w:r>
      <w:r w:rsidR="002B679C" w:rsidRPr="00857CDA">
        <w:rPr>
          <w:lang w:val="ro-RO" w:eastAsia="en-GB"/>
        </w:rPr>
        <w:t>, după cum urmează</w:t>
      </w:r>
      <w:r w:rsidR="00091658" w:rsidRPr="00857CDA">
        <w:rPr>
          <w:lang w:val="ro-RO" w:eastAsia="en-GB"/>
        </w:rPr>
        <w:t>:</w:t>
      </w:r>
    </w:p>
    <w:p w:rsidR="002F5575" w:rsidRPr="00857CDA" w:rsidRDefault="008B288A" w:rsidP="00B371DF">
      <w:pPr>
        <w:pStyle w:val="SingleTxtG"/>
        <w:rPr>
          <w:lang w:val="ro-RO" w:eastAsia="en-GB"/>
        </w:rPr>
      </w:pPr>
      <w:r w:rsidRPr="00857CDA">
        <w:rPr>
          <w:lang w:val="ro-RO"/>
        </w:rPr>
        <w:t>„</w:t>
      </w:r>
      <w:r w:rsidR="00B371DF" w:rsidRPr="00857CDA">
        <w:rPr>
          <w:lang w:val="ro-RO"/>
        </w:rPr>
        <w:t>De preferință, coletele trebuie să fie încărcate în vehicule sau containere deschise sau ventilate.</w:t>
      </w:r>
      <w:r w:rsidR="00B371DF" w:rsidRPr="00857CDA">
        <w:rPr>
          <w:lang w:val="ro-RO" w:eastAsia="en-GB"/>
        </w:rPr>
        <w:t xml:space="preserve"> </w:t>
      </w:r>
      <w:r w:rsidR="00B371DF" w:rsidRPr="00857CDA">
        <w:rPr>
          <w:lang w:val="ro-RO"/>
        </w:rPr>
        <w:t xml:space="preserve">Dacă acest lucru nu este posibil, și coletele sunt încărcate în alte vehicule acoperite sau containere închise, ușile de încărcare ale acestor vehicule sau containere vor fi </w:t>
      </w:r>
      <w:r w:rsidR="00B371DF" w:rsidRPr="00857CDA">
        <w:rPr>
          <w:lang w:val="ro-RO"/>
        </w:rPr>
        <w:lastRenderedPageBreak/>
        <w:t>marcate după cum este indicat mai jos, cu litere de cel puțin 25 mm înălțime:</w:t>
      </w:r>
      <w:r w:rsidR="00B371DF" w:rsidRPr="00857CDA">
        <w:rPr>
          <w:lang w:val="ro-RO" w:eastAsia="en-GB"/>
        </w:rPr>
        <w:t xml:space="preserve"> </w:t>
      </w:r>
      <w:r w:rsidR="00CD744E" w:rsidRPr="00857CDA">
        <w:rPr>
          <w:i/>
          <w:lang w:val="ro-RO" w:eastAsia="en-GB"/>
        </w:rPr>
        <w:t>[</w:t>
      </w:r>
      <w:r w:rsidR="002F5575" w:rsidRPr="00857CDA">
        <w:rPr>
          <w:i/>
          <w:lang w:val="ro-RO" w:eastAsia="en-GB"/>
        </w:rPr>
        <w:t>rest</w:t>
      </w:r>
      <w:r w:rsidR="00B371DF" w:rsidRPr="00857CDA">
        <w:rPr>
          <w:i/>
          <w:lang w:val="ro-RO" w:eastAsia="en-GB"/>
        </w:rPr>
        <w:t>ul rămâne neschimbat</w:t>
      </w:r>
      <w:r w:rsidR="00CD744E" w:rsidRPr="00857CDA">
        <w:rPr>
          <w:i/>
          <w:lang w:val="ro-RO" w:eastAsia="en-GB"/>
        </w:rPr>
        <w:t>]</w:t>
      </w:r>
      <w:r w:rsidR="00660131" w:rsidRPr="00857CDA">
        <w:rPr>
          <w:lang w:val="ro-RO" w:eastAsia="en-GB"/>
        </w:rPr>
        <w:t>”</w:t>
      </w:r>
      <w:r w:rsidR="002F5575" w:rsidRPr="00857CDA">
        <w:rPr>
          <w:lang w:val="ro-RO" w:eastAsia="en-GB"/>
        </w:rPr>
        <w:t>.</w:t>
      </w:r>
    </w:p>
    <w:p w:rsidR="007F62A9" w:rsidRPr="00857CDA" w:rsidRDefault="007F62A9" w:rsidP="007F62A9">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8.1</w:t>
      </w:r>
    </w:p>
    <w:p w:rsidR="007A2A1D" w:rsidRPr="00857CDA" w:rsidRDefault="007A2A1D" w:rsidP="007A2A1D">
      <w:pPr>
        <w:pStyle w:val="SingleTxtG"/>
        <w:rPr>
          <w:lang w:val="ro-RO"/>
        </w:rPr>
      </w:pPr>
      <w:r w:rsidRPr="00857CDA">
        <w:rPr>
          <w:lang w:val="ro-RO"/>
        </w:rPr>
        <w:t xml:space="preserve">8.1.2.1 a) </w:t>
      </w:r>
      <w:r w:rsidRPr="00857CDA">
        <w:rPr>
          <w:lang w:val="ro-RO"/>
        </w:rPr>
        <w:tab/>
      </w:r>
      <w:r w:rsidR="00902C44" w:rsidRPr="00857CDA">
        <w:rPr>
          <w:lang w:val="ro-RO"/>
        </w:rPr>
        <w:t>Se modifică</w:t>
      </w:r>
      <w:r w:rsidRPr="00857CDA">
        <w:rPr>
          <w:lang w:val="ro-RO"/>
        </w:rPr>
        <w:t xml:space="preserve"> </w:t>
      </w:r>
      <w:r w:rsidR="008B288A" w:rsidRPr="00857CDA">
        <w:rPr>
          <w:lang w:val="ro-RO"/>
        </w:rPr>
        <w:t>„</w:t>
      </w:r>
      <w:r w:rsidR="001737F3" w:rsidRPr="00857CDA">
        <w:rPr>
          <w:i/>
          <w:szCs w:val="24"/>
          <w:lang w:val="ro-RO"/>
        </w:rPr>
        <w:t>certificatul de încărcare a containerului mare sau al vehiculului</w:t>
      </w:r>
      <w:r w:rsidR="00660131" w:rsidRPr="00857CDA">
        <w:rPr>
          <w:lang w:val="ro-RO" w:eastAsia="de-DE"/>
        </w:rPr>
        <w:t>”</w:t>
      </w:r>
      <w:r w:rsidR="00902C44" w:rsidRPr="00857CDA">
        <w:rPr>
          <w:rFonts w:ascii="Arial" w:hAnsi="Arial" w:cs="Arial"/>
          <w:lang w:val="ro-RO"/>
        </w:rPr>
        <w:t xml:space="preserve"> </w:t>
      </w:r>
      <w:r w:rsidR="00902C44" w:rsidRPr="00857CDA">
        <w:rPr>
          <w:lang w:val="ro-RO"/>
        </w:rPr>
        <w:t>cu</w:t>
      </w:r>
      <w:r w:rsidR="00902C44" w:rsidRPr="00857CDA">
        <w:rPr>
          <w:rFonts w:ascii="Arial" w:hAnsi="Arial" w:cs="Arial"/>
          <w:lang w:val="ro-RO"/>
        </w:rPr>
        <w:t xml:space="preserve"> </w:t>
      </w:r>
      <w:r w:rsidR="001760C8" w:rsidRPr="00857CDA">
        <w:rPr>
          <w:lang w:val="ro-RO"/>
        </w:rPr>
        <w:t>„</w:t>
      </w:r>
      <w:r w:rsidR="001737F3" w:rsidRPr="00857CDA">
        <w:rPr>
          <w:szCs w:val="24"/>
          <w:lang w:val="ro-RO"/>
        </w:rPr>
        <w:t>certificatul de încărcare a containerului sau al vehiculului</w:t>
      </w:r>
      <w:r w:rsidR="00660131" w:rsidRPr="00857CDA">
        <w:rPr>
          <w:lang w:val="ro-RO"/>
        </w:rPr>
        <w:t>”“</w:t>
      </w:r>
      <w:r w:rsidRPr="00857CDA">
        <w:rPr>
          <w:lang w:val="ro-RO"/>
        </w:rPr>
        <w:t>.</w:t>
      </w:r>
    </w:p>
    <w:p w:rsidR="007F62A9" w:rsidRPr="00857CDA" w:rsidRDefault="001E0D22" w:rsidP="001E0D22">
      <w:pPr>
        <w:pStyle w:val="SingleTxtG"/>
        <w:tabs>
          <w:tab w:val="left" w:pos="2268"/>
        </w:tabs>
        <w:rPr>
          <w:lang w:val="ro-RO"/>
        </w:rPr>
      </w:pPr>
      <w:r w:rsidRPr="00857CDA">
        <w:rPr>
          <w:lang w:val="ro-RO"/>
        </w:rPr>
        <w:t>8.1.5.2</w:t>
      </w:r>
      <w:r w:rsidR="007F62A9" w:rsidRPr="00857CDA">
        <w:rPr>
          <w:lang w:val="ro-RO"/>
        </w:rPr>
        <w:tab/>
      </w:r>
      <w:r w:rsidR="00902C44" w:rsidRPr="00857CDA">
        <w:rPr>
          <w:lang w:val="ro-RO"/>
        </w:rPr>
        <w:t>Se modifică</w:t>
      </w:r>
      <w:r w:rsidR="007F62A9" w:rsidRPr="00857CDA">
        <w:rPr>
          <w:lang w:val="ro-RO"/>
        </w:rPr>
        <w:t xml:space="preserve"> </w:t>
      </w:r>
      <w:r w:rsidR="001760C8" w:rsidRPr="00857CDA">
        <w:rPr>
          <w:lang w:val="ro-RO"/>
        </w:rPr>
        <w:t>„</w:t>
      </w:r>
      <w:r w:rsidR="007F62A9" w:rsidRPr="00857CDA">
        <w:rPr>
          <w:lang w:val="ro-RO"/>
        </w:rPr>
        <w:t>EN 471:2003+A1:2007</w:t>
      </w:r>
      <w:r w:rsidR="00660131" w:rsidRPr="00857CDA">
        <w:rPr>
          <w:lang w:val="ro-RO"/>
        </w:rPr>
        <w:t>”</w:t>
      </w:r>
      <w:r w:rsidR="00902C44" w:rsidRPr="00857CDA">
        <w:rPr>
          <w:lang w:val="ro-RO"/>
        </w:rPr>
        <w:t xml:space="preserve"> cu </w:t>
      </w:r>
      <w:r w:rsidR="001760C8" w:rsidRPr="00857CDA">
        <w:rPr>
          <w:lang w:val="ro-RO"/>
        </w:rPr>
        <w:t>„</w:t>
      </w:r>
      <w:r w:rsidR="007F62A9" w:rsidRPr="00857CDA">
        <w:rPr>
          <w:lang w:val="ro-RO"/>
        </w:rPr>
        <w:t>EN ISO 20471</w:t>
      </w:r>
      <w:r w:rsidR="00660131" w:rsidRPr="00857CDA">
        <w:rPr>
          <w:lang w:val="ro-RO"/>
        </w:rPr>
        <w:t>”</w:t>
      </w:r>
      <w:r w:rsidR="007F62A9" w:rsidRPr="00857CDA">
        <w:rPr>
          <w:lang w:val="ro-RO"/>
        </w:rPr>
        <w:t>.</w:t>
      </w:r>
    </w:p>
    <w:p w:rsidR="005C78BA" w:rsidRPr="00857CDA" w:rsidRDefault="005C78BA" w:rsidP="005C78BA">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8.2</w:t>
      </w:r>
    </w:p>
    <w:p w:rsidR="005C78BA" w:rsidRPr="00857CDA" w:rsidRDefault="005C78BA" w:rsidP="005C78BA">
      <w:pPr>
        <w:pStyle w:val="SingleTxtG"/>
        <w:rPr>
          <w:lang w:val="ro-RO"/>
        </w:rPr>
      </w:pPr>
      <w:r w:rsidRPr="00857CDA">
        <w:rPr>
          <w:lang w:val="ro-RO"/>
        </w:rPr>
        <w:t>8.2.2.3.2 b)</w:t>
      </w:r>
      <w:r w:rsidRPr="00857CDA">
        <w:rPr>
          <w:lang w:val="ro-RO"/>
        </w:rPr>
        <w:tab/>
      </w:r>
      <w:r w:rsidR="00902C44" w:rsidRPr="00857CDA">
        <w:rPr>
          <w:lang w:val="ro-RO"/>
        </w:rPr>
        <w:t>Se modifică</w:t>
      </w:r>
      <w:r w:rsidRPr="00857CDA">
        <w:rPr>
          <w:lang w:val="ro-RO"/>
        </w:rPr>
        <w:t xml:space="preserve"> </w:t>
      </w:r>
      <w:r w:rsidR="001760C8" w:rsidRPr="00857CDA">
        <w:rPr>
          <w:lang w:val="ro-RO"/>
        </w:rPr>
        <w:t>„</w:t>
      </w:r>
      <w:r w:rsidR="002B679C" w:rsidRPr="00857CDA">
        <w:rPr>
          <w:lang w:val="ro-RO"/>
        </w:rPr>
        <w:t>riscuri</w:t>
      </w:r>
      <w:r w:rsidR="00660131" w:rsidRPr="00857CDA">
        <w:rPr>
          <w:lang w:val="ro-RO"/>
        </w:rPr>
        <w:t>”</w:t>
      </w:r>
      <w:r w:rsidR="00902C44" w:rsidRPr="00857CDA">
        <w:rPr>
          <w:lang w:val="ro-RO"/>
        </w:rPr>
        <w:t xml:space="preserve"> cu </w:t>
      </w:r>
      <w:r w:rsidR="001760C8" w:rsidRPr="00857CDA">
        <w:rPr>
          <w:lang w:val="ro-RO"/>
        </w:rPr>
        <w:t>„</w:t>
      </w:r>
      <w:r w:rsidR="002B679C" w:rsidRPr="00857CDA">
        <w:rPr>
          <w:lang w:val="ro-RO"/>
        </w:rPr>
        <w:t>pericole</w:t>
      </w:r>
      <w:r w:rsidR="00660131" w:rsidRPr="00857CDA">
        <w:rPr>
          <w:lang w:val="ro-RO"/>
        </w:rPr>
        <w:t>”</w:t>
      </w:r>
      <w:r w:rsidRPr="00857CDA">
        <w:rPr>
          <w:lang w:val="ro-RO"/>
        </w:rPr>
        <w:t>.</w:t>
      </w:r>
    </w:p>
    <w:p w:rsidR="005C78BA" w:rsidRPr="00857CDA" w:rsidRDefault="005C78BA" w:rsidP="005C78BA">
      <w:pPr>
        <w:pStyle w:val="SingleTxtG"/>
        <w:rPr>
          <w:lang w:val="ro-RO"/>
        </w:rPr>
      </w:pPr>
      <w:r w:rsidRPr="00857CDA">
        <w:rPr>
          <w:lang w:val="ro-RO"/>
        </w:rPr>
        <w:t>8.2.2.3.2 d)</w:t>
      </w:r>
      <w:r w:rsidRPr="00857CDA">
        <w:rPr>
          <w:lang w:val="ro-RO"/>
        </w:rPr>
        <w:tab/>
      </w:r>
      <w:r w:rsidR="00902C44" w:rsidRPr="00857CDA">
        <w:rPr>
          <w:lang w:val="ro-RO"/>
        </w:rPr>
        <w:t>Se modifică</w:t>
      </w:r>
      <w:r w:rsidRPr="00857CDA">
        <w:rPr>
          <w:lang w:val="ro-RO"/>
        </w:rPr>
        <w:t xml:space="preserve"> </w:t>
      </w:r>
      <w:r w:rsidR="001760C8" w:rsidRPr="00857CDA">
        <w:rPr>
          <w:lang w:val="ro-RO"/>
        </w:rPr>
        <w:t>„</w:t>
      </w:r>
      <w:r w:rsidR="002B679C" w:rsidRPr="00857CDA">
        <w:rPr>
          <w:lang w:val="ro-RO"/>
        </w:rPr>
        <w:t>risc</w:t>
      </w:r>
      <w:r w:rsidR="001737F3" w:rsidRPr="00857CDA">
        <w:rPr>
          <w:lang w:val="ro-RO"/>
        </w:rPr>
        <w:t>uri</w:t>
      </w:r>
      <w:r w:rsidR="00660131" w:rsidRPr="00857CDA">
        <w:rPr>
          <w:lang w:val="ro-RO"/>
        </w:rPr>
        <w:t>”</w:t>
      </w:r>
      <w:r w:rsidR="00902C44" w:rsidRPr="00857CDA">
        <w:rPr>
          <w:lang w:val="ro-RO"/>
        </w:rPr>
        <w:t xml:space="preserve"> cu </w:t>
      </w:r>
      <w:r w:rsidR="001760C8" w:rsidRPr="00857CDA">
        <w:rPr>
          <w:lang w:val="ro-RO"/>
        </w:rPr>
        <w:t>„</w:t>
      </w:r>
      <w:r w:rsidR="002B679C" w:rsidRPr="00857CDA">
        <w:rPr>
          <w:lang w:val="ro-RO"/>
        </w:rPr>
        <w:t>pericol</w:t>
      </w:r>
      <w:r w:rsidR="001737F3" w:rsidRPr="00857CDA">
        <w:rPr>
          <w:lang w:val="ro-RO"/>
        </w:rPr>
        <w:t>e</w:t>
      </w:r>
      <w:r w:rsidR="00660131" w:rsidRPr="00857CDA">
        <w:rPr>
          <w:lang w:val="ro-RO"/>
        </w:rPr>
        <w:t>”</w:t>
      </w:r>
      <w:r w:rsidRPr="00857CDA">
        <w:rPr>
          <w:lang w:val="ro-RO"/>
        </w:rPr>
        <w:t>.</w:t>
      </w:r>
    </w:p>
    <w:p w:rsidR="005C78BA" w:rsidRPr="00857CDA" w:rsidRDefault="005C78BA" w:rsidP="005C78BA">
      <w:pPr>
        <w:pStyle w:val="SingleTxtG"/>
        <w:rPr>
          <w:lang w:val="ro-RO"/>
        </w:rPr>
      </w:pPr>
      <w:r w:rsidRPr="00857CDA">
        <w:rPr>
          <w:lang w:val="ro-RO"/>
        </w:rPr>
        <w:t>8.2.2.3.4 a)</w:t>
      </w:r>
      <w:r w:rsidRPr="00857CDA">
        <w:rPr>
          <w:lang w:val="ro-RO"/>
        </w:rPr>
        <w:tab/>
      </w:r>
      <w:r w:rsidR="00902C44" w:rsidRPr="00857CDA">
        <w:rPr>
          <w:lang w:val="ro-RO"/>
        </w:rPr>
        <w:t>Se modifică</w:t>
      </w:r>
      <w:r w:rsidRPr="00857CDA">
        <w:rPr>
          <w:lang w:val="ro-RO"/>
        </w:rPr>
        <w:t xml:space="preserve"> </w:t>
      </w:r>
      <w:r w:rsidR="001760C8" w:rsidRPr="00857CDA">
        <w:rPr>
          <w:lang w:val="ro-RO"/>
        </w:rPr>
        <w:t>„</w:t>
      </w:r>
      <w:r w:rsidR="002B679C" w:rsidRPr="00857CDA">
        <w:rPr>
          <w:lang w:val="ro-RO"/>
        </w:rPr>
        <w:t>Riscuri</w:t>
      </w:r>
      <w:r w:rsidR="001737F3" w:rsidRPr="00857CDA">
        <w:rPr>
          <w:lang w:val="ro-RO"/>
        </w:rPr>
        <w:t>le</w:t>
      </w:r>
      <w:r w:rsidR="00660131" w:rsidRPr="00857CDA">
        <w:rPr>
          <w:lang w:val="ro-RO"/>
        </w:rPr>
        <w:t>”</w:t>
      </w:r>
      <w:r w:rsidR="00902C44" w:rsidRPr="00857CDA">
        <w:rPr>
          <w:lang w:val="ro-RO"/>
        </w:rPr>
        <w:t xml:space="preserve"> cu </w:t>
      </w:r>
      <w:r w:rsidR="001760C8" w:rsidRPr="00857CDA">
        <w:rPr>
          <w:lang w:val="ro-RO"/>
        </w:rPr>
        <w:t>„</w:t>
      </w:r>
      <w:r w:rsidR="002B679C" w:rsidRPr="00857CDA">
        <w:rPr>
          <w:lang w:val="ro-RO"/>
        </w:rPr>
        <w:t>Pericole</w:t>
      </w:r>
      <w:r w:rsidR="001737F3" w:rsidRPr="00857CDA">
        <w:rPr>
          <w:lang w:val="ro-RO"/>
        </w:rPr>
        <w:t>le</w:t>
      </w:r>
      <w:r w:rsidR="00660131" w:rsidRPr="00857CDA">
        <w:rPr>
          <w:lang w:val="ro-RO"/>
        </w:rPr>
        <w:t>”</w:t>
      </w:r>
      <w:r w:rsidRPr="00857CDA">
        <w:rPr>
          <w:lang w:val="ro-RO"/>
        </w:rPr>
        <w:t>.</w:t>
      </w:r>
    </w:p>
    <w:p w:rsidR="005C78BA" w:rsidRPr="00857CDA" w:rsidRDefault="005C78BA" w:rsidP="005C78BA">
      <w:pPr>
        <w:pStyle w:val="SingleTxtG"/>
        <w:rPr>
          <w:lang w:val="ro-RO"/>
        </w:rPr>
      </w:pPr>
      <w:r w:rsidRPr="00857CDA">
        <w:rPr>
          <w:lang w:val="ro-RO"/>
        </w:rPr>
        <w:t>8.2.2.3.5 a)</w:t>
      </w:r>
      <w:r w:rsidRPr="00857CDA">
        <w:rPr>
          <w:lang w:val="ro-RO"/>
        </w:rPr>
        <w:tab/>
      </w:r>
      <w:r w:rsidR="00902C44" w:rsidRPr="00857CDA">
        <w:rPr>
          <w:lang w:val="ro-RO"/>
        </w:rPr>
        <w:t>Se modifică</w:t>
      </w:r>
      <w:r w:rsidRPr="00857CDA">
        <w:rPr>
          <w:lang w:val="ro-RO"/>
        </w:rPr>
        <w:t xml:space="preserve"> </w:t>
      </w:r>
      <w:r w:rsidR="001760C8" w:rsidRPr="00857CDA">
        <w:rPr>
          <w:lang w:val="ro-RO"/>
        </w:rPr>
        <w:t>„</w:t>
      </w:r>
      <w:r w:rsidR="002B679C" w:rsidRPr="00857CDA">
        <w:rPr>
          <w:lang w:val="ro-RO"/>
        </w:rPr>
        <w:t>Riscuri</w:t>
      </w:r>
      <w:r w:rsidR="001737F3" w:rsidRPr="00857CDA">
        <w:rPr>
          <w:lang w:val="ro-RO"/>
        </w:rPr>
        <w:t>le</w:t>
      </w:r>
      <w:r w:rsidR="00660131" w:rsidRPr="00857CDA">
        <w:rPr>
          <w:lang w:val="ro-RO"/>
        </w:rPr>
        <w:t>”</w:t>
      </w:r>
      <w:r w:rsidR="00902C44" w:rsidRPr="00857CDA">
        <w:rPr>
          <w:lang w:val="ro-RO"/>
        </w:rPr>
        <w:t xml:space="preserve"> cu </w:t>
      </w:r>
      <w:r w:rsidR="001760C8" w:rsidRPr="00857CDA">
        <w:rPr>
          <w:lang w:val="ro-RO"/>
        </w:rPr>
        <w:t>„</w:t>
      </w:r>
      <w:r w:rsidR="002B679C" w:rsidRPr="00857CDA">
        <w:rPr>
          <w:lang w:val="ro-RO"/>
        </w:rPr>
        <w:t>Pericole</w:t>
      </w:r>
      <w:r w:rsidR="001737F3" w:rsidRPr="00857CDA">
        <w:rPr>
          <w:lang w:val="ro-RO"/>
        </w:rPr>
        <w:t>le</w:t>
      </w:r>
      <w:r w:rsidR="00660131" w:rsidRPr="00857CDA">
        <w:rPr>
          <w:lang w:val="ro-RO"/>
        </w:rPr>
        <w:t>”</w:t>
      </w:r>
      <w:r w:rsidRPr="00857CDA">
        <w:rPr>
          <w:lang w:val="ro-RO"/>
        </w:rPr>
        <w:t>.</w:t>
      </w:r>
    </w:p>
    <w:p w:rsidR="00D97698" w:rsidRPr="00857CDA" w:rsidRDefault="00D97698" w:rsidP="00D97698">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8.5</w:t>
      </w:r>
    </w:p>
    <w:p w:rsidR="00D97698" w:rsidRPr="00857CDA" w:rsidRDefault="001E0D22" w:rsidP="001E0D22">
      <w:pPr>
        <w:pStyle w:val="SingleTxtG"/>
        <w:tabs>
          <w:tab w:val="left" w:pos="2268"/>
        </w:tabs>
        <w:rPr>
          <w:lang w:val="ro-RO"/>
        </w:rPr>
      </w:pPr>
      <w:r w:rsidRPr="00857CDA">
        <w:rPr>
          <w:lang w:val="ro-RO"/>
        </w:rPr>
        <w:t>8.5, S4</w:t>
      </w:r>
      <w:r w:rsidR="00D97698" w:rsidRPr="00857CDA">
        <w:rPr>
          <w:lang w:val="ro-RO"/>
        </w:rPr>
        <w:tab/>
      </w:r>
      <w:r w:rsidR="002B679C" w:rsidRPr="00857CDA">
        <w:rPr>
          <w:lang w:val="ro-RO"/>
        </w:rPr>
        <w:t>Se modifică, după cum urmează</w:t>
      </w:r>
      <w:r w:rsidR="00091658" w:rsidRPr="00857CDA">
        <w:rPr>
          <w:lang w:val="ro-RO"/>
        </w:rPr>
        <w:t>:</w:t>
      </w:r>
    </w:p>
    <w:p w:rsidR="00D97698" w:rsidRPr="00857CDA" w:rsidRDefault="001760C8" w:rsidP="00D97698">
      <w:pPr>
        <w:pStyle w:val="SingleTxtG"/>
        <w:rPr>
          <w:lang w:val="ro-RO"/>
        </w:rPr>
      </w:pPr>
      <w:r w:rsidRPr="00857CDA">
        <w:rPr>
          <w:lang w:val="ro-RO"/>
        </w:rPr>
        <w:t>„</w:t>
      </w:r>
      <w:r w:rsidR="00D97698" w:rsidRPr="00857CDA">
        <w:rPr>
          <w:lang w:val="ro-RO"/>
        </w:rPr>
        <w:t>S4</w:t>
      </w:r>
      <w:r w:rsidR="00D97698" w:rsidRPr="00857CDA">
        <w:rPr>
          <w:lang w:val="ro-RO"/>
        </w:rPr>
        <w:tab/>
      </w:r>
      <w:r w:rsidR="0043120D" w:rsidRPr="00857CDA">
        <w:rPr>
          <w:lang w:val="ro-RO"/>
        </w:rPr>
        <w:t>A se vedea</w:t>
      </w:r>
      <w:r w:rsidR="00D97698" w:rsidRPr="00857CDA">
        <w:rPr>
          <w:lang w:val="ro-RO"/>
        </w:rPr>
        <w:t xml:space="preserve"> 7.1.7.</w:t>
      </w:r>
    </w:p>
    <w:p w:rsidR="00D97698" w:rsidRPr="00857CDA" w:rsidRDefault="00D97698" w:rsidP="001737F3">
      <w:pPr>
        <w:pStyle w:val="SingleTxtG"/>
        <w:rPr>
          <w:i/>
          <w:lang w:val="ro-RO"/>
        </w:rPr>
      </w:pPr>
      <w:r w:rsidRPr="00857CDA">
        <w:rPr>
          <w:b/>
          <w:i/>
          <w:lang w:val="ro-RO"/>
        </w:rPr>
        <w:t>NOT</w:t>
      </w:r>
      <w:r w:rsidR="001760C8" w:rsidRPr="00857CDA">
        <w:rPr>
          <w:b/>
          <w:i/>
          <w:lang w:val="ro-RO"/>
        </w:rPr>
        <w:t>Ă</w:t>
      </w:r>
      <w:r w:rsidRPr="00857CDA">
        <w:rPr>
          <w:b/>
          <w:i/>
          <w:lang w:val="ro-RO"/>
        </w:rPr>
        <w:t>:</w:t>
      </w:r>
      <w:r w:rsidRPr="00857CDA">
        <w:rPr>
          <w:i/>
          <w:lang w:val="ro-RO"/>
        </w:rPr>
        <w:t xml:space="preserve"> </w:t>
      </w:r>
      <w:r w:rsidR="001737F3" w:rsidRPr="00857CDA">
        <w:rPr>
          <w:i/>
          <w:lang w:val="ro-RO"/>
        </w:rPr>
        <w:t>Această dispoziție specială S4 nu se aplică substanțelor vizate la 3.1.2.6 dacă stabilizarea este realizează prin adăugare de inhibitori chimici astfel încât TDAA să fie mai mare de 50 °C. În acest caz, reglarea temperaturii poate fi necesară, de asemenea, dacă temperatura în timpul transportului va depăși 55 °C</w:t>
      </w:r>
      <w:r w:rsidRPr="00857CDA">
        <w:rPr>
          <w:i/>
          <w:lang w:val="ro-RO"/>
        </w:rPr>
        <w:t>.</w:t>
      </w:r>
      <w:r w:rsidR="00660131" w:rsidRPr="00857CDA">
        <w:rPr>
          <w:lang w:val="ro-RO"/>
        </w:rPr>
        <w:t>”</w:t>
      </w:r>
      <w:r w:rsidRPr="00857CDA">
        <w:rPr>
          <w:lang w:val="ro-RO"/>
        </w:rPr>
        <w:t>.</w:t>
      </w:r>
    </w:p>
    <w:p w:rsidR="00452EF4" w:rsidRPr="00857CDA" w:rsidRDefault="001E0D22" w:rsidP="001E0D22">
      <w:pPr>
        <w:pStyle w:val="SingleTxtG"/>
        <w:tabs>
          <w:tab w:val="left" w:pos="2268"/>
        </w:tabs>
        <w:rPr>
          <w:lang w:val="ro-RO"/>
        </w:rPr>
      </w:pPr>
      <w:r w:rsidRPr="00857CDA">
        <w:rPr>
          <w:lang w:val="ro-RO"/>
        </w:rPr>
        <w:t>8.5, S6</w:t>
      </w:r>
      <w:r w:rsidR="00452EF4" w:rsidRPr="00857CDA">
        <w:rPr>
          <w:lang w:val="ro-RO"/>
        </w:rPr>
        <w:tab/>
      </w:r>
      <w:r w:rsidR="00902C44" w:rsidRPr="00857CDA">
        <w:rPr>
          <w:lang w:val="ro-RO"/>
        </w:rPr>
        <w:t>Se modifică</w:t>
      </w:r>
      <w:r w:rsidR="00452EF4" w:rsidRPr="00857CDA">
        <w:rPr>
          <w:lang w:val="ro-RO"/>
        </w:rPr>
        <w:t xml:space="preserve"> </w:t>
      </w:r>
      <w:r w:rsidR="001760C8" w:rsidRPr="00857CDA">
        <w:rPr>
          <w:lang w:val="ro-RO"/>
        </w:rPr>
        <w:t>„</w:t>
      </w:r>
      <w:r w:rsidR="002B679C" w:rsidRPr="00857CDA">
        <w:rPr>
          <w:lang w:val="ro-RO"/>
        </w:rPr>
        <w:t>risc</w:t>
      </w:r>
      <w:r w:rsidR="001737F3" w:rsidRPr="00857CDA">
        <w:rPr>
          <w:lang w:val="ro-RO"/>
        </w:rPr>
        <w:t>uri secundare</w:t>
      </w:r>
      <w:r w:rsidR="00660131" w:rsidRPr="00857CDA">
        <w:rPr>
          <w:lang w:val="ro-RO"/>
        </w:rPr>
        <w:t>”</w:t>
      </w:r>
      <w:r w:rsidR="00902C44" w:rsidRPr="00857CDA">
        <w:rPr>
          <w:lang w:val="ro-RO"/>
        </w:rPr>
        <w:t xml:space="preserve"> cu </w:t>
      </w:r>
      <w:r w:rsidR="001760C8" w:rsidRPr="00857CDA">
        <w:rPr>
          <w:lang w:val="ro-RO"/>
        </w:rPr>
        <w:t>„</w:t>
      </w:r>
      <w:r w:rsidR="002B679C" w:rsidRPr="00857CDA">
        <w:rPr>
          <w:lang w:val="ro-RO"/>
        </w:rPr>
        <w:t>pericol</w:t>
      </w:r>
      <w:r w:rsidR="001737F3" w:rsidRPr="00857CDA">
        <w:rPr>
          <w:lang w:val="ro-RO"/>
        </w:rPr>
        <w:t>e secundare</w:t>
      </w:r>
      <w:r w:rsidR="00660131" w:rsidRPr="00857CDA">
        <w:rPr>
          <w:lang w:val="ro-RO"/>
        </w:rPr>
        <w:t>”</w:t>
      </w:r>
      <w:r w:rsidR="00452EF4" w:rsidRPr="00857CDA">
        <w:rPr>
          <w:lang w:val="ro-RO"/>
        </w:rPr>
        <w:t>.</w:t>
      </w:r>
    </w:p>
    <w:p w:rsidR="00452EF4" w:rsidRPr="00857CDA" w:rsidRDefault="00452EF4" w:rsidP="00D97698">
      <w:pPr>
        <w:pStyle w:val="SingleTxtG"/>
        <w:rPr>
          <w:lang w:val="ro-RO"/>
        </w:rPr>
      </w:pPr>
      <w:r w:rsidRPr="00857CDA">
        <w:rPr>
          <w:lang w:val="ro-RO"/>
        </w:rPr>
        <w:t>8.5, S12</w:t>
      </w:r>
      <w:r w:rsidRPr="00857CDA">
        <w:rPr>
          <w:lang w:val="ro-RO"/>
        </w:rPr>
        <w:tab/>
      </w:r>
      <w:r w:rsidR="00902C44" w:rsidRPr="00857CDA">
        <w:rPr>
          <w:lang w:val="ro-RO"/>
        </w:rPr>
        <w:t xml:space="preserve">În </w:t>
      </w:r>
      <w:r w:rsidR="003634AA" w:rsidRPr="00857CDA">
        <w:rPr>
          <w:lang w:val="ro-RO"/>
        </w:rPr>
        <w:t>prima frază</w:t>
      </w:r>
      <w:r w:rsidRPr="00857CDA">
        <w:rPr>
          <w:lang w:val="ro-RO"/>
        </w:rPr>
        <w:t xml:space="preserve">, </w:t>
      </w:r>
      <w:r w:rsidR="00902C44" w:rsidRPr="00857CDA">
        <w:rPr>
          <w:lang w:val="ro-RO"/>
        </w:rPr>
        <w:t>Se modifică</w:t>
      </w:r>
      <w:r w:rsidRPr="00857CDA">
        <w:rPr>
          <w:lang w:val="ro-RO"/>
        </w:rPr>
        <w:t xml:space="preserve"> </w:t>
      </w:r>
      <w:r w:rsidR="001760C8" w:rsidRPr="00857CDA">
        <w:rPr>
          <w:lang w:val="ro-RO"/>
        </w:rPr>
        <w:t>„</w:t>
      </w:r>
      <w:r w:rsidR="002B679C" w:rsidRPr="00857CDA">
        <w:rPr>
          <w:lang w:val="ro-RO"/>
        </w:rPr>
        <w:t>riscuri</w:t>
      </w:r>
      <w:r w:rsidR="001737F3" w:rsidRPr="00857CDA">
        <w:rPr>
          <w:lang w:val="ro-RO"/>
        </w:rPr>
        <w:t xml:space="preserve"> secundare</w:t>
      </w:r>
      <w:r w:rsidR="00660131" w:rsidRPr="00857CDA">
        <w:rPr>
          <w:lang w:val="ro-RO"/>
        </w:rPr>
        <w:t>”</w:t>
      </w:r>
      <w:r w:rsidR="00902C44" w:rsidRPr="00857CDA">
        <w:rPr>
          <w:lang w:val="ro-RO"/>
        </w:rPr>
        <w:t xml:space="preserve"> cu </w:t>
      </w:r>
      <w:r w:rsidR="001760C8" w:rsidRPr="00857CDA">
        <w:rPr>
          <w:lang w:val="ro-RO"/>
        </w:rPr>
        <w:t>„</w:t>
      </w:r>
      <w:r w:rsidR="002B679C" w:rsidRPr="00857CDA">
        <w:rPr>
          <w:lang w:val="ro-RO"/>
        </w:rPr>
        <w:t>pericole</w:t>
      </w:r>
      <w:r w:rsidR="001737F3" w:rsidRPr="00857CDA">
        <w:rPr>
          <w:lang w:val="ro-RO"/>
        </w:rPr>
        <w:t xml:space="preserve"> secundare</w:t>
      </w:r>
      <w:r w:rsidR="00660131" w:rsidRPr="00857CDA">
        <w:rPr>
          <w:lang w:val="ro-RO"/>
        </w:rPr>
        <w:t>”</w:t>
      </w:r>
      <w:r w:rsidRPr="00857CDA">
        <w:rPr>
          <w:lang w:val="ro-RO"/>
        </w:rPr>
        <w:t>.</w:t>
      </w:r>
    </w:p>
    <w:p w:rsidR="007F62A9" w:rsidRPr="00857CDA" w:rsidRDefault="007F62A9" w:rsidP="007F62A9">
      <w:pPr>
        <w:pStyle w:val="H1G"/>
        <w:rPr>
          <w:lang w:val="ro-RO"/>
        </w:rPr>
      </w:pPr>
      <w:r w:rsidRPr="00857CDA">
        <w:rPr>
          <w:lang w:val="ro-RO"/>
        </w:rPr>
        <w:tab/>
      </w:r>
      <w:r w:rsidRPr="00857CDA">
        <w:rPr>
          <w:lang w:val="ro-RO"/>
        </w:rPr>
        <w:tab/>
      </w:r>
      <w:r w:rsidR="00902C44" w:rsidRPr="00857CDA">
        <w:rPr>
          <w:lang w:val="ro-RO"/>
        </w:rPr>
        <w:t>Capitolul</w:t>
      </w:r>
      <w:r w:rsidRPr="00857CDA">
        <w:rPr>
          <w:lang w:val="ro-RO"/>
        </w:rPr>
        <w:t xml:space="preserve"> 9.1</w:t>
      </w:r>
    </w:p>
    <w:p w:rsidR="007F62A9" w:rsidRPr="00857CDA" w:rsidRDefault="007F62A9" w:rsidP="007F62A9">
      <w:pPr>
        <w:pStyle w:val="SingleTxtG"/>
        <w:rPr>
          <w:lang w:val="ro-RO"/>
        </w:rPr>
      </w:pPr>
      <w:r w:rsidRPr="00857CDA">
        <w:rPr>
          <w:lang w:val="ro-RO"/>
        </w:rPr>
        <w:t>9.1.3.3</w:t>
      </w:r>
      <w:r w:rsidRPr="00857CDA">
        <w:rPr>
          <w:lang w:val="ro-RO"/>
        </w:rPr>
        <w:tab/>
      </w:r>
      <w:r w:rsidRPr="00857CDA">
        <w:rPr>
          <w:lang w:val="ro-RO"/>
        </w:rPr>
        <w:tab/>
      </w:r>
      <w:r w:rsidR="001737F3" w:rsidRPr="00857CDA">
        <w:rPr>
          <w:lang w:val="ro-RO"/>
        </w:rPr>
        <w:t>La sfârșit</w:t>
      </w:r>
      <w:r w:rsidRPr="00857CDA">
        <w:rPr>
          <w:lang w:val="ro-RO"/>
        </w:rPr>
        <w:t xml:space="preserve">, </w:t>
      </w:r>
      <w:r w:rsidR="00902C44" w:rsidRPr="00857CDA">
        <w:rPr>
          <w:lang w:val="ro-RO"/>
        </w:rPr>
        <w:t>se adaugă</w:t>
      </w:r>
      <w:r w:rsidRPr="00857CDA">
        <w:rPr>
          <w:lang w:val="ro-RO"/>
        </w:rPr>
        <w:t xml:space="preserve"> </w:t>
      </w:r>
      <w:r w:rsidR="001760C8" w:rsidRPr="00857CDA">
        <w:rPr>
          <w:lang w:val="ro-RO"/>
        </w:rPr>
        <w:t>un nou paragraf, după cum urmează</w:t>
      </w:r>
      <w:r w:rsidR="00091658" w:rsidRPr="00857CDA">
        <w:rPr>
          <w:lang w:val="ro-RO"/>
        </w:rPr>
        <w:t>:</w:t>
      </w:r>
    </w:p>
    <w:p w:rsidR="007F62A9" w:rsidRPr="00857CDA" w:rsidRDefault="001760C8" w:rsidP="00D41DA7">
      <w:pPr>
        <w:pStyle w:val="SingleTxtG"/>
        <w:rPr>
          <w:lang w:val="ro-RO"/>
        </w:rPr>
      </w:pPr>
      <w:r w:rsidRPr="00857CDA">
        <w:rPr>
          <w:lang w:val="ro-RO"/>
        </w:rPr>
        <w:t>„</w:t>
      </w:r>
      <w:r w:rsidR="00D41DA7" w:rsidRPr="00857CDA">
        <w:rPr>
          <w:lang w:val="ro-RO"/>
        </w:rPr>
        <w:t>Certificatul de agreare pentru un vehicul EX/III destinat transportului substanțelor explozive în cisterne, în conformitate cu  9.7.9, trebuie să conțină la rubrica 11 următoarea mențiune: „Vehicul în conformitate cu 9.7.9 din ADR destinat transportului substanțelor explozive în cisterne</w:t>
      </w:r>
      <w:r w:rsidR="00660131" w:rsidRPr="00857CDA">
        <w:rPr>
          <w:lang w:val="ro-RO"/>
        </w:rPr>
        <w:t>”</w:t>
      </w:r>
      <w:r w:rsidR="007F62A9" w:rsidRPr="00857CDA">
        <w:rPr>
          <w:lang w:val="ro-RO"/>
        </w:rPr>
        <w:t>.</w:t>
      </w:r>
      <w:r w:rsidR="00660131" w:rsidRPr="00857CDA">
        <w:rPr>
          <w:lang w:val="ro-RO"/>
        </w:rPr>
        <w:t>”</w:t>
      </w:r>
      <w:r w:rsidR="007F62A9" w:rsidRPr="00857CDA">
        <w:rPr>
          <w:lang w:val="ro-RO"/>
        </w:rPr>
        <w:t>.</w:t>
      </w:r>
    </w:p>
    <w:p w:rsidR="007A2A1D" w:rsidRPr="00857CDA" w:rsidRDefault="007A2A1D" w:rsidP="007A2A1D">
      <w:pPr>
        <w:pStyle w:val="H1G"/>
        <w:rPr>
          <w:lang w:val="ro-RO"/>
        </w:rPr>
      </w:pPr>
      <w:r w:rsidRPr="00857CDA">
        <w:rPr>
          <w:lang w:val="ro-RO"/>
        </w:rPr>
        <w:tab/>
      </w:r>
      <w:r w:rsidRPr="00857CDA">
        <w:rPr>
          <w:lang w:val="ro-RO"/>
        </w:rPr>
        <w:tab/>
      </w:r>
      <w:r w:rsidR="00902C44" w:rsidRPr="00857CDA">
        <w:rPr>
          <w:lang w:val="ro-RO"/>
        </w:rPr>
        <w:t>Capitolul</w:t>
      </w:r>
      <w:r w:rsidR="007113F3" w:rsidRPr="00857CDA">
        <w:rPr>
          <w:lang w:val="ro-RO"/>
        </w:rPr>
        <w:t xml:space="preserve"> </w:t>
      </w:r>
      <w:r w:rsidRPr="00857CDA">
        <w:rPr>
          <w:lang w:val="ro-RO"/>
        </w:rPr>
        <w:t>9.2</w:t>
      </w:r>
    </w:p>
    <w:p w:rsidR="007B4D8D" w:rsidRPr="00857CDA" w:rsidRDefault="007B4D8D" w:rsidP="007B4D8D">
      <w:pPr>
        <w:pStyle w:val="SingleTxtG"/>
        <w:rPr>
          <w:lang w:val="ro-RO"/>
        </w:rPr>
      </w:pPr>
      <w:r w:rsidRPr="00857CDA">
        <w:rPr>
          <w:lang w:val="ro-RO"/>
        </w:rPr>
        <w:t>9.2.2.2.1</w:t>
      </w:r>
      <w:r w:rsidRPr="00857CDA">
        <w:rPr>
          <w:lang w:val="ro-RO"/>
        </w:rPr>
        <w:tab/>
      </w:r>
      <w:r w:rsidR="00902C44" w:rsidRPr="00857CDA">
        <w:rPr>
          <w:lang w:val="ro-RO"/>
        </w:rPr>
        <w:t xml:space="preserve">În </w:t>
      </w:r>
      <w:r w:rsidR="00D41DA7" w:rsidRPr="00857CDA">
        <w:rPr>
          <w:lang w:val="ro-RO"/>
        </w:rPr>
        <w:t>cel de al doilea</w:t>
      </w:r>
      <w:r w:rsidRPr="00857CDA">
        <w:rPr>
          <w:lang w:val="ro-RO"/>
        </w:rPr>
        <w:t xml:space="preserve"> </w:t>
      </w:r>
      <w:r w:rsidR="00970E20" w:rsidRPr="00857CDA">
        <w:rPr>
          <w:lang w:val="ro-RO"/>
        </w:rPr>
        <w:t>paragraf</w:t>
      </w:r>
      <w:r w:rsidRPr="00857CDA">
        <w:rPr>
          <w:lang w:val="ro-RO"/>
        </w:rPr>
        <w:t xml:space="preserve">, </w:t>
      </w:r>
      <w:r w:rsidR="00D41DA7" w:rsidRPr="00857CDA">
        <w:rPr>
          <w:lang w:val="ro-RO"/>
        </w:rPr>
        <w:t>s</w:t>
      </w:r>
      <w:r w:rsidR="00902C44" w:rsidRPr="00857CDA">
        <w:rPr>
          <w:lang w:val="ro-RO"/>
        </w:rPr>
        <w:t>e șterge</w:t>
      </w:r>
      <w:r w:rsidRPr="00857CDA">
        <w:rPr>
          <w:lang w:val="ro-RO"/>
        </w:rPr>
        <w:t xml:space="preserve"> </w:t>
      </w:r>
      <w:r w:rsidR="001760C8" w:rsidRPr="00857CDA">
        <w:rPr>
          <w:lang w:val="ro-RO"/>
        </w:rPr>
        <w:t>„</w:t>
      </w:r>
      <w:r w:rsidR="00D41DA7" w:rsidRPr="00857CDA">
        <w:rPr>
          <w:lang w:val="ro-RO"/>
        </w:rPr>
        <w:t>care sunt specificate în ISO 16750-4:2010 şi ISO 16750-5:2010</w:t>
      </w:r>
      <w:r w:rsidR="00660131" w:rsidRPr="00857CDA">
        <w:rPr>
          <w:lang w:val="ro-RO"/>
        </w:rPr>
        <w:t>”</w:t>
      </w:r>
      <w:r w:rsidRPr="00857CDA">
        <w:rPr>
          <w:lang w:val="ro-RO"/>
        </w:rPr>
        <w:t>.</w:t>
      </w:r>
    </w:p>
    <w:p w:rsidR="007A2A1D" w:rsidRPr="00857CDA" w:rsidRDefault="007A2A1D" w:rsidP="007A2A1D">
      <w:pPr>
        <w:pStyle w:val="SingleTxtG"/>
        <w:rPr>
          <w:lang w:val="ro-RO"/>
        </w:rPr>
      </w:pPr>
      <w:r w:rsidRPr="00857CDA">
        <w:rPr>
          <w:lang w:val="ro-RO"/>
        </w:rPr>
        <w:t>9.2.2.9.1 a)</w:t>
      </w:r>
      <w:r w:rsidRPr="00857CDA">
        <w:rPr>
          <w:lang w:val="ro-RO"/>
        </w:rPr>
        <w:tab/>
      </w:r>
      <w:r w:rsidR="00902C44" w:rsidRPr="00857CDA">
        <w:rPr>
          <w:lang w:val="ro-RO"/>
        </w:rPr>
        <w:t>Se modifică</w:t>
      </w:r>
      <w:r w:rsidRPr="00857CDA">
        <w:rPr>
          <w:lang w:val="ro-RO"/>
        </w:rPr>
        <w:t xml:space="preserve"> </w:t>
      </w:r>
      <w:r w:rsidR="001760C8" w:rsidRPr="00857CDA">
        <w:rPr>
          <w:lang w:val="ro-RO"/>
        </w:rPr>
        <w:t>„</w:t>
      </w:r>
      <w:r w:rsidR="00D41DA7" w:rsidRPr="00857CDA">
        <w:rPr>
          <w:lang w:val="ro-RO"/>
        </w:rPr>
        <w:t>părțile 1, 2, 5, 6, 7, 11, 15 sau 18</w:t>
      </w:r>
      <w:r w:rsidR="00660131" w:rsidRPr="00857CDA">
        <w:rPr>
          <w:lang w:val="ro-RO"/>
        </w:rPr>
        <w:t>”</w:t>
      </w:r>
      <w:r w:rsidR="00902C44" w:rsidRPr="00857CDA">
        <w:rPr>
          <w:lang w:val="ro-RO"/>
        </w:rPr>
        <w:t xml:space="preserve"> cu </w:t>
      </w:r>
      <w:r w:rsidR="001760C8" w:rsidRPr="00857CDA">
        <w:rPr>
          <w:lang w:val="ro-RO"/>
        </w:rPr>
        <w:t>„</w:t>
      </w:r>
      <w:r w:rsidR="00D41DA7" w:rsidRPr="00857CDA">
        <w:rPr>
          <w:lang w:val="ro-RO"/>
        </w:rPr>
        <w:t>părțile</w:t>
      </w:r>
      <w:r w:rsidRPr="00857CDA">
        <w:rPr>
          <w:lang w:val="ro-RO"/>
        </w:rPr>
        <w:t xml:space="preserve"> 1, 2, 5, 6, 7, 11, 15, 18, 26 </w:t>
      </w:r>
      <w:r w:rsidR="00D41DA7" w:rsidRPr="00857CDA">
        <w:rPr>
          <w:lang w:val="ro-RO"/>
        </w:rPr>
        <w:t>sa</w:t>
      </w:r>
      <w:r w:rsidRPr="00857CDA">
        <w:rPr>
          <w:lang w:val="ro-RO"/>
        </w:rPr>
        <w:t>u 28</w:t>
      </w:r>
      <w:r w:rsidR="00660131" w:rsidRPr="00857CDA">
        <w:rPr>
          <w:lang w:val="ro-RO"/>
        </w:rPr>
        <w:t>”</w:t>
      </w:r>
      <w:r w:rsidRPr="00857CDA">
        <w:rPr>
          <w:lang w:val="ro-RO"/>
        </w:rPr>
        <w:t xml:space="preserve">. </w:t>
      </w:r>
    </w:p>
    <w:p w:rsidR="000B1500" w:rsidRPr="00857CDA" w:rsidRDefault="000B1500" w:rsidP="000B1500">
      <w:pPr>
        <w:pStyle w:val="H1G"/>
        <w:rPr>
          <w:lang w:val="ro-RO"/>
        </w:rPr>
      </w:pPr>
      <w:r w:rsidRPr="00857CDA">
        <w:rPr>
          <w:lang w:val="ro-RO"/>
        </w:rPr>
        <w:lastRenderedPageBreak/>
        <w:tab/>
      </w:r>
      <w:r w:rsidRPr="00857CDA">
        <w:rPr>
          <w:lang w:val="ro-RO"/>
        </w:rPr>
        <w:tab/>
      </w:r>
      <w:r w:rsidR="00902C44" w:rsidRPr="00857CDA">
        <w:rPr>
          <w:lang w:val="ro-RO"/>
        </w:rPr>
        <w:t>Capitolul</w:t>
      </w:r>
      <w:r w:rsidRPr="00857CDA">
        <w:rPr>
          <w:lang w:val="ro-RO"/>
        </w:rPr>
        <w:t xml:space="preserve"> 9.6</w:t>
      </w:r>
    </w:p>
    <w:p w:rsidR="00F4615A" w:rsidRPr="00857CDA" w:rsidRDefault="00F4615A" w:rsidP="00F4615A">
      <w:pPr>
        <w:pStyle w:val="SingleTxtG"/>
        <w:rPr>
          <w:lang w:val="ro-RO"/>
        </w:rPr>
      </w:pPr>
      <w:r w:rsidRPr="00857CDA">
        <w:rPr>
          <w:lang w:val="ro-RO"/>
        </w:rPr>
        <w:t>9.6.1 a)</w:t>
      </w:r>
      <w:r w:rsidRPr="00857CDA">
        <w:rPr>
          <w:lang w:val="ro-RO"/>
        </w:rPr>
        <w:tab/>
      </w:r>
      <w:r w:rsidR="00902C44" w:rsidRPr="00857CDA">
        <w:rPr>
          <w:lang w:val="ro-RO"/>
        </w:rPr>
        <w:t>Se modifică</w:t>
      </w:r>
      <w:r w:rsidRPr="00857CDA">
        <w:rPr>
          <w:lang w:val="ro-RO"/>
        </w:rPr>
        <w:t xml:space="preserve"> </w:t>
      </w:r>
      <w:r w:rsidR="001760C8" w:rsidRPr="00857CDA">
        <w:rPr>
          <w:lang w:val="ro-RO"/>
        </w:rPr>
        <w:t>„</w:t>
      </w:r>
      <w:r w:rsidRPr="00857CDA">
        <w:rPr>
          <w:lang w:val="ro-RO"/>
        </w:rPr>
        <w:t>2.2.52.1.16</w:t>
      </w:r>
      <w:r w:rsidR="00660131" w:rsidRPr="00857CDA">
        <w:rPr>
          <w:lang w:val="ro-RO"/>
        </w:rPr>
        <w:t>”</w:t>
      </w:r>
      <w:r w:rsidR="00902C44" w:rsidRPr="00857CDA">
        <w:rPr>
          <w:lang w:val="ro-RO"/>
        </w:rPr>
        <w:t xml:space="preserve"> cu </w:t>
      </w:r>
      <w:r w:rsidR="001760C8" w:rsidRPr="00857CDA">
        <w:rPr>
          <w:lang w:val="ro-RO"/>
        </w:rPr>
        <w:t>„</w:t>
      </w:r>
      <w:r w:rsidRPr="00857CDA">
        <w:rPr>
          <w:lang w:val="ro-RO"/>
        </w:rPr>
        <w:t>2.2.52.1.15</w:t>
      </w:r>
      <w:r w:rsidR="00660131" w:rsidRPr="00857CDA">
        <w:rPr>
          <w:lang w:val="ro-RO"/>
        </w:rPr>
        <w:t>”</w:t>
      </w:r>
      <w:r w:rsidRPr="00857CDA">
        <w:rPr>
          <w:lang w:val="ro-RO"/>
        </w:rPr>
        <w:t>.</w:t>
      </w:r>
    </w:p>
    <w:p w:rsidR="000B1500" w:rsidRPr="00857CDA" w:rsidRDefault="000B1500" w:rsidP="001E0D22">
      <w:pPr>
        <w:pStyle w:val="SingleTxtG"/>
        <w:tabs>
          <w:tab w:val="left" w:pos="2268"/>
        </w:tabs>
        <w:rPr>
          <w:lang w:val="ro-RO"/>
        </w:rPr>
      </w:pPr>
      <w:r w:rsidRPr="00857CDA">
        <w:rPr>
          <w:lang w:val="ro-RO"/>
        </w:rPr>
        <w:t>9.6.2</w:t>
      </w:r>
      <w:r w:rsidRPr="00857CDA">
        <w:rPr>
          <w:lang w:val="ro-RO"/>
        </w:rPr>
        <w:tab/>
      </w:r>
      <w:r w:rsidR="002B679C" w:rsidRPr="00857CDA">
        <w:rPr>
          <w:lang w:val="ro-RO"/>
        </w:rPr>
        <w:t>Se modifică</w:t>
      </w:r>
      <w:r w:rsidRPr="00857CDA">
        <w:rPr>
          <w:lang w:val="ro-RO"/>
        </w:rPr>
        <w:t xml:space="preserve"> </w:t>
      </w:r>
      <w:r w:rsidR="003634AA" w:rsidRPr="00857CDA">
        <w:rPr>
          <w:lang w:val="ro-RO"/>
        </w:rPr>
        <w:t>prima frază,</w:t>
      </w:r>
      <w:r w:rsidR="002B679C" w:rsidRPr="00857CDA">
        <w:rPr>
          <w:lang w:val="ro-RO"/>
        </w:rPr>
        <w:t xml:space="preserve"> după cum urmează</w:t>
      </w:r>
      <w:r w:rsidR="00091658" w:rsidRPr="00857CDA">
        <w:rPr>
          <w:lang w:val="ro-RO"/>
        </w:rPr>
        <w:t>:</w:t>
      </w:r>
      <w:r w:rsidRPr="00857CDA">
        <w:rPr>
          <w:lang w:val="ro-RO"/>
        </w:rPr>
        <w:t xml:space="preserve"> </w:t>
      </w:r>
      <w:r w:rsidR="001760C8" w:rsidRPr="00857CDA">
        <w:rPr>
          <w:lang w:val="ro-RO"/>
        </w:rPr>
        <w:t>„</w:t>
      </w:r>
      <w:r w:rsidR="00D41DA7" w:rsidRPr="00857CDA">
        <w:rPr>
          <w:lang w:val="ro-RO"/>
        </w:rPr>
        <w:t xml:space="preserve">Metode adecvate pentru a preveni depășirea temperaturii de reglare sunt enumerate la </w:t>
      </w:r>
      <w:r w:rsidRPr="00857CDA">
        <w:rPr>
          <w:lang w:val="ro-RO"/>
        </w:rPr>
        <w:t>7.1.7.4.5.</w:t>
      </w:r>
      <w:r w:rsidR="00660131" w:rsidRPr="00857CDA">
        <w:rPr>
          <w:lang w:val="ro-RO"/>
        </w:rPr>
        <w:t>”</w:t>
      </w:r>
      <w:r w:rsidRPr="00857CDA">
        <w:rPr>
          <w:lang w:val="ro-RO"/>
        </w:rPr>
        <w:t>.</w:t>
      </w:r>
    </w:p>
    <w:p w:rsidR="007A2A1D" w:rsidRPr="00857CDA" w:rsidRDefault="007A2A1D" w:rsidP="007A2A1D">
      <w:pPr>
        <w:pStyle w:val="H1G"/>
        <w:rPr>
          <w:lang w:val="ro-RO"/>
        </w:rPr>
      </w:pPr>
      <w:r w:rsidRPr="00857CDA">
        <w:rPr>
          <w:lang w:val="ro-RO"/>
        </w:rPr>
        <w:tab/>
      </w:r>
      <w:r w:rsidRPr="00857CDA">
        <w:rPr>
          <w:lang w:val="ro-RO"/>
        </w:rPr>
        <w:tab/>
      </w:r>
      <w:r w:rsidR="00902C44" w:rsidRPr="00857CDA">
        <w:rPr>
          <w:lang w:val="ro-RO"/>
        </w:rPr>
        <w:t>Capitolul</w:t>
      </w:r>
      <w:r w:rsidR="007113F3" w:rsidRPr="00857CDA">
        <w:rPr>
          <w:lang w:val="ro-RO"/>
        </w:rPr>
        <w:t xml:space="preserve"> </w:t>
      </w:r>
      <w:r w:rsidRPr="00857CDA">
        <w:rPr>
          <w:lang w:val="ro-RO"/>
        </w:rPr>
        <w:t>9.7</w:t>
      </w:r>
    </w:p>
    <w:p w:rsidR="007A2A1D" w:rsidRPr="00857CDA" w:rsidRDefault="00D0105A" w:rsidP="00D0105A">
      <w:pPr>
        <w:pStyle w:val="ParNoG"/>
        <w:numPr>
          <w:ilvl w:val="0"/>
          <w:numId w:val="0"/>
        </w:numPr>
        <w:tabs>
          <w:tab w:val="left" w:pos="2268"/>
        </w:tabs>
        <w:kinsoku w:val="0"/>
        <w:overflowPunct w:val="0"/>
        <w:autoSpaceDE w:val="0"/>
        <w:autoSpaceDN w:val="0"/>
        <w:adjustRightInd w:val="0"/>
        <w:snapToGrid w:val="0"/>
        <w:ind w:left="1134"/>
        <w:rPr>
          <w:lang w:val="ro-RO"/>
        </w:rPr>
      </w:pPr>
      <w:r w:rsidRPr="00857CDA">
        <w:rPr>
          <w:iCs/>
          <w:lang w:val="ro-RO"/>
        </w:rPr>
        <w:t>9.7.3</w:t>
      </w:r>
      <w:r w:rsidR="007A2A1D" w:rsidRPr="00857CDA">
        <w:rPr>
          <w:iCs/>
          <w:lang w:val="ro-RO"/>
        </w:rPr>
        <w:tab/>
      </w:r>
      <w:r w:rsidR="002B679C" w:rsidRPr="00857CDA">
        <w:rPr>
          <w:iCs/>
          <w:lang w:val="ro-RO"/>
        </w:rPr>
        <w:t>Se modifică</w:t>
      </w:r>
      <w:r w:rsidR="007A2A1D" w:rsidRPr="00857CDA">
        <w:rPr>
          <w:lang w:val="ro-RO"/>
        </w:rPr>
        <w:t xml:space="preserve"> sec</w:t>
      </w:r>
      <w:r w:rsidR="00D41DA7" w:rsidRPr="00857CDA">
        <w:rPr>
          <w:lang w:val="ro-RO"/>
        </w:rPr>
        <w:t>ț</w:t>
      </w:r>
      <w:r w:rsidR="007A2A1D" w:rsidRPr="00857CDA">
        <w:rPr>
          <w:lang w:val="ro-RO"/>
        </w:rPr>
        <w:t>i</w:t>
      </w:r>
      <w:r w:rsidR="00D41DA7" w:rsidRPr="00857CDA">
        <w:rPr>
          <w:lang w:val="ro-RO"/>
        </w:rPr>
        <w:t>unea</w:t>
      </w:r>
      <w:r w:rsidR="007A2A1D" w:rsidRPr="00857CDA">
        <w:rPr>
          <w:lang w:val="ro-RO"/>
        </w:rPr>
        <w:t xml:space="preserve"> 9.7.3</w:t>
      </w:r>
      <w:r w:rsidR="00D41DA7" w:rsidRPr="00857CDA">
        <w:rPr>
          <w:lang w:val="ro-RO"/>
        </w:rPr>
        <w:t>, după cum urmează</w:t>
      </w:r>
      <w:r w:rsidR="00091658" w:rsidRPr="00857CDA">
        <w:rPr>
          <w:lang w:val="ro-RO"/>
        </w:rPr>
        <w:t>:</w:t>
      </w:r>
    </w:p>
    <w:p w:rsidR="007A2A1D" w:rsidRPr="00857CDA" w:rsidRDefault="001760C8" w:rsidP="00D0105A">
      <w:pPr>
        <w:pStyle w:val="SingleTxtG"/>
        <w:tabs>
          <w:tab w:val="left" w:pos="2268"/>
        </w:tabs>
        <w:rPr>
          <w:b/>
          <w:lang w:val="ro-RO"/>
        </w:rPr>
      </w:pPr>
      <w:r w:rsidRPr="00857CDA">
        <w:rPr>
          <w:lang w:val="ro-RO"/>
        </w:rPr>
        <w:t>„</w:t>
      </w:r>
      <w:r w:rsidR="00D0105A" w:rsidRPr="00857CDA">
        <w:rPr>
          <w:b/>
          <w:lang w:val="ro-RO"/>
        </w:rPr>
        <w:t>9.7.3</w:t>
      </w:r>
      <w:r w:rsidR="007A2A1D" w:rsidRPr="00857CDA">
        <w:rPr>
          <w:b/>
          <w:lang w:val="ro-RO"/>
        </w:rPr>
        <w:tab/>
        <w:t>M</w:t>
      </w:r>
      <w:r w:rsidR="00D41DA7" w:rsidRPr="00857CDA">
        <w:rPr>
          <w:b/>
          <w:lang w:val="ro-RO"/>
        </w:rPr>
        <w:t>ijloace de fixare</w:t>
      </w:r>
    </w:p>
    <w:p w:rsidR="005E3578" w:rsidRPr="00857CDA" w:rsidRDefault="007A2A1D" w:rsidP="00D0105A">
      <w:pPr>
        <w:pStyle w:val="SingleTxtG"/>
        <w:tabs>
          <w:tab w:val="left" w:pos="2268"/>
        </w:tabs>
        <w:rPr>
          <w:lang w:val="ro-RO"/>
        </w:rPr>
      </w:pPr>
      <w:r w:rsidRPr="00857CDA">
        <w:rPr>
          <w:lang w:val="ro-RO"/>
        </w:rPr>
        <w:t>9.7.3.1</w:t>
      </w:r>
      <w:r w:rsidRPr="00857CDA">
        <w:rPr>
          <w:lang w:val="ro-RO"/>
        </w:rPr>
        <w:tab/>
      </w:r>
      <w:r w:rsidR="005E3578" w:rsidRPr="00857CDA">
        <w:rPr>
          <w:lang w:val="ro-RO"/>
        </w:rPr>
        <w:t xml:space="preserve">Mijloacele de fixare trebuie concepute pentru a rezista la solicitările statice și dinamice în condiții normale de transport. Mijloacele de fixare </w:t>
      </w:r>
      <w:r w:rsidR="00A5306C" w:rsidRPr="00857CDA">
        <w:rPr>
          <w:lang w:val="ro-RO"/>
        </w:rPr>
        <w:t>includ</w:t>
      </w:r>
      <w:r w:rsidR="005E3578" w:rsidRPr="00857CDA">
        <w:rPr>
          <w:lang w:val="ro-RO"/>
        </w:rPr>
        <w:t>, de asemenea, cadrele de susținere utilizate pentru montarea echipamentului de structură</w:t>
      </w:r>
      <w:r w:rsidR="00A5306C" w:rsidRPr="00857CDA">
        <w:rPr>
          <w:lang w:val="ro-RO"/>
        </w:rPr>
        <w:t xml:space="preserve"> (a se vedea definiția de la </w:t>
      </w:r>
      <w:r w:rsidR="005E3578" w:rsidRPr="00857CDA">
        <w:rPr>
          <w:lang w:val="ro-RO"/>
        </w:rPr>
        <w:t>1.2.1) pe vehicul.</w:t>
      </w:r>
    </w:p>
    <w:p w:rsidR="007A2A1D" w:rsidRPr="00857CDA" w:rsidRDefault="007A2A1D" w:rsidP="00A5306C">
      <w:pPr>
        <w:pStyle w:val="SingleTxtG"/>
        <w:rPr>
          <w:lang w:val="ro-RO"/>
        </w:rPr>
      </w:pPr>
      <w:r w:rsidRPr="00857CDA">
        <w:rPr>
          <w:lang w:val="ro-RO"/>
        </w:rPr>
        <w:t>9.7.3.2</w:t>
      </w:r>
      <w:r w:rsidRPr="00857CDA">
        <w:rPr>
          <w:lang w:val="ro-RO"/>
        </w:rPr>
        <w:tab/>
      </w:r>
      <w:r w:rsidRPr="00857CDA">
        <w:rPr>
          <w:lang w:val="ro-RO"/>
        </w:rPr>
        <w:tab/>
      </w:r>
      <w:r w:rsidR="005E3578" w:rsidRPr="00857CDA">
        <w:rPr>
          <w:lang w:val="ro-RO"/>
        </w:rPr>
        <w:t xml:space="preserve">Mijloacele de fixare utilizate pe vehiculele-cisternă, vehiculele-baterie, vehiculele care transportă containere-cisternă, cisterne demontabile, cisterne mobile, CGEM sau CGEM UN trebuie să fie capabile să absoarbă </w:t>
      </w:r>
      <w:r w:rsidR="00A5306C" w:rsidRPr="00857CDA">
        <w:rPr>
          <w:lang w:val="ro-RO"/>
        </w:rPr>
        <w:t>la încărcarea</w:t>
      </w:r>
      <w:r w:rsidR="005E3578" w:rsidRPr="00857CDA">
        <w:rPr>
          <w:lang w:val="ro-RO"/>
        </w:rPr>
        <w:t xml:space="preserve"> maxim</w:t>
      </w:r>
      <w:r w:rsidR="00A5306C" w:rsidRPr="00857CDA">
        <w:rPr>
          <w:lang w:val="ro-RO"/>
        </w:rPr>
        <w:t>ă admisă</w:t>
      </w:r>
      <w:r w:rsidR="005E3578" w:rsidRPr="00857CDA">
        <w:rPr>
          <w:lang w:val="ro-RO"/>
        </w:rPr>
        <w:t>, următoarele</w:t>
      </w:r>
      <w:r w:rsidR="00A5306C" w:rsidRPr="00857CDA">
        <w:rPr>
          <w:lang w:val="ro-RO"/>
        </w:rPr>
        <w:t xml:space="preserve"> forțe statice aplicate separat</w:t>
      </w:r>
      <w:r w:rsidRPr="00857CDA">
        <w:rPr>
          <w:lang w:val="ro-RO"/>
        </w:rPr>
        <w:t>:</w:t>
      </w:r>
    </w:p>
    <w:p w:rsidR="007A2A1D" w:rsidRPr="00857CDA" w:rsidRDefault="0046583F" w:rsidP="00A5306C">
      <w:pPr>
        <w:pStyle w:val="SingleTxtG"/>
        <w:rPr>
          <w:lang w:val="ro-RO"/>
        </w:rPr>
      </w:pPr>
      <w:r w:rsidRPr="00857CDA">
        <w:rPr>
          <w:lang w:val="ro-RO"/>
        </w:rPr>
        <w:t xml:space="preserve">- </w:t>
      </w:r>
      <w:r w:rsidR="00A5306C" w:rsidRPr="00857CDA">
        <w:rPr>
          <w:lang w:val="ro-RO"/>
        </w:rPr>
        <w:t xml:space="preserve">pe direcția de deplasare: de două ori masa totală înmulțită cu accelerația gravitațională </w:t>
      </w:r>
      <w:r w:rsidR="007A2A1D" w:rsidRPr="00857CDA">
        <w:rPr>
          <w:lang w:val="ro-RO"/>
        </w:rPr>
        <w:t>(g)</w:t>
      </w:r>
      <w:r w:rsidR="007A2A1D" w:rsidRPr="00857CDA">
        <w:rPr>
          <w:vertAlign w:val="superscript"/>
          <w:lang w:val="ro-RO"/>
        </w:rPr>
        <w:t>1</w:t>
      </w:r>
      <w:r w:rsidR="007A2A1D" w:rsidRPr="00857CDA">
        <w:rPr>
          <w:lang w:val="ro-RO"/>
        </w:rPr>
        <w:t>;</w:t>
      </w:r>
    </w:p>
    <w:p w:rsidR="007A2A1D" w:rsidRPr="00857CDA" w:rsidRDefault="0046583F" w:rsidP="007A2A1D">
      <w:pPr>
        <w:pStyle w:val="SingleTxtG"/>
        <w:rPr>
          <w:lang w:val="ro-RO"/>
        </w:rPr>
      </w:pPr>
      <w:r w:rsidRPr="00857CDA">
        <w:rPr>
          <w:lang w:val="ro-RO"/>
        </w:rPr>
        <w:t xml:space="preserve">- </w:t>
      </w:r>
      <w:r w:rsidR="00A5306C" w:rsidRPr="00857CDA">
        <w:rPr>
          <w:lang w:val="ro-RO"/>
        </w:rPr>
        <w:t xml:space="preserve">orizontal, perpendicular pe direcția de deplasare: masa totală înmulțită cu accelerația gravitațională </w:t>
      </w:r>
      <w:r w:rsidR="007A2A1D" w:rsidRPr="00857CDA">
        <w:rPr>
          <w:lang w:val="ro-RO"/>
        </w:rPr>
        <w:t>(g)</w:t>
      </w:r>
      <w:r w:rsidR="007A2A1D" w:rsidRPr="00857CDA">
        <w:rPr>
          <w:vertAlign w:val="superscript"/>
          <w:lang w:val="ro-RO"/>
        </w:rPr>
        <w:t>1</w:t>
      </w:r>
      <w:r w:rsidR="007A2A1D" w:rsidRPr="00857CDA">
        <w:rPr>
          <w:lang w:val="ro-RO"/>
        </w:rPr>
        <w:t>;</w:t>
      </w:r>
    </w:p>
    <w:p w:rsidR="007A2A1D" w:rsidRPr="00857CDA" w:rsidRDefault="001B6CC7" w:rsidP="007A2A1D">
      <w:pPr>
        <w:pStyle w:val="SingleTxtG"/>
        <w:rPr>
          <w:lang w:val="ro-RO"/>
        </w:rPr>
      </w:pPr>
      <w:r w:rsidRPr="00857CDA">
        <w:rPr>
          <w:lang w:val="ro-RO"/>
        </w:rPr>
        <w:t>-</w:t>
      </w:r>
      <w:r w:rsidR="0046583F" w:rsidRPr="00857CDA">
        <w:rPr>
          <w:lang w:val="ro-RO"/>
        </w:rPr>
        <w:t xml:space="preserve"> </w:t>
      </w:r>
      <w:r w:rsidR="00A5306C" w:rsidRPr="00857CDA">
        <w:rPr>
          <w:lang w:val="ro-RO"/>
        </w:rPr>
        <w:t xml:space="preserve">vertical, de jos în sus: masa totală înmulțită cu accelerația gravitațională </w:t>
      </w:r>
      <w:r w:rsidR="007A2A1D" w:rsidRPr="00857CDA">
        <w:rPr>
          <w:lang w:val="ro-RO"/>
        </w:rPr>
        <w:t>(g)</w:t>
      </w:r>
      <w:r w:rsidR="007A2A1D" w:rsidRPr="00857CDA">
        <w:rPr>
          <w:vertAlign w:val="superscript"/>
          <w:lang w:val="ro-RO"/>
        </w:rPr>
        <w:t>1</w:t>
      </w:r>
      <w:r w:rsidR="007A2A1D" w:rsidRPr="00857CDA">
        <w:rPr>
          <w:lang w:val="ro-RO"/>
        </w:rPr>
        <w:t>;</w:t>
      </w:r>
    </w:p>
    <w:p w:rsidR="007A2A1D" w:rsidRPr="00857CDA" w:rsidRDefault="001B6CC7" w:rsidP="007A2A1D">
      <w:pPr>
        <w:pStyle w:val="SingleTxtG"/>
        <w:rPr>
          <w:lang w:val="ro-RO"/>
        </w:rPr>
      </w:pPr>
      <w:r w:rsidRPr="00857CDA">
        <w:rPr>
          <w:lang w:val="ro-RO"/>
        </w:rPr>
        <w:t>-</w:t>
      </w:r>
      <w:r w:rsidR="0046583F" w:rsidRPr="00857CDA">
        <w:rPr>
          <w:lang w:val="ro-RO"/>
        </w:rPr>
        <w:t xml:space="preserve"> </w:t>
      </w:r>
      <w:r w:rsidR="00A5306C" w:rsidRPr="00857CDA">
        <w:rPr>
          <w:lang w:val="ro-RO"/>
        </w:rPr>
        <w:t xml:space="preserve">vertical, de sus în jos: de două ori masa totală înmulțită cu accelerația gravitațională </w:t>
      </w:r>
      <w:r w:rsidR="007A2A1D" w:rsidRPr="00857CDA">
        <w:rPr>
          <w:lang w:val="ro-RO"/>
        </w:rPr>
        <w:t>(g)</w:t>
      </w:r>
      <w:r w:rsidR="007A2A1D" w:rsidRPr="00857CDA">
        <w:rPr>
          <w:vertAlign w:val="superscript"/>
          <w:lang w:val="ro-RO"/>
        </w:rPr>
        <w:t>1</w:t>
      </w:r>
      <w:r w:rsidR="007A2A1D" w:rsidRPr="00857CDA">
        <w:rPr>
          <w:lang w:val="ro-RO"/>
        </w:rPr>
        <w:t>.</w:t>
      </w:r>
    </w:p>
    <w:p w:rsidR="007A2A1D" w:rsidRPr="00857CDA" w:rsidRDefault="007A2A1D" w:rsidP="00A5306C">
      <w:pPr>
        <w:pStyle w:val="SingleTxtG"/>
        <w:rPr>
          <w:i/>
          <w:lang w:val="ro-RO"/>
        </w:rPr>
      </w:pPr>
      <w:r w:rsidRPr="00857CDA">
        <w:rPr>
          <w:b/>
          <w:i/>
          <w:lang w:val="ro-RO"/>
        </w:rPr>
        <w:t>NOT</w:t>
      </w:r>
      <w:r w:rsidR="001760C8" w:rsidRPr="00857CDA">
        <w:rPr>
          <w:b/>
          <w:i/>
          <w:lang w:val="ro-RO"/>
        </w:rPr>
        <w:t>Ă</w:t>
      </w:r>
      <w:r w:rsidRPr="00857CDA">
        <w:rPr>
          <w:b/>
          <w:i/>
          <w:lang w:val="ro-RO"/>
        </w:rPr>
        <w:t>:</w:t>
      </w:r>
      <w:r w:rsidRPr="00857CDA">
        <w:rPr>
          <w:i/>
          <w:lang w:val="ro-RO"/>
        </w:rPr>
        <w:t xml:space="preserve"> </w:t>
      </w:r>
      <w:r w:rsidR="00A5306C" w:rsidRPr="00857CDA">
        <w:rPr>
          <w:i/>
          <w:lang w:val="ro-RO"/>
        </w:rPr>
        <w:t>Prescripțiile prezentului paragraf nu se aplică dispozitivelor de blocare prin răsucire conforme cu ISO 1161: 2016 (Containere din seria 1 - Piese de colț și piese de fixare intermediare - Specificații). Cu toate acestea, prescripțiile se aplică cadrelor și altor dispozitive utilizate pentru susținerea unor astfel de mijloace de fixare de pe vehicul</w:t>
      </w:r>
      <w:r w:rsidRPr="00857CDA">
        <w:rPr>
          <w:i/>
          <w:lang w:val="ro-RO"/>
        </w:rPr>
        <w:t>.</w:t>
      </w:r>
      <w:r w:rsidR="00660131" w:rsidRPr="00857CDA">
        <w:rPr>
          <w:i/>
          <w:lang w:val="ro-RO"/>
        </w:rPr>
        <w:t>”</w:t>
      </w:r>
      <w:r w:rsidRPr="00857CDA">
        <w:rPr>
          <w:i/>
          <w:lang w:val="ro-RO"/>
        </w:rPr>
        <w:t>.</w:t>
      </w:r>
    </w:p>
    <w:p w:rsidR="007A2A1D" w:rsidRPr="00857CDA" w:rsidRDefault="00A5306C" w:rsidP="001B6CC7">
      <w:pPr>
        <w:pStyle w:val="SingleTxtG"/>
        <w:rPr>
          <w:b/>
          <w:lang w:val="ro-RO"/>
        </w:rPr>
      </w:pPr>
      <w:r w:rsidRPr="00857CDA">
        <w:rPr>
          <w:lang w:val="ro-RO"/>
        </w:rPr>
        <w:t>Nota de subsol</w:t>
      </w:r>
      <w:r w:rsidR="007A2A1D" w:rsidRPr="00857CDA">
        <w:rPr>
          <w:lang w:val="ro-RO"/>
        </w:rPr>
        <w:t> 1</w:t>
      </w:r>
      <w:r w:rsidRPr="00857CDA">
        <w:rPr>
          <w:lang w:val="ro-RO"/>
        </w:rPr>
        <w:t>, are următorul text</w:t>
      </w:r>
      <w:r w:rsidR="00091658" w:rsidRPr="00857CDA">
        <w:rPr>
          <w:lang w:val="ro-RO"/>
        </w:rPr>
        <w:t>:</w:t>
      </w:r>
      <w:r w:rsidR="007A2A1D" w:rsidRPr="00857CDA">
        <w:rPr>
          <w:lang w:val="ro-RO"/>
        </w:rPr>
        <w:t xml:space="preserve"> </w:t>
      </w:r>
      <w:r w:rsidR="001760C8" w:rsidRPr="00857CDA">
        <w:rPr>
          <w:lang w:val="ro-RO"/>
        </w:rPr>
        <w:t>„</w:t>
      </w:r>
      <w:r w:rsidRPr="00857CDA">
        <w:rPr>
          <w:lang w:val="ro-RO"/>
        </w:rPr>
        <w:t>Pentru calcule</w:t>
      </w:r>
      <w:r w:rsidR="007A2A1D" w:rsidRPr="00857CDA">
        <w:rPr>
          <w:i/>
          <w:lang w:val="ro-RO"/>
        </w:rPr>
        <w:t>: g = 9,81 m/s</w:t>
      </w:r>
      <w:r w:rsidR="007A2A1D" w:rsidRPr="00857CDA">
        <w:rPr>
          <w:i/>
          <w:vertAlign w:val="superscript"/>
          <w:lang w:val="ro-RO"/>
        </w:rPr>
        <w:t>2</w:t>
      </w:r>
      <w:r w:rsidR="007A2A1D" w:rsidRPr="00857CDA">
        <w:rPr>
          <w:i/>
          <w:lang w:val="ro-RO"/>
        </w:rPr>
        <w:t>.</w:t>
      </w:r>
      <w:r w:rsidR="00660131" w:rsidRPr="00857CDA">
        <w:rPr>
          <w:i/>
          <w:lang w:val="ro-RO"/>
        </w:rPr>
        <w:t>”</w:t>
      </w:r>
      <w:r w:rsidR="007A2A1D" w:rsidRPr="00857CDA">
        <w:rPr>
          <w:lang w:val="ro-RO"/>
        </w:rPr>
        <w:t xml:space="preserve">. </w:t>
      </w:r>
      <w:r w:rsidRPr="00857CDA">
        <w:rPr>
          <w:lang w:val="ro-RO"/>
        </w:rPr>
        <w:t>Se renumerotează actuala notă de subsol 1 din capitolul 9.7 ca fiind nota de subsol 2</w:t>
      </w:r>
      <w:r w:rsidR="007A2A1D" w:rsidRPr="00857CDA">
        <w:rPr>
          <w:lang w:val="ro-RO"/>
        </w:rPr>
        <w:t>.</w:t>
      </w:r>
    </w:p>
    <w:p w:rsidR="007A2A1D" w:rsidRPr="00857CDA" w:rsidRDefault="007A2A1D" w:rsidP="007A2A1D">
      <w:pPr>
        <w:pStyle w:val="SingleTxtG"/>
        <w:rPr>
          <w:lang w:val="ro-RO"/>
        </w:rPr>
      </w:pPr>
      <w:r w:rsidRPr="00857CDA">
        <w:rPr>
          <w:lang w:val="ro-RO"/>
        </w:rPr>
        <w:t>9.7.3</w:t>
      </w:r>
      <w:r w:rsidRPr="00857CDA">
        <w:rPr>
          <w:lang w:val="ro-RO"/>
        </w:rPr>
        <w:tab/>
      </w:r>
      <w:r w:rsidR="00902C44" w:rsidRPr="00857CDA">
        <w:rPr>
          <w:lang w:val="ro-RO"/>
        </w:rPr>
        <w:t>Se adaugă</w:t>
      </w:r>
      <w:r w:rsidRPr="00857CDA">
        <w:rPr>
          <w:lang w:val="ro-RO"/>
        </w:rPr>
        <w:t xml:space="preserve"> </w:t>
      </w:r>
      <w:r w:rsidR="00A5306C" w:rsidRPr="00857CDA">
        <w:rPr>
          <w:lang w:val="ro-RO"/>
        </w:rPr>
        <w:t xml:space="preserve">un nou </w:t>
      </w:r>
      <w:r w:rsidR="00857CDA" w:rsidRPr="00857CDA">
        <w:rPr>
          <w:lang w:val="ro-RO"/>
        </w:rPr>
        <w:t>paragraf</w:t>
      </w:r>
      <w:r w:rsidR="00A5306C" w:rsidRPr="00857CDA">
        <w:rPr>
          <w:lang w:val="ro-RO"/>
        </w:rPr>
        <w:t>, după cum urmează</w:t>
      </w:r>
      <w:r w:rsidRPr="00857CDA">
        <w:rPr>
          <w:lang w:val="ro-RO"/>
        </w:rPr>
        <w:t>:</w:t>
      </w:r>
    </w:p>
    <w:p w:rsidR="007A2A1D" w:rsidRPr="00857CDA" w:rsidRDefault="001760C8" w:rsidP="0046583F">
      <w:pPr>
        <w:pStyle w:val="SingleTxtG"/>
        <w:rPr>
          <w:lang w:val="ro-RO"/>
        </w:rPr>
      </w:pPr>
      <w:r w:rsidRPr="00857CDA">
        <w:rPr>
          <w:lang w:val="ro-RO"/>
        </w:rPr>
        <w:t>„</w:t>
      </w:r>
      <w:r w:rsidR="007A2A1D" w:rsidRPr="00857CDA">
        <w:rPr>
          <w:lang w:val="ro-RO"/>
        </w:rPr>
        <w:t>9.7.3.3</w:t>
      </w:r>
      <w:r w:rsidR="007A2A1D" w:rsidRPr="00857CDA">
        <w:rPr>
          <w:lang w:val="ro-RO"/>
        </w:rPr>
        <w:tab/>
      </w:r>
      <w:r w:rsidR="0046583F" w:rsidRPr="00857CDA">
        <w:rPr>
          <w:lang w:val="ro-RO"/>
        </w:rPr>
        <w:t>Pentru vehiculele cisternă, vehiculele-baterie și vehiculele care transportă cisterne demontabile, mijloacele de fixare trebuie să reziste la solicitările minime, așa cum sunt definite la 6.8.2.1.11 până la 6.8.2.1.13, 6.8.2.1.15 și 6.8.2.1.16</w:t>
      </w:r>
      <w:r w:rsidR="007A2A1D" w:rsidRPr="00857CDA">
        <w:rPr>
          <w:lang w:val="ro-RO"/>
        </w:rPr>
        <w:t>.</w:t>
      </w:r>
      <w:r w:rsidR="00660131" w:rsidRPr="00857CDA">
        <w:rPr>
          <w:lang w:val="ro-RO"/>
        </w:rPr>
        <w:t>”</w:t>
      </w:r>
      <w:r w:rsidR="007A2A1D" w:rsidRPr="00857CDA">
        <w:rPr>
          <w:lang w:val="ro-RO"/>
        </w:rPr>
        <w:t>.</w:t>
      </w:r>
    </w:p>
    <w:p w:rsidR="007A2A1D" w:rsidRPr="00857CDA" w:rsidRDefault="007A2A1D" w:rsidP="007A2A1D">
      <w:pPr>
        <w:pStyle w:val="SingleTxtG"/>
        <w:tabs>
          <w:tab w:val="left" w:pos="2268"/>
        </w:tabs>
        <w:rPr>
          <w:lang w:val="ro-RO"/>
        </w:rPr>
      </w:pPr>
      <w:r w:rsidRPr="00857CDA">
        <w:rPr>
          <w:lang w:val="ro-RO"/>
        </w:rPr>
        <w:t>9.7.8.2</w:t>
      </w:r>
      <w:r w:rsidRPr="00857CDA">
        <w:rPr>
          <w:lang w:val="ro-RO"/>
        </w:rPr>
        <w:tab/>
      </w:r>
      <w:r w:rsidR="00902C44" w:rsidRPr="00857CDA">
        <w:rPr>
          <w:lang w:val="ro-RO"/>
        </w:rPr>
        <w:t>Se modifică</w:t>
      </w:r>
      <w:r w:rsidRPr="00857CDA">
        <w:rPr>
          <w:lang w:val="ro-RO"/>
        </w:rPr>
        <w:t xml:space="preserve"> </w:t>
      </w:r>
      <w:r w:rsidR="001760C8" w:rsidRPr="00857CDA">
        <w:rPr>
          <w:lang w:val="ro-RO"/>
        </w:rPr>
        <w:t>„</w:t>
      </w:r>
      <w:r w:rsidR="0046583F" w:rsidRPr="00857CDA">
        <w:rPr>
          <w:lang w:val="ro-RO"/>
        </w:rPr>
        <w:t>părțile 1, 2, 5, 6, 7, 11 sau 18</w:t>
      </w:r>
      <w:r w:rsidR="00660131" w:rsidRPr="00857CDA">
        <w:rPr>
          <w:lang w:val="ro-RO"/>
        </w:rPr>
        <w:t>”</w:t>
      </w:r>
      <w:r w:rsidR="00902C44" w:rsidRPr="00857CDA">
        <w:rPr>
          <w:lang w:val="ro-RO"/>
        </w:rPr>
        <w:t xml:space="preserve"> cu </w:t>
      </w:r>
      <w:r w:rsidR="001760C8" w:rsidRPr="00857CDA">
        <w:rPr>
          <w:lang w:val="ro-RO"/>
        </w:rPr>
        <w:t>„</w:t>
      </w:r>
      <w:r w:rsidR="0046583F" w:rsidRPr="00857CDA">
        <w:rPr>
          <w:lang w:val="ro-RO"/>
        </w:rPr>
        <w:t>părțile</w:t>
      </w:r>
      <w:r w:rsidRPr="00857CDA">
        <w:rPr>
          <w:lang w:val="ro-RO"/>
        </w:rPr>
        <w:t xml:space="preserve"> 1, 2, 5, 6, 7, 11, 18, 26 </w:t>
      </w:r>
      <w:r w:rsidR="0046583F" w:rsidRPr="00857CDA">
        <w:rPr>
          <w:lang w:val="ro-RO"/>
        </w:rPr>
        <w:t>sa</w:t>
      </w:r>
      <w:r w:rsidRPr="00857CDA">
        <w:rPr>
          <w:lang w:val="ro-RO"/>
        </w:rPr>
        <w:t>u 28</w:t>
      </w:r>
      <w:r w:rsidR="00660131" w:rsidRPr="00857CDA">
        <w:rPr>
          <w:lang w:val="ro-RO"/>
        </w:rPr>
        <w:t>”</w:t>
      </w:r>
      <w:r w:rsidRPr="00857CDA">
        <w:rPr>
          <w:lang w:val="ro-RO"/>
        </w:rPr>
        <w:t>.</w:t>
      </w:r>
    </w:p>
    <w:p w:rsidR="00CA0680" w:rsidRPr="00857CDA" w:rsidRDefault="00196C06" w:rsidP="00357F45">
      <w:pPr>
        <w:spacing w:before="240"/>
        <w:ind w:left="1134" w:right="1134"/>
        <w:jc w:val="center"/>
        <w:rPr>
          <w:lang w:val="ro-RO"/>
        </w:rPr>
      </w:pPr>
      <w:r w:rsidRPr="00857CDA">
        <w:rPr>
          <w:i/>
          <w:iCs/>
          <w:u w:val="single"/>
          <w:lang w:val="ro-RO"/>
        </w:rPr>
        <w:tab/>
      </w:r>
      <w:r w:rsidRPr="00857CDA">
        <w:rPr>
          <w:i/>
          <w:iCs/>
          <w:u w:val="single"/>
          <w:lang w:val="ro-RO"/>
        </w:rPr>
        <w:tab/>
      </w:r>
      <w:r w:rsidRPr="00857CDA">
        <w:rPr>
          <w:i/>
          <w:iCs/>
          <w:u w:val="single"/>
          <w:lang w:val="ro-RO"/>
        </w:rPr>
        <w:tab/>
      </w:r>
    </w:p>
    <w:sectPr w:rsidR="00CA0680" w:rsidRPr="00857CDA" w:rsidSect="00FF35B7">
      <w:headerReference w:type="even" r:id="rId68"/>
      <w:headerReference w:type="default" r:id="rId69"/>
      <w:footerReference w:type="even" r:id="rId70"/>
      <w:footerReference w:type="default" r:id="rId71"/>
      <w:headerReference w:type="first" r:id="rId72"/>
      <w:footerReference w:type="first" r:id="rId7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82" w:rsidRDefault="009A6E82"/>
  </w:endnote>
  <w:endnote w:type="continuationSeparator" w:id="0">
    <w:p w:rsidR="009A6E82" w:rsidRDefault="009A6E82"/>
  </w:endnote>
  <w:endnote w:type="continuationNotice" w:id="1">
    <w:p w:rsidR="009A6E82" w:rsidRDefault="009A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8683A" w:rsidRDefault="00597AB4" w:rsidP="006201FD">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DF3A58">
      <w:rPr>
        <w:b/>
        <w:noProof/>
        <w:sz w:val="18"/>
      </w:rPr>
      <w:t>12</w:t>
    </w:r>
    <w:r w:rsidRPr="0088683A">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FF35B7" w:rsidRDefault="00597AB4"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DF3A58">
      <w:rPr>
        <w:b/>
        <w:noProof/>
        <w:sz w:val="18"/>
      </w:rPr>
      <w:t>75</w:t>
    </w:r>
    <w:r w:rsidRPr="00FF35B7">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290141" w:rsidRDefault="00597AB4" w:rsidP="00A074FC">
    <w:pPr>
      <w:pStyle w:val="Footer"/>
      <w:jc w:val="right"/>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DF3A58">
      <w:rPr>
        <w:b/>
        <w:noProof/>
        <w:sz w:val="18"/>
      </w:rPr>
      <w:t>60</w:t>
    </w:r>
    <w:r w:rsidRPr="00FF35B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8683A" w:rsidRDefault="00597AB4"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DF3A58">
      <w:rPr>
        <w:b/>
        <w:noProof/>
        <w:sz w:val="18"/>
      </w:rPr>
      <w:t>11</w:t>
    </w:r>
    <w:r w:rsidRPr="008868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9A6E82" w:rsidP="001662B3">
    <w:pPr>
      <w:pStyle w:val="Footer"/>
    </w:pPr>
    <w:r>
      <w:rPr>
        <w:noProof/>
        <w:lang w:val="en-GB" w:eastAsia="en-GB"/>
      </w:rPr>
      <w:pict>
        <v:shapetype id="_x0000_t202" coordsize="21600,21600" o:spt="202" path="m,l,21600r21600,l21600,xe">
          <v:stroke joinstyle="miter"/>
          <v:path gradientshapeok="t" o:connecttype="rect"/>
        </v:shapetype>
        <v:shape id="Text Box 64" o:spid="_x0000_s2054" type="#_x0000_t202" style="position:absolute;margin-left:-34pt;margin-top:0;width:17.55pt;height:481.9pt;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5bdwIAAPsEAAAOAAAAZHJzL2Uyb0RvYy54bWysVF1v0zAUfUfiP1h+Z2kLm0a0dCobQ0jV&#10;NqlDe751nCbCX9hum/LrOXaabRo8IMSLc2Mf349zz/XFZa8V20kfOmsqPj2ZcCaNsHVnNhX/9nDz&#10;7pyzEMnUpKyRFT/IwC/nb99c7F0pZ7a1qpaewYkJ5d5VvI3RlUURRCs1hRPrpMFhY72miF+/KWpP&#10;e3jXqphNJmfF3vraeStkCNi9Hg75PPtvGiniXdMEGZmqOHKLefV5Xae1mF9QufHk2k4c06B/yEJT&#10;ZxD0ydU1RWJb3/3mSnfC22CbeCKsLmzTdELmGlDNdPKqmlVLTuZaQE5wTzSF/+dW3O7uPevqip99&#10;4MyQRo8eZB/ZJ9szbIGfvQslYCsHYOyxjz7nWoNbWvE9AFK8wAwXAtCJj77xOn1RKcNFtODwRHsK&#10;I7A5m83Oz085Ezg6m4KH97kvxfNt50P8Iq1myai4R1tzBrRbhpjiUzlCUjBjbzqlcmuVYfuKfzyd&#10;Jf8EgTWKIkztUHIwG85IbaBcEX32+OJq8nhNoWU7gniCVV09yMXbramz91ZS/dnULB4ceDNQOE/h&#10;tKw5UxJuk5WRkTr1N0hUosyR0IHDRG3s131u0mxsyNrWB/TD20HRwYmbDvkuKcR78pAwmMZYxjss&#10;jbJIyh4tzlrrf/5pP+ErnlZUgZFA0T+25FGT+mqguTQ/o+FHYz0aZquvLIiaYuCdyCYu+KhGs/FW&#10;P2JaFykKjsgIZFJxRBvMqzgMJqZdyMUigzAljuLSrJwYZZf68tA/kndHOUQI6daOw0LlK1UM2EEX&#10;i220TZclk3gdWDzSjQnLSjq+BmmEX/5n1PObNf8FAAD//wMAUEsDBBQABgAIAAAAIQCZYcD+3wAA&#10;AAgBAAAPAAAAZHJzL2Rvd25yZXYueG1sTI/BasMwEETvhf6D2EBvjhwHjON6HUJLWmihULcfoFgb&#10;W8SSjCQn9t9XPbWXgWWWmTfVftYDu5LzyhqEzToFRqa1UpkO4fvrmBTAfBBGisEaQljIw76+v6tE&#10;Ke3NfNK1CR2LIcaXAqEPYSw5921PWvi1HclE72ydFiGeruPSiVsM1wPP0jTnWigTG3ox0lNP7aWZ&#10;NIJ6PrrN60HZj2a5NNmLzaf35Q3xYTUfHoEFmsPfM/ziR3SoI9PJTkZ6NiAkeRG3BISo0U622Q7Y&#10;CWGXbwvgdcX/D6h/AAAA//8DAFBLAQItABQABgAIAAAAIQC2gziS/gAAAOEBAAATAAAAAAAAAAAA&#10;AAAAAAAAAABbQ29udGVudF9UeXBlc10ueG1sUEsBAi0AFAAGAAgAAAAhADj9If/WAAAAlAEAAAsA&#10;AAAAAAAAAAAAAAAALwEAAF9yZWxzLy5yZWxzUEsBAi0AFAAGAAgAAAAhAEiHrlt3AgAA+wQAAA4A&#10;AAAAAAAAAAAAAAAALgIAAGRycy9lMm9Eb2MueG1sUEsBAi0AFAAGAAgAAAAhAJlhwP7fAAAACAEA&#10;AA8AAAAAAAAAAAAAAAAA0QQAAGRycy9kb3ducmV2LnhtbFBLBQYAAAAABAAEAPMAAADdBQAAAAA=&#10;" filled="f" stroked="f">
          <v:stroke joinstyle="round"/>
          <v:path arrowok="t"/>
          <v:textbox style="layout-flow:vertical" inset="0,0,0,0">
            <w:txbxContent>
              <w:p w:rsidR="00597AB4" w:rsidRPr="0088683A" w:rsidRDefault="00597AB4"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DF3A58">
                  <w:rPr>
                    <w:b/>
                    <w:noProof/>
                    <w:sz w:val="18"/>
                  </w:rPr>
                  <w:t>24</w:t>
                </w:r>
                <w:r w:rsidRPr="0088683A">
                  <w:rPr>
                    <w:b/>
                    <w:sz w:val="18"/>
                  </w:rPr>
                  <w:fldChar w:fldCharType="end"/>
                </w:r>
                <w:r>
                  <w:rPr>
                    <w:sz w:val="18"/>
                  </w:rPr>
                  <w:tab/>
                </w:r>
              </w:p>
              <w:p w:rsidR="00597AB4" w:rsidRDefault="00597AB4"/>
            </w:txbxContent>
          </v:textbox>
          <w10:wrap anchorx="margin" anchory="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9A6E82" w:rsidP="001662B3">
    <w:pPr>
      <w:pStyle w:val="Footer"/>
    </w:pPr>
    <w:r>
      <w:rPr>
        <w:noProof/>
        <w:lang w:val="en-GB" w:eastAsia="en-GB"/>
      </w:rPr>
      <w:pict>
        <v:shapetype id="_x0000_t202" coordsize="21600,21600" o:spt="202" path="m,l,21600r21600,l21600,xe">
          <v:stroke joinstyle="miter"/>
          <v:path gradientshapeok="t" o:connecttype="rect"/>
        </v:shapetype>
        <v:shape id="Text Box 13" o:spid="_x0000_s2053" type="#_x0000_t202" style="position:absolute;margin-left:-34pt;margin-top:0;width:17.55pt;height:481.9pt;z-index:2516648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jdQIAAPsEAAAOAAAAZHJzL2Uyb0RvYy54bWysVF1P2zAUfZ+0/2D5faQtArGIFHUwpkkV&#10;IMHE863jNNH8Ndtt0/36HTtNQWwP07QX58Y+vh/nnuvLq14rtpU+dNZUfHoy4UwaYevOrCv+7en2&#10;wwVnIZKpSVkjK76XgV/N37+73LlSzmxrVS09gxMTyp2reBujK4siiFZqCifWSYPDxnpNEb9+XdSe&#10;dvCuVTGbTM6LnfW181bIELB7MxzyefbfNFLE+6YJMjJVceQW8+rzukprMb+kcu3JtZ04pEH/kIWm&#10;ziDo0dUNRWIb3/3mSnfC22CbeCKsLmzTdELmGlDNdPKmmseWnMy1gJzgjjSF/+dW3G0fPOtq9O6U&#10;M0MaPXqSfWSfbM+wBX52LpSAPToAY499YHOtwS2t+B4AKV5hhgsB6MRH33idvqiU4SJasD/SnsII&#10;bM5ms4uLM84Ejs6n4OE096V4ue18iF+k1SwZFfdoa86AtssQU3wqR0gKZuxtp1RurTJsV/GPZ7Pk&#10;nyCwRlGEqR1KDmbNGak1lCuizx5fXU0ebyi0bEsQT7Cqqwe5eLsxdfbeSqo/m5rFvQNvBgrnKZyW&#10;NWdKwm2yMjJSp/4GiUqUORA6cJiojf2qz006NmRl6z364e2g6ODEbYd8lxTiA3lIGExjLOM9lkZZ&#10;JGUPFmet9T//tJ/wFU8rqsBIoOgfG/KoSX010Fyan9Hwo7EaDbPR1xZETTHwTmQTF3xUo9l4q58x&#10;rYsUBUdkBDKpOKIN5nUcBhPTLuRikUGYEkdxaR6dGGWX+vLUP5N3BzlECOnOjsNC5RtVDNhBF4tN&#10;tE2XJZN4HVg80I0Jy0o6vAZphF//Z9TLm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ibs4j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597AB4" w:rsidRPr="0088683A" w:rsidRDefault="00597AB4"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DF3A58">
                  <w:rPr>
                    <w:b/>
                    <w:noProof/>
                    <w:sz w:val="18"/>
                  </w:rPr>
                  <w:t>23</w:t>
                </w:r>
                <w:r w:rsidRPr="0088683A">
                  <w:rPr>
                    <w:b/>
                    <w:sz w:val="18"/>
                  </w:rPr>
                  <w:fldChar w:fldCharType="end"/>
                </w:r>
              </w:p>
              <w:p w:rsidR="00597AB4" w:rsidRDefault="00597AB4"/>
            </w:txbxContent>
          </v:textbox>
          <w10:wrap anchorx="margin" anchory="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597AB4" w:rsidP="001662B3">
    <w:pPr>
      <w:pStyle w:val="Footer"/>
      <w:tabs>
        <w:tab w:val="right" w:pos="9638"/>
      </w:tabs>
    </w:pPr>
    <w:r w:rsidRPr="001662B3">
      <w:rPr>
        <w:b/>
        <w:sz w:val="18"/>
      </w:rPr>
      <w:fldChar w:fldCharType="begin"/>
    </w:r>
    <w:r w:rsidRPr="001662B3">
      <w:rPr>
        <w:b/>
        <w:sz w:val="18"/>
      </w:rPr>
      <w:instrText xml:space="preserve"> PAGE  \* MERGEFORMAT </w:instrText>
    </w:r>
    <w:r w:rsidRPr="001662B3">
      <w:rPr>
        <w:b/>
        <w:sz w:val="18"/>
      </w:rPr>
      <w:fldChar w:fldCharType="separate"/>
    </w:r>
    <w:r w:rsidR="00DF3A58">
      <w:rPr>
        <w:b/>
        <w:noProof/>
        <w:sz w:val="18"/>
      </w:rPr>
      <w:t>52</w:t>
    </w:r>
    <w:r w:rsidRPr="001662B3">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597AB4" w:rsidP="001662B3">
    <w:pPr>
      <w:pStyle w:val="Footer"/>
      <w:tabs>
        <w:tab w:val="right" w:pos="9638"/>
      </w:tabs>
      <w:rPr>
        <w:b/>
        <w:sz w:val="18"/>
      </w:rPr>
    </w:pPr>
    <w:r>
      <w:rPr>
        <w:noProof/>
        <w:lang w:val="en-GB" w:eastAsia="en-GB"/>
      </w:rPr>
      <w:tab/>
    </w:r>
    <w:r w:rsidRPr="001662B3">
      <w:rPr>
        <w:b/>
        <w:noProof/>
        <w:sz w:val="18"/>
        <w:lang w:val="en-GB" w:eastAsia="en-GB"/>
      </w:rPr>
      <w:fldChar w:fldCharType="begin"/>
    </w:r>
    <w:r w:rsidRPr="001662B3">
      <w:rPr>
        <w:b/>
        <w:noProof/>
        <w:sz w:val="18"/>
        <w:lang w:val="en-GB" w:eastAsia="en-GB"/>
      </w:rPr>
      <w:instrText xml:space="preserve"> PAGE  \* MERGEFORMAT </w:instrText>
    </w:r>
    <w:r w:rsidRPr="001662B3">
      <w:rPr>
        <w:b/>
        <w:noProof/>
        <w:sz w:val="18"/>
        <w:lang w:val="en-GB" w:eastAsia="en-GB"/>
      </w:rPr>
      <w:fldChar w:fldCharType="separate"/>
    </w:r>
    <w:r w:rsidR="00DF3A58">
      <w:rPr>
        <w:b/>
        <w:noProof/>
        <w:sz w:val="18"/>
        <w:lang w:val="en-GB" w:eastAsia="en-GB"/>
      </w:rPr>
      <w:t>53</w:t>
    </w:r>
    <w:r w:rsidRPr="001662B3">
      <w:rPr>
        <w:b/>
        <w:noProof/>
        <w:sz w:val="18"/>
        <w:lang w:val="en-GB" w:eastAsia="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8683A" w:rsidRDefault="00597AB4" w:rsidP="006201FD">
    <w:pPr>
      <w:pStyle w:val="Footer"/>
      <w:tabs>
        <w:tab w:val="right" w:pos="9638"/>
      </w:tabs>
      <w:rPr>
        <w:sz w:val="18"/>
      </w:rPr>
    </w:pP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8683A" w:rsidRDefault="009A6E82" w:rsidP="006201FD">
    <w:pPr>
      <w:pStyle w:val="Footer"/>
    </w:pPr>
    <w:r>
      <w:rPr>
        <w:noProof/>
        <w:lang w:val="en-GB" w:eastAsia="en-GB"/>
      </w:rPr>
      <w:pict>
        <v:shapetype id="_x0000_t202" coordsize="21600,21600" o:spt="202" path="m,l,21600r21600,l21600,xe">
          <v:stroke joinstyle="miter"/>
          <v:path gradientshapeok="t" o:connecttype="rect"/>
        </v:shapetype>
        <v:shape id="Zone de texte 5" o:spid="_x0000_s2049" type="#_x0000_t202" style="position:absolute;margin-left:-34pt;margin-top:0;width:17.25pt;height:482.25pt;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bygIAAA8GAAAOAAAAZHJzL2Uyb0RvYy54bWysVEtvEzEQviPxHyzf6SYRaWnUTRVaipCq&#10;tqJFlbhNvHZ2Va/H2E6y4dcztneTqnCgiIt31v7m9c3j7LxrNdtI5xs0JR8fjTiTRmDVmFXJvz1c&#10;vfvAmQ9gKtBoZMl30vPz+ds3Z1s7kxOsUVfSMTJi/GxrS16HYGdF4UUtW/BHaKWhR4WuhUC/blVU&#10;DrZkvdXFZDQ6LrboKutQSO/p9jI/8nmyr5QU4VYpLwPTJafYQjpdOpfxLOZnMFs5sHUj+jDgH6Jo&#10;oTHkdG/qEgKwtWt+M9U2wqFHFY4EtgUq1QiZcqBsxqMX2dzXYGXKhcjxdk+T/39mxc3mzrGmKvmU&#10;MwMtleg7FYpVkgXZBcmmkaKt9TNC3lvChu4jdlTqlK631yiePEGKZ5is4AkdKemUa+OXkmWkSFXY&#10;7ZknF0zQ5WR8OjqhCAQ9HY8n76f0E40etK3z4bPElkWh5I4qmyKAzbUPGTpAojODV43WdA8zbdi2&#10;5KfTSbQP1GNKQyCxtZS1NyvOQK+oeUVwyeIz1WjxEnzNNkD941E3Ve4Yh2tTJeu1hOqTqVjYWeLO&#10;EHc8umtlxZmWZDZKCRmg0X+DpKS1iYHL1L99epHezGiSwk7LnNxXqah+idh4kSZHXmiXYwYhpAnj&#10;nkxtCB1Rish5jWKPP0T1GuWcx+AZTdgrt43BTPqLsKunIWSV8X2D+Zx3pCB0yy417klMLt4ssdpR&#10;gzrMU+6tuGqogNfgwx04GmtqPVpV4ZYOpZGqhL3EWY3u55/uI77k8aSy0pqgLvixBkdF1l8MzWHc&#10;KYPgBmE5CGbdXiB1zpiWoBVJJAUX9CAqh+0jbbBF9EJPYARFUnLylsWLkJcVbUAhF4sEos1hIVyb&#10;eyuGOYyN+tA9grP9fMThvcFhgcDsxZhkbCynwcU6oGrSDB1Y7PmmrZOmsN+Qca09/0+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Wm1pW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597AB4" w:rsidRPr="0088683A" w:rsidRDefault="00597AB4"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DF3A58">
                  <w:rPr>
                    <w:b/>
                    <w:noProof/>
                    <w:sz w:val="18"/>
                  </w:rPr>
                  <w:t>59</w:t>
                </w:r>
                <w:r w:rsidRPr="0088683A">
                  <w:rPr>
                    <w:b/>
                    <w:sz w:val="18"/>
                  </w:rPr>
                  <w:fldChar w:fldCharType="end"/>
                </w:r>
              </w:p>
              <w:p w:rsidR="00597AB4" w:rsidRDefault="00597AB4"/>
            </w:txbxContent>
          </v:textbox>
          <w10:wrap anchorx="margin" anchory="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FF35B7" w:rsidRDefault="00597AB4"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DF3A58">
      <w:rPr>
        <w:b/>
        <w:noProof/>
        <w:sz w:val="18"/>
      </w:rPr>
      <w:t>74</w:t>
    </w:r>
    <w:r w:rsidRPr="00FF35B7">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82" w:rsidRPr="00D27D5E" w:rsidRDefault="009A6E82" w:rsidP="00D27D5E">
      <w:pPr>
        <w:tabs>
          <w:tab w:val="right" w:pos="2155"/>
        </w:tabs>
        <w:spacing w:after="80"/>
        <w:ind w:left="680"/>
        <w:rPr>
          <w:u w:val="single"/>
        </w:rPr>
      </w:pPr>
      <w:r>
        <w:rPr>
          <w:u w:val="single"/>
        </w:rPr>
        <w:tab/>
      </w:r>
    </w:p>
  </w:footnote>
  <w:footnote w:type="continuationSeparator" w:id="0">
    <w:p w:rsidR="009A6E82" w:rsidRPr="00A40B11" w:rsidRDefault="009A6E82" w:rsidP="00A40B11">
      <w:pPr>
        <w:tabs>
          <w:tab w:val="right" w:pos="2155"/>
        </w:tabs>
        <w:spacing w:after="80"/>
        <w:ind w:left="680"/>
        <w:rPr>
          <w:u w:val="single"/>
        </w:rPr>
      </w:pPr>
      <w:r w:rsidRPr="00A40B11">
        <w:rPr>
          <w:u w:val="single"/>
        </w:rPr>
        <w:tab/>
      </w:r>
    </w:p>
  </w:footnote>
  <w:footnote w:type="continuationNotice" w:id="1">
    <w:p w:rsidR="009A6E82" w:rsidRDefault="009A6E82"/>
  </w:footnote>
  <w:footnote w:id="2">
    <w:p w:rsidR="00597AB4" w:rsidRPr="002C7E47" w:rsidRDefault="00597AB4" w:rsidP="00D5155D">
      <w:pPr>
        <w:pStyle w:val="FootnoteText"/>
        <w:ind w:hanging="141"/>
        <w:jc w:val="both"/>
        <w:rPr>
          <w:i/>
          <w:szCs w:val="22"/>
          <w:lang w:val="it-IT"/>
        </w:rPr>
      </w:pPr>
      <w:r w:rsidRPr="00D5155D">
        <w:rPr>
          <w:rStyle w:val="FootnoteReference"/>
          <w:lang w:val="it-IT"/>
        </w:rPr>
        <w:t>5</w:t>
      </w:r>
      <w:r w:rsidRPr="00D5155D">
        <w:rPr>
          <w:lang w:val="it-IT"/>
        </w:rPr>
        <w:t xml:space="preserve"> </w:t>
      </w:r>
      <w:r w:rsidRPr="002C7E47">
        <w:rPr>
          <w:lang w:val="it-IT"/>
        </w:rPr>
        <w:tab/>
      </w:r>
      <w:r w:rsidRPr="002C7E47">
        <w:rPr>
          <w:i/>
          <w:szCs w:val="18"/>
          <w:lang w:val="it-IT"/>
        </w:rPr>
        <w:t>Liniile directoare OCDE referitoare la încercarea produselor chimice nr. 404 „</w:t>
      </w:r>
      <w:r>
        <w:rPr>
          <w:i/>
          <w:szCs w:val="18"/>
          <w:lang w:val="it-IT"/>
        </w:rPr>
        <w:t>Efect iritant/</w:t>
      </w:r>
      <w:r w:rsidRPr="002C7E47">
        <w:rPr>
          <w:i/>
          <w:szCs w:val="18"/>
          <w:lang w:val="it-IT"/>
        </w:rPr>
        <w:t>coro</w:t>
      </w:r>
      <w:r>
        <w:rPr>
          <w:i/>
          <w:szCs w:val="18"/>
          <w:lang w:val="it-IT"/>
        </w:rPr>
        <w:t>s</w:t>
      </w:r>
      <w:r w:rsidRPr="002C7E47">
        <w:rPr>
          <w:i/>
          <w:szCs w:val="18"/>
          <w:lang w:val="it-IT"/>
        </w:rPr>
        <w:t>i</w:t>
      </w:r>
      <w:r>
        <w:rPr>
          <w:i/>
          <w:szCs w:val="18"/>
          <w:lang w:val="it-IT"/>
        </w:rPr>
        <w:t xml:space="preserve">v acut cutanat”, </w:t>
      </w:r>
      <w:r w:rsidRPr="002C7E47">
        <w:rPr>
          <w:i/>
          <w:szCs w:val="22"/>
          <w:lang w:val="it-IT"/>
        </w:rPr>
        <w:t>2015.</w:t>
      </w:r>
    </w:p>
  </w:footnote>
  <w:footnote w:id="3">
    <w:p w:rsidR="00597AB4" w:rsidRPr="002C7E47" w:rsidRDefault="00597AB4" w:rsidP="00D5155D">
      <w:pPr>
        <w:pStyle w:val="FootnoteText"/>
        <w:ind w:hanging="141"/>
        <w:jc w:val="both"/>
        <w:rPr>
          <w:i/>
          <w:szCs w:val="22"/>
          <w:lang w:val="it-IT"/>
        </w:rPr>
      </w:pPr>
      <w:r w:rsidRPr="00D5155D">
        <w:rPr>
          <w:rStyle w:val="FootnoteReference"/>
          <w:lang w:val="it-IT"/>
        </w:rPr>
        <w:t>6</w:t>
      </w:r>
      <w:r>
        <w:rPr>
          <w:i/>
          <w:szCs w:val="22"/>
          <w:lang w:val="it-IT"/>
        </w:rPr>
        <w:tab/>
      </w:r>
      <w:r w:rsidRPr="002C7E47">
        <w:rPr>
          <w:i/>
          <w:szCs w:val="18"/>
          <w:lang w:val="it-IT"/>
        </w:rPr>
        <w:t xml:space="preserve">Liniile directoare OCDE referitoare la încercarea produselor chimice nr. 435 „Metoda de </w:t>
      </w:r>
      <w:r>
        <w:rPr>
          <w:i/>
          <w:szCs w:val="18"/>
          <w:lang w:val="it-IT"/>
        </w:rPr>
        <w:t xml:space="preserve">încercare in vitro a barierei membranei pentru coroziunea  pielii”, </w:t>
      </w:r>
      <w:r w:rsidRPr="002C7E47">
        <w:rPr>
          <w:i/>
          <w:szCs w:val="22"/>
          <w:lang w:val="it-IT"/>
        </w:rPr>
        <w:t>2015.</w:t>
      </w:r>
    </w:p>
  </w:footnote>
  <w:footnote w:id="4">
    <w:p w:rsidR="00597AB4" w:rsidRPr="00196458" w:rsidRDefault="00597AB4" w:rsidP="00D5155D">
      <w:pPr>
        <w:pStyle w:val="FootnoteText"/>
        <w:ind w:hanging="141"/>
        <w:jc w:val="both"/>
        <w:rPr>
          <w:i/>
          <w:szCs w:val="22"/>
          <w:lang w:val="it-IT"/>
        </w:rPr>
      </w:pPr>
      <w:r>
        <w:rPr>
          <w:lang w:val="it-IT"/>
        </w:rPr>
        <w:tab/>
      </w:r>
      <w:r w:rsidRPr="00D5155D">
        <w:rPr>
          <w:rStyle w:val="FootnoteReference"/>
          <w:lang w:val="it-IT"/>
        </w:rPr>
        <w:t>7</w:t>
      </w:r>
      <w:r w:rsidRPr="00D5155D">
        <w:rPr>
          <w:lang w:val="it-IT"/>
        </w:rPr>
        <w:t xml:space="preserve"> </w:t>
      </w:r>
      <w:r w:rsidRPr="002C7E47">
        <w:rPr>
          <w:i/>
          <w:szCs w:val="18"/>
          <w:lang w:val="it-IT"/>
        </w:rPr>
        <w:t>Liniile directoare OCDE referitoare la încercarea produselor chimice nr. 430 „Coro</w:t>
      </w:r>
      <w:r>
        <w:rPr>
          <w:i/>
          <w:szCs w:val="18"/>
          <w:lang w:val="it-IT"/>
        </w:rPr>
        <w:t>s</w:t>
      </w:r>
      <w:r w:rsidRPr="002C7E47">
        <w:rPr>
          <w:i/>
          <w:szCs w:val="18"/>
          <w:lang w:val="it-IT"/>
        </w:rPr>
        <w:t xml:space="preserve">iunea pielii in vitro: Încercarea de rezistenţă </w:t>
      </w:r>
      <w:r>
        <w:rPr>
          <w:i/>
          <w:szCs w:val="18"/>
          <w:lang w:val="it-IT"/>
        </w:rPr>
        <w:t xml:space="preserve"> electrică transcutanată (RET)”, </w:t>
      </w:r>
      <w:r w:rsidRPr="00196458">
        <w:rPr>
          <w:i/>
          <w:szCs w:val="22"/>
          <w:lang w:val="it-IT"/>
        </w:rPr>
        <w:t xml:space="preserve"> 2015.</w:t>
      </w:r>
    </w:p>
  </w:footnote>
  <w:footnote w:id="5">
    <w:p w:rsidR="00597AB4" w:rsidRPr="00196458" w:rsidRDefault="00597AB4" w:rsidP="00D5155D">
      <w:pPr>
        <w:pStyle w:val="FootnoteText"/>
        <w:ind w:hanging="141"/>
        <w:jc w:val="both"/>
        <w:rPr>
          <w:rFonts w:eastAsia="Batang"/>
          <w:i/>
          <w:lang w:val="it-IT"/>
        </w:rPr>
      </w:pPr>
      <w:r w:rsidRPr="00D5155D">
        <w:rPr>
          <w:rStyle w:val="FootnoteReference"/>
          <w:lang w:val="it-IT"/>
        </w:rPr>
        <w:t>8</w:t>
      </w:r>
      <w:r w:rsidRPr="00D5155D">
        <w:rPr>
          <w:lang w:val="it-IT"/>
        </w:rPr>
        <w:t xml:space="preserve"> </w:t>
      </w:r>
      <w:r w:rsidRPr="00196458">
        <w:rPr>
          <w:i/>
          <w:vertAlign w:val="superscript"/>
          <w:lang w:val="it-IT"/>
        </w:rPr>
        <w:tab/>
      </w:r>
      <w:r w:rsidRPr="002C7E47">
        <w:rPr>
          <w:i/>
          <w:szCs w:val="18"/>
          <w:lang w:val="it-IT"/>
        </w:rPr>
        <w:t>Liniile directoare OCDE referitoare la încercarea produselor chimice nr. 431 „Coro</w:t>
      </w:r>
      <w:r>
        <w:rPr>
          <w:i/>
          <w:szCs w:val="18"/>
          <w:lang w:val="it-IT"/>
        </w:rPr>
        <w:t>s</w:t>
      </w:r>
      <w:r w:rsidRPr="002C7E47">
        <w:rPr>
          <w:i/>
          <w:szCs w:val="18"/>
          <w:lang w:val="it-IT"/>
        </w:rPr>
        <w:t xml:space="preserve">iunea pielii in vitro: </w:t>
      </w:r>
      <w:r>
        <w:rPr>
          <w:i/>
          <w:szCs w:val="18"/>
          <w:lang w:val="it-IT"/>
        </w:rPr>
        <w:t>Încercare pe</w:t>
      </w:r>
      <w:r w:rsidRPr="002C7E47">
        <w:rPr>
          <w:i/>
          <w:szCs w:val="18"/>
          <w:lang w:val="it-IT"/>
        </w:rPr>
        <w:t xml:space="preserve"> model de piele </w:t>
      </w:r>
      <w:r w:rsidRPr="00196458">
        <w:rPr>
          <w:i/>
          <w:szCs w:val="18"/>
          <w:lang w:val="it-IT"/>
        </w:rPr>
        <w:t>umană”</w:t>
      </w:r>
      <w:r w:rsidRPr="00196458">
        <w:rPr>
          <w:i/>
          <w:lang w:val="it-IT"/>
        </w:rPr>
        <w:t xml:space="preserve">, </w:t>
      </w:r>
      <w:r w:rsidRPr="00196458">
        <w:rPr>
          <w:rFonts w:eastAsia="Batang"/>
          <w:i/>
          <w:lang w:val="it-IT"/>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12252" w:rsidRDefault="00597AB4" w:rsidP="00812252">
    <w:pPr>
      <w:pStyle w:val="Header"/>
    </w:pPr>
    <w:r>
      <w:rPr>
        <w:lang w:val="fr-FR"/>
      </w:rPr>
      <w:t>ECE/TRANS/WP.15/240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Default="00597AB4" w:rsidP="00290141">
    <w:pPr>
      <w:pStyle w:val="Header"/>
      <w:jc w:val="right"/>
    </w:pPr>
    <w:r>
      <w:t>ST/SG/AC.10/44/Add.1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FF35B7" w:rsidRDefault="00597AB4">
    <w:pPr>
      <w:pStyle w:val="Header"/>
    </w:pPr>
    <w:r>
      <w:rPr>
        <w:lang w:val="en-GB"/>
      </w:rPr>
      <w:t>ECE/TRANS/WP.15/240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FF35B7" w:rsidRDefault="00597AB4" w:rsidP="00FF35B7">
    <w:pPr>
      <w:pStyle w:val="Header"/>
      <w:jc w:val="right"/>
    </w:pPr>
    <w:r>
      <w:rPr>
        <w:lang w:val="en-GB"/>
      </w:rPr>
      <w:t>ECE/TRANS/WP.15/240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12252" w:rsidRDefault="00597AB4" w:rsidP="00A074FC">
    <w:pPr>
      <w:pStyle w:val="Header"/>
      <w:jc w:val="right"/>
    </w:pPr>
    <w:r>
      <w:rPr>
        <w:lang w:val="en-GB"/>
      </w:rPr>
      <w:t>ECE/TRANS/WP.15/240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12252" w:rsidRDefault="00597AB4" w:rsidP="00812252">
    <w:pPr>
      <w:pStyle w:val="Header"/>
      <w:jc w:val="right"/>
    </w:pPr>
    <w:r>
      <w:rPr>
        <w:lang w:val="en-GB"/>
      </w:rPr>
      <w:t>ECE/TRANS/WP.15/240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9A6E82" w:rsidP="001662B3">
    <w:r>
      <w:rPr>
        <w:noProof/>
        <w:lang w:val="en-GB" w:eastAsia="en-GB"/>
      </w:rPr>
      <w:pict>
        <v:shapetype id="_x0000_t202" coordsize="21600,21600" o:spt="202" path="m,l,21600r21600,l21600,xe">
          <v:stroke joinstyle="miter"/>
          <v:path gradientshapeok="t" o:connecttype="rect"/>
        </v:shapetype>
        <v:shape id="Text Box 51" o:spid="_x0000_s2056" type="#_x0000_t202" style="position:absolute;margin-left:771pt;margin-top:0;width:17pt;height:481.9pt;z-index:25166592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NcwIAAPQEAAAOAAAAZHJzL2Uyb0RvYy54bWysVE1v2zAMvQ/YfxB0X51kSLEadYqsXYcB&#10;QVugLXpmZDk2pq9JSuLs1+9Jjtui22EYdpFpiXokHx91ftFrxXbSh86aik9PJpxJI2zdmU3FHx+u&#10;P3ziLEQyNSlrZMUPMvCLxft353tXypltraqlZwAxody7ircxurIogmilpnBinTQ4bKzXFPHrN0Xt&#10;aQ90rYrZZHJa7K2vnbdChoDdq+GQLzJ+00gRb5smyMhUxZFbzKvP6zqtxeKcyo0n13bimAb9Qxaa&#10;OoOgz1BXFIltffcblO6Et8E28URYXdim6YTMNaCa6eRNNfctOZlrATnBPdMU/h+suNndedbVFZ9P&#10;OTOk0aMH2Uf22fYMW+Bn70IJt3sHx9hjH33OtQa3suJ7gEvxyme4EOCd+Ogbr9MXlTJcRAsOz7Sn&#10;MAKbs+n8bIITgaPTKXj4mPtSvNx2PsSv0mqWjIp7tDVnQLtViCk+laNLCmbsdadUbq0ybF/xs/ls&#10;DnyCwBpFEaZ2KDmYDWekNlCuiD4jvrqaEK8otGxHEE+wqqsHuXi7NXVGbyXVX0zN4sGBNwOF8xRO&#10;y5ozJQGbrOwZqVN/44lKlDkSOnCYqI39ugdMMte2PqAR3g5SDk5cd0h0RSHekYd2QSTmMd5iaZRF&#10;NvZocdZa//NP+8m/4mlF+pgFVPtjSx7FqG8GYkuDMxp+NNajYbb60oIh6AfZZBMXfFSj2XirnzCm&#10;yxQFR2QEMqk4og3mZRwmEmMu5HKZnTAejuLK3Dsx6i015KF/Iu+OOohQ0I0dp4TKN3IYfAdBLLfR&#10;Nl3WyguLR54xWllCx2cgze7r/+z18lgtfg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H4m/s1zAgAA9A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597AB4" w:rsidRPr="00812252" w:rsidRDefault="00597AB4" w:rsidP="001662B3">
                <w:pPr>
                  <w:pStyle w:val="Header"/>
                </w:pPr>
                <w:r>
                  <w:rPr>
                    <w:lang w:val="en-GB"/>
                  </w:rPr>
                  <w:t>ECE/TRANS/WP.15/240</w:t>
                </w:r>
              </w:p>
              <w:p w:rsidR="00597AB4" w:rsidRDefault="00597AB4"/>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9A6E82" w:rsidP="001662B3">
    <w:r>
      <w:rPr>
        <w:noProof/>
        <w:lang w:val="en-GB" w:eastAsia="en-GB"/>
      </w:rPr>
      <w:pict>
        <v:shapetype id="_x0000_t202" coordsize="21600,21600" o:spt="202" path="m,l,21600r21600,l21600,xe">
          <v:stroke joinstyle="miter"/>
          <v:path gradientshapeok="t" o:connecttype="rect"/>
        </v:shapetype>
        <v:shape id="Text Box 1" o:spid="_x0000_s2055" type="#_x0000_t202" style="position:absolute;margin-left:771pt;margin-top:0;width:17pt;height:481.9pt;z-index:25166387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rsidR="00597AB4" w:rsidRPr="00812252" w:rsidRDefault="00597AB4" w:rsidP="001662B3">
                <w:pPr>
                  <w:pStyle w:val="Header"/>
                  <w:jc w:val="right"/>
                </w:pPr>
                <w:r>
                  <w:rPr>
                    <w:lang w:val="en-GB"/>
                  </w:rPr>
                  <w:t>ECE/TRANS/WP.15/240</w:t>
                </w:r>
              </w:p>
              <w:p w:rsidR="00597AB4" w:rsidRDefault="00597AB4"/>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Default="00597A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597AB4" w:rsidP="001662B3">
    <w:pPr>
      <w:pStyle w:val="Header"/>
    </w:pPr>
    <w:r>
      <w:rPr>
        <w:lang w:val="en-GB"/>
      </w:rPr>
      <w:t>ECE/TRANS/WP.15/240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1662B3" w:rsidRDefault="00597AB4" w:rsidP="001662B3">
    <w:pPr>
      <w:pStyle w:val="Header"/>
      <w:jc w:val="right"/>
    </w:pPr>
    <w:r>
      <w:rPr>
        <w:lang w:val="en-GB"/>
      </w:rPr>
      <w:t>ECE/TRANS/WP.15/240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8683A" w:rsidRDefault="009A6E82" w:rsidP="006201FD">
    <w:r>
      <w:rPr>
        <w:noProof/>
        <w:lang w:val="en-GB" w:eastAsia="en-GB"/>
      </w:rPr>
      <w:pict>
        <v:shapetype id="_x0000_t202" coordsize="21600,21600" o:spt="202" path="m,l,21600r21600,l21600,xe">
          <v:stroke joinstyle="miter"/>
          <v:path gradientshapeok="t" o:connecttype="rect"/>
        </v:shapetype>
        <v:shape id="Zone de texte 6" o:spid="_x0000_s2052" type="#_x0000_t202" style="position:absolute;margin-left:-22pt;margin-top:12pt;width:17.25pt;height:482.25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4uywIAAA8GAAAOAAAAZHJzL2Uyb0RvYy54bWysVEtvEzEQviPxHyzf6SZRG2jUTRVaipCq&#10;tqJFlbhNvHZ2VdtjbCfZ8OsZe3eTqnCgiIt31v7m9c3j7Lw1mm2kDw3ako+PRpxJK7Bq7Krk3x6u&#10;3n3gLESwFWi0suQ7Gfj5/O2bs62byQnWqCvpGRmxYbZ1Ja9jdLOiCKKWBsIROmnpUaE3EOnXr4rK&#10;w5asG11MRqNpsUVfOY9ChkC3l90jn2f7SkkRb5UKMjJdcoot5tPnc5nOYn4Gs5UHVzeiDwP+IQoD&#10;jSWne1OXEIGtffObKdMIjwFVPBJoClSqETLnQNmMRy+yua/ByZwLkRPcnqbw/8yKm82dZ01V8iln&#10;FgyV6DsVilWSRdlGyaaJoq0LM0LeO8LG9iO2VOqcbnDXKJ4CQYpnmE4hEDpR0ipv0peSZaRIVdjt&#10;mScXTNDlZHw6en/CmaCn6XhyfEI/yehB2/kQP0s0LAkl91TZHAFsrkPsoAMkObN41WhN9zDTlm1L&#10;fnoySfaBekxpiCQaR1kHu+IM9IqaV0SfLT5TTRYvIdRsA9Q/AXVTdR3jcW2rbL2WUH2yFYs7R9xZ&#10;4o4nd0ZWnGlJZpOUkREa/TdISlrbFLjM/dunl+jtGM1S3GnZJfdVKqpfJjZd5MmRF9p3MYMQ0sZx&#10;T6a2hE4oReS8RrHHH6J6jXKXx+AZbdwrm8ZiR/qLsKunIWTV4fsGC13eiYLYLtvcuMcpuXSzxGpH&#10;Deqxm/LgxFVDBbyGEO/A01hT69Gqird0KI1UJewlzmr0P/90n/AlTyeVldYEdcGPNXgqsv5iaQ7T&#10;ThkEPwjLQbBrc4HUOWNagk5kkRR81IOoPJpH2mCL5IWewAqKpOTkrRMvYresaAMKuVhkEG0OB/Ha&#10;3jsxzGFq1If2Ebzr5yMN7w0OCwRmL8akw6ZyWlysI6omz9CBxZ5v2jp5CvsNmdba8/+MOuzx+S8A&#10;AAD//wMAUEsDBBQABgAIAAAAIQCtRUHs4AAAAAkBAAAPAAAAZHJzL2Rvd25yZXYueG1sTI/BasMw&#10;EETvhf6D2EJvjhyTBMf1OoSWtNBCoG4/QLG2toglGUlO7L+vcmpPwzLD7JtyN+meXch5ZQ3CcpEC&#10;I9NYqUyL8P11SHJgPggjRW8NIczkYVfd35WikPZqPulSh5bFEuMLgdCFMBSc+6YjLfzCDmSi92Od&#10;FiGeruXSiWss1z3P0nTDtVAmfujEQM8dNed61Ajq5eCWb3tlj/V8rrNXuxk/5nfEx4dp/wQs0BT+&#10;wnDDj+hQRaaTHY30rEdIVqu4JSBkN42BZLsGdkLY5vkaeFXy/wuqXwAAAP//AwBQSwECLQAUAAYA&#10;CAAAACEAtoM4kv4AAADhAQAAEwAAAAAAAAAAAAAAAAAAAAAAW0NvbnRlbnRfVHlwZXNdLnhtbFBL&#10;AQItABQABgAIAAAAIQA4/SH/1gAAAJQBAAALAAAAAAAAAAAAAAAAAC8BAABfcmVscy8ucmVsc1BL&#10;AQItABQABgAIAAAAIQDHXO4uywIAAA8GAAAOAAAAAAAAAAAAAAAAAC4CAABkcnMvZTJvRG9jLnht&#10;bFBLAQItABQABgAIAAAAIQCtRUHs4AAAAAkBAAAPAAAAAAAAAAAAAAAAACUFAABkcnMvZG93bnJl&#10;di54bWxQSwUGAAAAAAQABADzAAAAMgYAAAAA&#10;" filled="f" stroked="f">
          <v:stroke joinstyle="round"/>
          <v:path arrowok="t"/>
          <v:textbox style="layout-flow:vertical" inset="0,0,0,0">
            <w:txbxContent>
              <w:p w:rsidR="00597AB4" w:rsidRPr="000B5B54" w:rsidRDefault="00597AB4"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DF3A58">
                  <w:rPr>
                    <w:b/>
                    <w:noProof/>
                    <w:sz w:val="18"/>
                  </w:rPr>
                  <w:t>58</w:t>
                </w:r>
                <w:r w:rsidRPr="000B5B54">
                  <w:rPr>
                    <w:b/>
                    <w:sz w:val="18"/>
                  </w:rPr>
                  <w:fldChar w:fldCharType="end"/>
                </w:r>
                <w:r>
                  <w:rPr>
                    <w:sz w:val="18"/>
                  </w:rPr>
                  <w:tab/>
                </w:r>
              </w:p>
              <w:p w:rsidR="00597AB4" w:rsidRDefault="00597AB4" w:rsidP="006201FD"/>
            </w:txbxContent>
          </v:textbox>
          <w10:wrap anchorx="margin" anchory="margin"/>
        </v:shape>
      </w:pict>
    </w:r>
    <w:r>
      <w:rPr>
        <w:noProof/>
        <w:lang w:val="en-GB" w:eastAsia="en-GB"/>
      </w:rPr>
      <w:pict>
        <v:shape id="Zone de texte 3" o:spid="_x0000_s2051" type="#_x0000_t202" style="position:absolute;margin-left:771pt;margin-top:0;width:17.25pt;height:482.25pt;z-index:25165977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kygIAAA8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nmxs2dkm6WWO2o&#10;QT12Ux6cuGqogAsI8RY8jTW1Hq2qeEOH0khVwl7irEb/80/3CV/ydFJZaU1QF/xYg6ci6y+W5jDt&#10;lEHwg7AcBLs2F0idM6Yl6EQWScFHPYjKo3mgDTZPXugJrKBISk7eOvEidsuKNqCQ83kG0eZwEBf2&#10;zolhDlOj3rcP4F0/H2l4r3FYIDB9NiYdNpXT4nwdUTV5hg4s9nzT1slT2G/ItNae/mfUYY/PfgE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GSQ9STKAgAADw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597AB4" w:rsidRDefault="00597AB4" w:rsidP="009C2E03">
                <w:pPr>
                  <w:pBdr>
                    <w:bottom w:val="single" w:sz="4" w:space="1" w:color="auto"/>
                  </w:pBdr>
                </w:pPr>
                <w:r>
                  <w:rPr>
                    <w:lang w:val="en-GB"/>
                  </w:rPr>
                  <w:t>ECE/TRANS/WP.15/240</w:t>
                </w:r>
              </w:p>
            </w:txbxContent>
          </v:textbox>
          <w10:wrap anchorx="page"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B4" w:rsidRPr="0088683A" w:rsidRDefault="009A6E82" w:rsidP="006201FD">
    <w:r>
      <w:rPr>
        <w:noProof/>
        <w:lang w:val="en-GB" w:eastAsia="en-GB"/>
      </w:rPr>
      <w:pict>
        <v:shapetype id="_x0000_t202" coordsize="21600,21600" o:spt="202" path="m,l,21600r21600,l21600,xe">
          <v:stroke joinstyle="miter"/>
          <v:path gradientshapeok="t" o:connecttype="rect"/>
        </v:shapetype>
        <v:shape id="Zone de texte 4" o:spid="_x0000_s2050" type="#_x0000_t202" style="position:absolute;margin-left:771pt;margin-top:0;width:17.25pt;height:482.25pt;z-index:25166080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vBywIAAA8GAAAOAAAAZHJzL2Uyb0RvYy54bWysVEtvEzEQviPxHyzf6SZRW2jUTRVaipCi&#10;tqJFlbhNvHZ2Va/H2E6y4dcztneTqnCgiIt31v7m9c3j/KJrNdtI5xs0JR8fjTiTRmDVmFXJvz1c&#10;v/vAmQ9gKtBoZMl30vOL2ds351s7lROsUVfSMTJi/HRrS16HYKdF4UUtW/BHaKWhR4WuhUC/blVU&#10;DrZkvdXFZDQ6LbboKutQSO/p9io/8lmyr5QU4VYpLwPTJafYQjpdOpfxLGbnMF05sHUj+jDgH6Jo&#10;oTHkdG/qCgKwtWt+M9U2wqFHFY4EtgUq1QiZcqBsxqMX2dzXYGXKhcjxdk+T/39mxc3mzrGmKvkx&#10;ZwZaKtF3KhSrJAuyC5IdR4q21k8JeW8JG7qP2FGpU7reLlA8eYIUzzBZwRM6UtIp18YvJctIkaqw&#10;2zNPLpigy8n4bPT+hDNBT6fjyfEJ/USjB23rfPgssWVRKLmjyqYIYLPwIUMHSHRm8LrRmu5hqg3b&#10;lvzsZBLtA/WY0hBIbC1l7c2KM9Aral4RXLL4TDVavAJfsw1Q/3jUTZU7xuHaVMl6LaH6ZCoWdpa4&#10;M8Qdj+5aWXGmJZmNUkIGaPTfIClpbWLgMvVvn16kNzOapLDTMif3VSqqXyI2XqTJkZfa5ZhBCGnC&#10;uCdTG0JHlCJyXqPY4w9RvUY55zF4RhP2ym1jMJP+IuzqaQhZZXzfYD7nHSkI3bJLjXsak4s3S6x2&#10;1KAO85R7K64bKuACfLgDR2NNrUerKtzSoTRSlbCXOKvR/fzTfcSXPJ5UVloT1AU/1uCoyPqLoTmM&#10;O2UQ3CAsB8Gs20ukzhnTErQiiaTggh5E5bB9pA02j17oCYygSEpO3rJ4GfKyog0o5HyeQLQ5LISF&#10;ubdimMPYqA/dIzjbz0cc3hscFghMX4xJxsZyGpyvA6omzdCBxZ5v2jppCvsNGdfa8/+EOuzx2S8A&#10;AAD//wMAUEsDBBQABgAIAAAAIQAsjrYY4AAAAAoBAAAPAAAAZHJzL2Rvd25yZXYueG1sTI9RS8Mw&#10;FIXfBf9DuIJvLl1Zq9amYyhTcCDY7QdkzbUNa5KSpFv777170pcLh3M49zvlejI9O6MP2lkBy0UC&#10;DG3jlLatgMN++/AELERpleydRQEzBlhXtzelLJS72G8817FlVGJDIQV0MQ4F56Hp0MiwcANa8n6c&#10;NzKS9C1XXl6o3PQ8TZKcG6ktfejkgK8dNqd6NAL029YvPzbafdXzqU7fXT7u5k8h7u+mzQuwiFP8&#10;C8MVn9ChIqajG60KrCedrVIaEwXQvfrZY54BOwp4zlcZ8Krk/ydUvwAAAP//AwBQSwECLQAUAAYA&#10;CAAAACEAtoM4kv4AAADhAQAAEwAAAAAAAAAAAAAAAAAAAAAAW0NvbnRlbnRfVHlwZXNdLnhtbFBL&#10;AQItABQABgAIAAAAIQA4/SH/1gAAAJQBAAALAAAAAAAAAAAAAAAAAC8BAABfcmVscy8ucmVsc1BL&#10;AQItABQABgAIAAAAIQDufzvBywIAAA8GAAAOAAAAAAAAAAAAAAAAAC4CAABkcnMvZTJvRG9jLnht&#10;bFBLAQItABQABgAIAAAAIQAsjrYY4AAAAAoBAAAPAAAAAAAAAAAAAAAAACUFAABkcnMvZG93bnJl&#10;di54bWxQSwUGAAAAAAQABADzAAAAMgYAAAAA&#10;" filled="f" stroked="f">
          <v:stroke joinstyle="round"/>
          <v:path arrowok="t"/>
          <v:textbox style="layout-flow:vertical" inset="0,0,0,0">
            <w:txbxContent>
              <w:p w:rsidR="00597AB4" w:rsidRDefault="00597AB4" w:rsidP="009C2E03">
                <w:pPr>
                  <w:pBdr>
                    <w:bottom w:val="single" w:sz="4" w:space="1" w:color="auto"/>
                  </w:pBdr>
                  <w:jc w:val="right"/>
                </w:pPr>
                <w:r>
                  <w:rPr>
                    <w:lang w:val="en-GB"/>
                  </w:rPr>
                  <w:t>ECE/TRANS/WP.15/240</w:t>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2DE01FD0"/>
    <w:multiLevelType w:val="hybridMultilevel"/>
    <w:tmpl w:val="B17A314C"/>
    <w:lvl w:ilvl="0" w:tplc="1EA2ADD0">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45E3647"/>
    <w:multiLevelType w:val="hybridMultilevel"/>
    <w:tmpl w:val="DFD47338"/>
    <w:lvl w:ilvl="0" w:tplc="9E4E962A">
      <w:start w:val="1"/>
      <w:numFmt w:val="lowerRoman"/>
      <w:lvlText w:val="%1)"/>
      <w:lvlJc w:val="left"/>
      <w:pPr>
        <w:ind w:left="2988" w:hanging="360"/>
      </w:pPr>
      <w:rPr>
        <w:rFonts w:hint="default"/>
      </w:rPr>
    </w:lvl>
    <w:lvl w:ilvl="1" w:tplc="04180019" w:tentative="1">
      <w:start w:val="1"/>
      <w:numFmt w:val="lowerLetter"/>
      <w:lvlText w:val="%2."/>
      <w:lvlJc w:val="left"/>
      <w:pPr>
        <w:ind w:left="3708" w:hanging="360"/>
      </w:pPr>
    </w:lvl>
    <w:lvl w:ilvl="2" w:tplc="0418001B" w:tentative="1">
      <w:start w:val="1"/>
      <w:numFmt w:val="lowerRoman"/>
      <w:lvlText w:val="%3."/>
      <w:lvlJc w:val="right"/>
      <w:pPr>
        <w:ind w:left="4428" w:hanging="180"/>
      </w:pPr>
    </w:lvl>
    <w:lvl w:ilvl="3" w:tplc="0418000F" w:tentative="1">
      <w:start w:val="1"/>
      <w:numFmt w:val="decimal"/>
      <w:lvlText w:val="%4."/>
      <w:lvlJc w:val="left"/>
      <w:pPr>
        <w:ind w:left="5148" w:hanging="360"/>
      </w:pPr>
    </w:lvl>
    <w:lvl w:ilvl="4" w:tplc="04180019" w:tentative="1">
      <w:start w:val="1"/>
      <w:numFmt w:val="lowerLetter"/>
      <w:lvlText w:val="%5."/>
      <w:lvlJc w:val="left"/>
      <w:pPr>
        <w:ind w:left="5868" w:hanging="360"/>
      </w:pPr>
    </w:lvl>
    <w:lvl w:ilvl="5" w:tplc="0418001B" w:tentative="1">
      <w:start w:val="1"/>
      <w:numFmt w:val="lowerRoman"/>
      <w:lvlText w:val="%6."/>
      <w:lvlJc w:val="right"/>
      <w:pPr>
        <w:ind w:left="6588" w:hanging="180"/>
      </w:pPr>
    </w:lvl>
    <w:lvl w:ilvl="6" w:tplc="0418000F" w:tentative="1">
      <w:start w:val="1"/>
      <w:numFmt w:val="decimal"/>
      <w:lvlText w:val="%7."/>
      <w:lvlJc w:val="left"/>
      <w:pPr>
        <w:ind w:left="7308" w:hanging="360"/>
      </w:pPr>
    </w:lvl>
    <w:lvl w:ilvl="7" w:tplc="04180019" w:tentative="1">
      <w:start w:val="1"/>
      <w:numFmt w:val="lowerLetter"/>
      <w:lvlText w:val="%8."/>
      <w:lvlJc w:val="left"/>
      <w:pPr>
        <w:ind w:left="8028" w:hanging="360"/>
      </w:pPr>
    </w:lvl>
    <w:lvl w:ilvl="8" w:tplc="0418001B" w:tentative="1">
      <w:start w:val="1"/>
      <w:numFmt w:val="lowerRoman"/>
      <w:lvlText w:val="%9."/>
      <w:lvlJc w:val="right"/>
      <w:pPr>
        <w:ind w:left="8748" w:hanging="180"/>
      </w:pPr>
    </w:lvl>
  </w:abstractNum>
  <w:abstractNum w:abstractNumId="6" w15:restartNumberingAfterBreak="0">
    <w:nsid w:val="397B7584"/>
    <w:multiLevelType w:val="hybridMultilevel"/>
    <w:tmpl w:val="142AEEE2"/>
    <w:lvl w:ilvl="0" w:tplc="475ADCC8">
      <w:start w:val="1"/>
      <w:numFmt w:val="bullet"/>
      <w:lvlText w:val="-"/>
      <w:lvlJc w:val="left"/>
      <w:pPr>
        <w:ind w:left="2415" w:hanging="360"/>
      </w:pPr>
      <w:rPr>
        <w:rFonts w:ascii="Times New Roman" w:hAnsi="Times New Roman"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B7E6160"/>
    <w:multiLevelType w:val="hybridMultilevel"/>
    <w:tmpl w:val="C6681A46"/>
    <w:lvl w:ilvl="0" w:tplc="475ADCC8">
      <w:start w:val="1"/>
      <w:numFmt w:val="bullet"/>
      <w:lvlText w:val="-"/>
      <w:lvlJc w:val="left"/>
      <w:pPr>
        <w:ind w:left="1854" w:hanging="360"/>
      </w:pPr>
      <w:rPr>
        <w:rFonts w:ascii="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num>
  <w:num w:numId="2">
    <w:abstractNumId w:val="7"/>
  </w:num>
  <w:num w:numId="3">
    <w:abstractNumId w:val="3"/>
  </w:num>
  <w:num w:numId="4">
    <w:abstractNumId w:val="8"/>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7"/>
  </w:num>
  <w:num w:numId="11">
    <w:abstractNumId w:val="12"/>
  </w:num>
  <w:num w:numId="12">
    <w:abstractNumId w:val="11"/>
  </w:num>
  <w:num w:numId="13">
    <w:abstractNumId w:val="4"/>
  </w:num>
  <w:num w:numId="14">
    <w:abstractNumId w:val="6"/>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numStart w:val="6"/>
    <w:footnote w:id="-1"/>
    <w:footnote w:id="0"/>
    <w:footnote w:id="1"/>
  </w:footnotePr>
  <w:endnotePr>
    <w:numFmt w:val="decimal"/>
    <w:endnote w:id="-1"/>
    <w:endnote w:id="0"/>
    <w:endnote w:id="1"/>
  </w:endnotePr>
  <w:compat>
    <w:compatSetting w:name="compatibilityMode" w:uri="http://schemas.microsoft.com/office/word" w:val="12"/>
  </w:compat>
  <w:rsids>
    <w:rsidRoot w:val="00FF35B7"/>
    <w:rsid w:val="00002086"/>
    <w:rsid w:val="000022EF"/>
    <w:rsid w:val="000026A2"/>
    <w:rsid w:val="000029D1"/>
    <w:rsid w:val="00004AA3"/>
    <w:rsid w:val="00004C56"/>
    <w:rsid w:val="000050AB"/>
    <w:rsid w:val="00005A7B"/>
    <w:rsid w:val="00005F78"/>
    <w:rsid w:val="00006264"/>
    <w:rsid w:val="000071F4"/>
    <w:rsid w:val="000112BB"/>
    <w:rsid w:val="00011D7C"/>
    <w:rsid w:val="00012D59"/>
    <w:rsid w:val="00013AE2"/>
    <w:rsid w:val="00015224"/>
    <w:rsid w:val="00015B09"/>
    <w:rsid w:val="00016AC5"/>
    <w:rsid w:val="000200D8"/>
    <w:rsid w:val="00021428"/>
    <w:rsid w:val="00023C38"/>
    <w:rsid w:val="000243E2"/>
    <w:rsid w:val="00024463"/>
    <w:rsid w:val="00025B21"/>
    <w:rsid w:val="00031D11"/>
    <w:rsid w:val="0003454F"/>
    <w:rsid w:val="00036565"/>
    <w:rsid w:val="00037575"/>
    <w:rsid w:val="00041CEF"/>
    <w:rsid w:val="00043305"/>
    <w:rsid w:val="00045FB6"/>
    <w:rsid w:val="000476F2"/>
    <w:rsid w:val="00047D4D"/>
    <w:rsid w:val="00056AD6"/>
    <w:rsid w:val="000577F6"/>
    <w:rsid w:val="00060F3F"/>
    <w:rsid w:val="00061188"/>
    <w:rsid w:val="00061B40"/>
    <w:rsid w:val="000621E9"/>
    <w:rsid w:val="000630A6"/>
    <w:rsid w:val="00065E92"/>
    <w:rsid w:val="000675AE"/>
    <w:rsid w:val="00067773"/>
    <w:rsid w:val="00070363"/>
    <w:rsid w:val="000706F2"/>
    <w:rsid w:val="00072E7B"/>
    <w:rsid w:val="00073282"/>
    <w:rsid w:val="00075B3E"/>
    <w:rsid w:val="00076867"/>
    <w:rsid w:val="0007690B"/>
    <w:rsid w:val="0007730E"/>
    <w:rsid w:val="00080BAA"/>
    <w:rsid w:val="000814B8"/>
    <w:rsid w:val="00081D4A"/>
    <w:rsid w:val="000826EA"/>
    <w:rsid w:val="00083606"/>
    <w:rsid w:val="00086498"/>
    <w:rsid w:val="00087DC7"/>
    <w:rsid w:val="00091658"/>
    <w:rsid w:val="00091FA8"/>
    <w:rsid w:val="00094A09"/>
    <w:rsid w:val="000963B5"/>
    <w:rsid w:val="000A165A"/>
    <w:rsid w:val="000A19B4"/>
    <w:rsid w:val="000A1FEE"/>
    <w:rsid w:val="000A4478"/>
    <w:rsid w:val="000A543C"/>
    <w:rsid w:val="000A56AF"/>
    <w:rsid w:val="000A6BAA"/>
    <w:rsid w:val="000B1500"/>
    <w:rsid w:val="000B1B85"/>
    <w:rsid w:val="000B3711"/>
    <w:rsid w:val="000B39DB"/>
    <w:rsid w:val="000C1D5C"/>
    <w:rsid w:val="000C3DAB"/>
    <w:rsid w:val="000C4813"/>
    <w:rsid w:val="000C6EAA"/>
    <w:rsid w:val="000C7B2A"/>
    <w:rsid w:val="000D04D4"/>
    <w:rsid w:val="000D1C38"/>
    <w:rsid w:val="000D4CD8"/>
    <w:rsid w:val="000F0288"/>
    <w:rsid w:val="000F078B"/>
    <w:rsid w:val="000F21C5"/>
    <w:rsid w:val="000F2A66"/>
    <w:rsid w:val="000F2EF4"/>
    <w:rsid w:val="000F36E5"/>
    <w:rsid w:val="000F41F2"/>
    <w:rsid w:val="000F50F8"/>
    <w:rsid w:val="000F58A8"/>
    <w:rsid w:val="000F6720"/>
    <w:rsid w:val="000F6C95"/>
    <w:rsid w:val="000F7AB2"/>
    <w:rsid w:val="001000EB"/>
    <w:rsid w:val="00100970"/>
    <w:rsid w:val="0010178E"/>
    <w:rsid w:val="00103984"/>
    <w:rsid w:val="00103D58"/>
    <w:rsid w:val="001058C2"/>
    <w:rsid w:val="00105E65"/>
    <w:rsid w:val="00107357"/>
    <w:rsid w:val="00113683"/>
    <w:rsid w:val="00114A09"/>
    <w:rsid w:val="00116131"/>
    <w:rsid w:val="00116C5D"/>
    <w:rsid w:val="00116ECE"/>
    <w:rsid w:val="00121893"/>
    <w:rsid w:val="001218B6"/>
    <w:rsid w:val="001228E4"/>
    <w:rsid w:val="00123664"/>
    <w:rsid w:val="00125861"/>
    <w:rsid w:val="00125D33"/>
    <w:rsid w:val="00132A26"/>
    <w:rsid w:val="00132CD2"/>
    <w:rsid w:val="00134782"/>
    <w:rsid w:val="001347DA"/>
    <w:rsid w:val="0013579B"/>
    <w:rsid w:val="00136752"/>
    <w:rsid w:val="00137D2E"/>
    <w:rsid w:val="00140003"/>
    <w:rsid w:val="0014077D"/>
    <w:rsid w:val="001425F2"/>
    <w:rsid w:val="00143989"/>
    <w:rsid w:val="00144762"/>
    <w:rsid w:val="00145488"/>
    <w:rsid w:val="00145905"/>
    <w:rsid w:val="0015399A"/>
    <w:rsid w:val="00154472"/>
    <w:rsid w:val="00154C17"/>
    <w:rsid w:val="00154CB9"/>
    <w:rsid w:val="00155C5C"/>
    <w:rsid w:val="00156399"/>
    <w:rsid w:val="00156F26"/>
    <w:rsid w:val="00160540"/>
    <w:rsid w:val="0016259D"/>
    <w:rsid w:val="0016286E"/>
    <w:rsid w:val="00162886"/>
    <w:rsid w:val="001654A6"/>
    <w:rsid w:val="00165CD1"/>
    <w:rsid w:val="001660E2"/>
    <w:rsid w:val="001662B3"/>
    <w:rsid w:val="00167465"/>
    <w:rsid w:val="0017097B"/>
    <w:rsid w:val="0017111F"/>
    <w:rsid w:val="00172DBB"/>
    <w:rsid w:val="001737F3"/>
    <w:rsid w:val="00175224"/>
    <w:rsid w:val="00175646"/>
    <w:rsid w:val="001760C8"/>
    <w:rsid w:val="001765AF"/>
    <w:rsid w:val="00180525"/>
    <w:rsid w:val="00184452"/>
    <w:rsid w:val="00186D67"/>
    <w:rsid w:val="00186EAB"/>
    <w:rsid w:val="00186FAC"/>
    <w:rsid w:val="00187094"/>
    <w:rsid w:val="001914AA"/>
    <w:rsid w:val="001928AE"/>
    <w:rsid w:val="00192EEB"/>
    <w:rsid w:val="00193C7F"/>
    <w:rsid w:val="001943F4"/>
    <w:rsid w:val="00194FEF"/>
    <w:rsid w:val="00196458"/>
    <w:rsid w:val="00196C06"/>
    <w:rsid w:val="00197D39"/>
    <w:rsid w:val="00197DE3"/>
    <w:rsid w:val="001A034E"/>
    <w:rsid w:val="001A0DAD"/>
    <w:rsid w:val="001A0EB0"/>
    <w:rsid w:val="001A20FB"/>
    <w:rsid w:val="001A24A2"/>
    <w:rsid w:val="001A27A7"/>
    <w:rsid w:val="001A3B50"/>
    <w:rsid w:val="001A50A8"/>
    <w:rsid w:val="001A6331"/>
    <w:rsid w:val="001A6D78"/>
    <w:rsid w:val="001A7F71"/>
    <w:rsid w:val="001B0F1C"/>
    <w:rsid w:val="001B16A3"/>
    <w:rsid w:val="001B172E"/>
    <w:rsid w:val="001B1C14"/>
    <w:rsid w:val="001B3528"/>
    <w:rsid w:val="001B5176"/>
    <w:rsid w:val="001B6CC7"/>
    <w:rsid w:val="001B6E3B"/>
    <w:rsid w:val="001C1BC3"/>
    <w:rsid w:val="001C2A70"/>
    <w:rsid w:val="001C441B"/>
    <w:rsid w:val="001C467B"/>
    <w:rsid w:val="001C6399"/>
    <w:rsid w:val="001D30D9"/>
    <w:rsid w:val="001D3E62"/>
    <w:rsid w:val="001D44B7"/>
    <w:rsid w:val="001D5478"/>
    <w:rsid w:val="001D5BCD"/>
    <w:rsid w:val="001D6162"/>
    <w:rsid w:val="001D7F8A"/>
    <w:rsid w:val="001E0706"/>
    <w:rsid w:val="001E0D22"/>
    <w:rsid w:val="001E28A8"/>
    <w:rsid w:val="001E35B9"/>
    <w:rsid w:val="001E3FEB"/>
    <w:rsid w:val="001E4A02"/>
    <w:rsid w:val="001E4E29"/>
    <w:rsid w:val="001E52BC"/>
    <w:rsid w:val="001E68C9"/>
    <w:rsid w:val="001E6DD2"/>
    <w:rsid w:val="001F0E00"/>
    <w:rsid w:val="001F2030"/>
    <w:rsid w:val="001F22C9"/>
    <w:rsid w:val="001F3ADD"/>
    <w:rsid w:val="001F3F06"/>
    <w:rsid w:val="001F5C8B"/>
    <w:rsid w:val="001F7C97"/>
    <w:rsid w:val="002008A2"/>
    <w:rsid w:val="002010E6"/>
    <w:rsid w:val="00204AE3"/>
    <w:rsid w:val="00206DDE"/>
    <w:rsid w:val="002071BB"/>
    <w:rsid w:val="00214BCF"/>
    <w:rsid w:val="00214D7D"/>
    <w:rsid w:val="002156CB"/>
    <w:rsid w:val="00216198"/>
    <w:rsid w:val="002162B0"/>
    <w:rsid w:val="0021676A"/>
    <w:rsid w:val="00216BB6"/>
    <w:rsid w:val="00217674"/>
    <w:rsid w:val="00220B3D"/>
    <w:rsid w:val="0022565D"/>
    <w:rsid w:val="00225A8C"/>
    <w:rsid w:val="0023198A"/>
    <w:rsid w:val="00231E31"/>
    <w:rsid w:val="002324D3"/>
    <w:rsid w:val="00232606"/>
    <w:rsid w:val="0023370B"/>
    <w:rsid w:val="002342EA"/>
    <w:rsid w:val="00240009"/>
    <w:rsid w:val="00244ABE"/>
    <w:rsid w:val="00246043"/>
    <w:rsid w:val="00247DBF"/>
    <w:rsid w:val="00255383"/>
    <w:rsid w:val="0025601D"/>
    <w:rsid w:val="00256341"/>
    <w:rsid w:val="00256E1C"/>
    <w:rsid w:val="002603FC"/>
    <w:rsid w:val="002606C3"/>
    <w:rsid w:val="00260722"/>
    <w:rsid w:val="002615F7"/>
    <w:rsid w:val="0026184A"/>
    <w:rsid w:val="0026239B"/>
    <w:rsid w:val="00265514"/>
    <w:rsid w:val="002659F1"/>
    <w:rsid w:val="0027239F"/>
    <w:rsid w:val="00276784"/>
    <w:rsid w:val="00277F8E"/>
    <w:rsid w:val="00280A0F"/>
    <w:rsid w:val="00285CBD"/>
    <w:rsid w:val="0028695B"/>
    <w:rsid w:val="00286CE7"/>
    <w:rsid w:val="0028712D"/>
    <w:rsid w:val="0028758A"/>
    <w:rsid w:val="00287924"/>
    <w:rsid w:val="00287E79"/>
    <w:rsid w:val="00290141"/>
    <w:rsid w:val="00291BAC"/>
    <w:rsid w:val="002928F9"/>
    <w:rsid w:val="00295AAB"/>
    <w:rsid w:val="002A2D9B"/>
    <w:rsid w:val="002A2FE6"/>
    <w:rsid w:val="002A4B9C"/>
    <w:rsid w:val="002A5D07"/>
    <w:rsid w:val="002A5FB9"/>
    <w:rsid w:val="002B0163"/>
    <w:rsid w:val="002B1184"/>
    <w:rsid w:val="002B145A"/>
    <w:rsid w:val="002B1D62"/>
    <w:rsid w:val="002B2336"/>
    <w:rsid w:val="002B28B5"/>
    <w:rsid w:val="002B2E8A"/>
    <w:rsid w:val="002B679C"/>
    <w:rsid w:val="002C028B"/>
    <w:rsid w:val="002C052F"/>
    <w:rsid w:val="002C38DE"/>
    <w:rsid w:val="002C398C"/>
    <w:rsid w:val="002C7E47"/>
    <w:rsid w:val="002D1EAC"/>
    <w:rsid w:val="002D2632"/>
    <w:rsid w:val="002D2CD5"/>
    <w:rsid w:val="002D378C"/>
    <w:rsid w:val="002D4748"/>
    <w:rsid w:val="002D5CD0"/>
    <w:rsid w:val="002E013D"/>
    <w:rsid w:val="002E0722"/>
    <w:rsid w:val="002E08E1"/>
    <w:rsid w:val="002E538F"/>
    <w:rsid w:val="002E5672"/>
    <w:rsid w:val="002E6E05"/>
    <w:rsid w:val="002F085E"/>
    <w:rsid w:val="002F1889"/>
    <w:rsid w:val="002F28AA"/>
    <w:rsid w:val="002F3DB5"/>
    <w:rsid w:val="002F4C68"/>
    <w:rsid w:val="002F5575"/>
    <w:rsid w:val="002F77A8"/>
    <w:rsid w:val="003016B7"/>
    <w:rsid w:val="003024AA"/>
    <w:rsid w:val="00305BD6"/>
    <w:rsid w:val="00306094"/>
    <w:rsid w:val="003101CB"/>
    <w:rsid w:val="00313A76"/>
    <w:rsid w:val="00313BAD"/>
    <w:rsid w:val="00314A3A"/>
    <w:rsid w:val="003154ED"/>
    <w:rsid w:val="00315B38"/>
    <w:rsid w:val="00316077"/>
    <w:rsid w:val="00316738"/>
    <w:rsid w:val="003178D6"/>
    <w:rsid w:val="00322E84"/>
    <w:rsid w:val="003238C9"/>
    <w:rsid w:val="003241D0"/>
    <w:rsid w:val="00324B53"/>
    <w:rsid w:val="00325CFA"/>
    <w:rsid w:val="0032624D"/>
    <w:rsid w:val="00327F6F"/>
    <w:rsid w:val="0033015A"/>
    <w:rsid w:val="00335CBD"/>
    <w:rsid w:val="00340E33"/>
    <w:rsid w:val="00341B11"/>
    <w:rsid w:val="00341F3D"/>
    <w:rsid w:val="00342381"/>
    <w:rsid w:val="00342D08"/>
    <w:rsid w:val="0034591A"/>
    <w:rsid w:val="0034692A"/>
    <w:rsid w:val="00350067"/>
    <w:rsid w:val="003515AA"/>
    <w:rsid w:val="003521CF"/>
    <w:rsid w:val="0035298C"/>
    <w:rsid w:val="00353080"/>
    <w:rsid w:val="00355D89"/>
    <w:rsid w:val="003567B8"/>
    <w:rsid w:val="00357F45"/>
    <w:rsid w:val="0036054F"/>
    <w:rsid w:val="0036162F"/>
    <w:rsid w:val="00361EEE"/>
    <w:rsid w:val="00362B4E"/>
    <w:rsid w:val="003634AA"/>
    <w:rsid w:val="00364F9B"/>
    <w:rsid w:val="00367DFA"/>
    <w:rsid w:val="0037022A"/>
    <w:rsid w:val="00370A57"/>
    <w:rsid w:val="003714FD"/>
    <w:rsid w:val="00374106"/>
    <w:rsid w:val="00374815"/>
    <w:rsid w:val="00375009"/>
    <w:rsid w:val="0037666B"/>
    <w:rsid w:val="003778F9"/>
    <w:rsid w:val="003830EF"/>
    <w:rsid w:val="00384A47"/>
    <w:rsid w:val="0038640F"/>
    <w:rsid w:val="00386524"/>
    <w:rsid w:val="00386D70"/>
    <w:rsid w:val="003906EA"/>
    <w:rsid w:val="00391330"/>
    <w:rsid w:val="00394E02"/>
    <w:rsid w:val="0039664E"/>
    <w:rsid w:val="003976D5"/>
    <w:rsid w:val="00397A69"/>
    <w:rsid w:val="003A049C"/>
    <w:rsid w:val="003A1670"/>
    <w:rsid w:val="003A1C96"/>
    <w:rsid w:val="003A679F"/>
    <w:rsid w:val="003A687B"/>
    <w:rsid w:val="003A759A"/>
    <w:rsid w:val="003B47D4"/>
    <w:rsid w:val="003B5B21"/>
    <w:rsid w:val="003B6379"/>
    <w:rsid w:val="003B6D8B"/>
    <w:rsid w:val="003B798C"/>
    <w:rsid w:val="003C098E"/>
    <w:rsid w:val="003C18BF"/>
    <w:rsid w:val="003C1B8A"/>
    <w:rsid w:val="003C1F8C"/>
    <w:rsid w:val="003C38A4"/>
    <w:rsid w:val="003C438C"/>
    <w:rsid w:val="003C542F"/>
    <w:rsid w:val="003C7858"/>
    <w:rsid w:val="003D182B"/>
    <w:rsid w:val="003D3BED"/>
    <w:rsid w:val="003D535B"/>
    <w:rsid w:val="003D65D1"/>
    <w:rsid w:val="003D6AA4"/>
    <w:rsid w:val="003D6C68"/>
    <w:rsid w:val="003E0086"/>
    <w:rsid w:val="003E18FA"/>
    <w:rsid w:val="003E36B5"/>
    <w:rsid w:val="003E4741"/>
    <w:rsid w:val="003E4C75"/>
    <w:rsid w:val="003E6028"/>
    <w:rsid w:val="003E6A9A"/>
    <w:rsid w:val="003F0288"/>
    <w:rsid w:val="003F03A4"/>
    <w:rsid w:val="003F2235"/>
    <w:rsid w:val="003F2B2B"/>
    <w:rsid w:val="003F59CB"/>
    <w:rsid w:val="003F5B56"/>
    <w:rsid w:val="003F6E73"/>
    <w:rsid w:val="003F7038"/>
    <w:rsid w:val="004003B4"/>
    <w:rsid w:val="004024ED"/>
    <w:rsid w:val="00403C35"/>
    <w:rsid w:val="0040504E"/>
    <w:rsid w:val="004068DE"/>
    <w:rsid w:val="004069B1"/>
    <w:rsid w:val="00410B90"/>
    <w:rsid w:val="00410EC7"/>
    <w:rsid w:val="00412415"/>
    <w:rsid w:val="00414A63"/>
    <w:rsid w:val="00414B06"/>
    <w:rsid w:val="004159D0"/>
    <w:rsid w:val="00417613"/>
    <w:rsid w:val="004178BD"/>
    <w:rsid w:val="00420054"/>
    <w:rsid w:val="004215B9"/>
    <w:rsid w:val="004215F5"/>
    <w:rsid w:val="00421874"/>
    <w:rsid w:val="00421B88"/>
    <w:rsid w:val="00421F7A"/>
    <w:rsid w:val="004254FA"/>
    <w:rsid w:val="00426747"/>
    <w:rsid w:val="00430A12"/>
    <w:rsid w:val="0043120D"/>
    <w:rsid w:val="00433281"/>
    <w:rsid w:val="004337F4"/>
    <w:rsid w:val="00434CEB"/>
    <w:rsid w:val="00435CA2"/>
    <w:rsid w:val="00436831"/>
    <w:rsid w:val="00440884"/>
    <w:rsid w:val="004419B9"/>
    <w:rsid w:val="004428FA"/>
    <w:rsid w:val="00442A7D"/>
    <w:rsid w:val="004431C6"/>
    <w:rsid w:val="00443C61"/>
    <w:rsid w:val="0044488A"/>
    <w:rsid w:val="00444D01"/>
    <w:rsid w:val="00445671"/>
    <w:rsid w:val="00445CE2"/>
    <w:rsid w:val="004478B6"/>
    <w:rsid w:val="00447B06"/>
    <w:rsid w:val="00450B2C"/>
    <w:rsid w:val="0045282B"/>
    <w:rsid w:val="00452EF4"/>
    <w:rsid w:val="0045398B"/>
    <w:rsid w:val="00455BEF"/>
    <w:rsid w:val="0045744A"/>
    <w:rsid w:val="0046022F"/>
    <w:rsid w:val="0046126F"/>
    <w:rsid w:val="00461407"/>
    <w:rsid w:val="00462BFC"/>
    <w:rsid w:val="00462D41"/>
    <w:rsid w:val="00463BBB"/>
    <w:rsid w:val="00464701"/>
    <w:rsid w:val="004655F6"/>
    <w:rsid w:val="0046583F"/>
    <w:rsid w:val="0046700E"/>
    <w:rsid w:val="00467AB6"/>
    <w:rsid w:val="00467F1D"/>
    <w:rsid w:val="00470FED"/>
    <w:rsid w:val="00471C99"/>
    <w:rsid w:val="00473CEE"/>
    <w:rsid w:val="00473FFF"/>
    <w:rsid w:val="00474154"/>
    <w:rsid w:val="00475612"/>
    <w:rsid w:val="00476B97"/>
    <w:rsid w:val="00477B36"/>
    <w:rsid w:val="00480488"/>
    <w:rsid w:val="0048150F"/>
    <w:rsid w:val="00482AF2"/>
    <w:rsid w:val="004830D0"/>
    <w:rsid w:val="004858C0"/>
    <w:rsid w:val="00486A42"/>
    <w:rsid w:val="004900AD"/>
    <w:rsid w:val="004902BF"/>
    <w:rsid w:val="00490E12"/>
    <w:rsid w:val="0049514A"/>
    <w:rsid w:val="004952EB"/>
    <w:rsid w:val="00496768"/>
    <w:rsid w:val="0049744B"/>
    <w:rsid w:val="004979FC"/>
    <w:rsid w:val="004A028F"/>
    <w:rsid w:val="004A05F2"/>
    <w:rsid w:val="004A0ECF"/>
    <w:rsid w:val="004A0F69"/>
    <w:rsid w:val="004A1028"/>
    <w:rsid w:val="004A14F3"/>
    <w:rsid w:val="004A280F"/>
    <w:rsid w:val="004A4982"/>
    <w:rsid w:val="004A62DE"/>
    <w:rsid w:val="004A6CB0"/>
    <w:rsid w:val="004B3167"/>
    <w:rsid w:val="004B41A4"/>
    <w:rsid w:val="004B5C14"/>
    <w:rsid w:val="004C009D"/>
    <w:rsid w:val="004C1C06"/>
    <w:rsid w:val="004C2793"/>
    <w:rsid w:val="004C27AD"/>
    <w:rsid w:val="004C3122"/>
    <w:rsid w:val="004C4B87"/>
    <w:rsid w:val="004C5015"/>
    <w:rsid w:val="004C5542"/>
    <w:rsid w:val="004C65CA"/>
    <w:rsid w:val="004C70B6"/>
    <w:rsid w:val="004D0C37"/>
    <w:rsid w:val="004D1152"/>
    <w:rsid w:val="004D24C0"/>
    <w:rsid w:val="004D5732"/>
    <w:rsid w:val="004D7A27"/>
    <w:rsid w:val="004E2527"/>
    <w:rsid w:val="004E4F69"/>
    <w:rsid w:val="004E5C5F"/>
    <w:rsid w:val="004E67A9"/>
    <w:rsid w:val="004E71C9"/>
    <w:rsid w:val="004F04D8"/>
    <w:rsid w:val="004F186E"/>
    <w:rsid w:val="004F4841"/>
    <w:rsid w:val="004F4B0E"/>
    <w:rsid w:val="004F7694"/>
    <w:rsid w:val="00500D1F"/>
    <w:rsid w:val="005014EE"/>
    <w:rsid w:val="005017BA"/>
    <w:rsid w:val="005037FC"/>
    <w:rsid w:val="00503A7E"/>
    <w:rsid w:val="005045B2"/>
    <w:rsid w:val="0050591F"/>
    <w:rsid w:val="005064DA"/>
    <w:rsid w:val="00507CA8"/>
    <w:rsid w:val="00511E62"/>
    <w:rsid w:val="00512CCD"/>
    <w:rsid w:val="00515B7D"/>
    <w:rsid w:val="00516681"/>
    <w:rsid w:val="00516F19"/>
    <w:rsid w:val="0051749E"/>
    <w:rsid w:val="0052050B"/>
    <w:rsid w:val="0052051F"/>
    <w:rsid w:val="00521720"/>
    <w:rsid w:val="0052231E"/>
    <w:rsid w:val="0052372C"/>
    <w:rsid w:val="00524945"/>
    <w:rsid w:val="00524B1C"/>
    <w:rsid w:val="005266DE"/>
    <w:rsid w:val="00526746"/>
    <w:rsid w:val="005274E2"/>
    <w:rsid w:val="00530783"/>
    <w:rsid w:val="00532F5F"/>
    <w:rsid w:val="0053564A"/>
    <w:rsid w:val="00536727"/>
    <w:rsid w:val="00536F4A"/>
    <w:rsid w:val="0054037E"/>
    <w:rsid w:val="00540A42"/>
    <w:rsid w:val="00543D5E"/>
    <w:rsid w:val="00545650"/>
    <w:rsid w:val="0054629D"/>
    <w:rsid w:val="00547B62"/>
    <w:rsid w:val="00553856"/>
    <w:rsid w:val="00554377"/>
    <w:rsid w:val="00554392"/>
    <w:rsid w:val="00554F93"/>
    <w:rsid w:val="00555DEB"/>
    <w:rsid w:val="00560063"/>
    <w:rsid w:val="0056104D"/>
    <w:rsid w:val="005612F9"/>
    <w:rsid w:val="005631C7"/>
    <w:rsid w:val="005649E7"/>
    <w:rsid w:val="00565907"/>
    <w:rsid w:val="00570A93"/>
    <w:rsid w:val="00571F41"/>
    <w:rsid w:val="0057398A"/>
    <w:rsid w:val="00574124"/>
    <w:rsid w:val="005759BC"/>
    <w:rsid w:val="00575D11"/>
    <w:rsid w:val="00577ED9"/>
    <w:rsid w:val="0058132F"/>
    <w:rsid w:val="00582578"/>
    <w:rsid w:val="00583629"/>
    <w:rsid w:val="00585B3C"/>
    <w:rsid w:val="005860E1"/>
    <w:rsid w:val="00590357"/>
    <w:rsid w:val="00591788"/>
    <w:rsid w:val="005917F0"/>
    <w:rsid w:val="00591AEA"/>
    <w:rsid w:val="005953EF"/>
    <w:rsid w:val="00595819"/>
    <w:rsid w:val="00597A79"/>
    <w:rsid w:val="00597AB4"/>
    <w:rsid w:val="005A21B5"/>
    <w:rsid w:val="005A27D9"/>
    <w:rsid w:val="005A32BE"/>
    <w:rsid w:val="005A430E"/>
    <w:rsid w:val="005A52D5"/>
    <w:rsid w:val="005A58CB"/>
    <w:rsid w:val="005A72D5"/>
    <w:rsid w:val="005B3A38"/>
    <w:rsid w:val="005B4781"/>
    <w:rsid w:val="005B478B"/>
    <w:rsid w:val="005B49E9"/>
    <w:rsid w:val="005B56DD"/>
    <w:rsid w:val="005B56E0"/>
    <w:rsid w:val="005B6034"/>
    <w:rsid w:val="005B68A6"/>
    <w:rsid w:val="005C1E71"/>
    <w:rsid w:val="005C3A8A"/>
    <w:rsid w:val="005C3B29"/>
    <w:rsid w:val="005C702A"/>
    <w:rsid w:val="005C78BA"/>
    <w:rsid w:val="005C7EDD"/>
    <w:rsid w:val="005D14A8"/>
    <w:rsid w:val="005D15C7"/>
    <w:rsid w:val="005D26D0"/>
    <w:rsid w:val="005D366E"/>
    <w:rsid w:val="005D3965"/>
    <w:rsid w:val="005D4547"/>
    <w:rsid w:val="005D50BF"/>
    <w:rsid w:val="005D5308"/>
    <w:rsid w:val="005E2BF8"/>
    <w:rsid w:val="005E2ED8"/>
    <w:rsid w:val="005E3578"/>
    <w:rsid w:val="005E3CF9"/>
    <w:rsid w:val="005E3F59"/>
    <w:rsid w:val="005E3FBA"/>
    <w:rsid w:val="005E4486"/>
    <w:rsid w:val="005E47F6"/>
    <w:rsid w:val="005E5290"/>
    <w:rsid w:val="005E5D1F"/>
    <w:rsid w:val="005E7BD3"/>
    <w:rsid w:val="005E7DDC"/>
    <w:rsid w:val="005F13AB"/>
    <w:rsid w:val="005F34F9"/>
    <w:rsid w:val="005F419D"/>
    <w:rsid w:val="005F6204"/>
    <w:rsid w:val="005F759A"/>
    <w:rsid w:val="005F7655"/>
    <w:rsid w:val="00600A20"/>
    <w:rsid w:val="00600D13"/>
    <w:rsid w:val="00603122"/>
    <w:rsid w:val="00604E67"/>
    <w:rsid w:val="0060590E"/>
    <w:rsid w:val="006076B6"/>
    <w:rsid w:val="00610DD1"/>
    <w:rsid w:val="00610DD9"/>
    <w:rsid w:val="00610FC4"/>
    <w:rsid w:val="00611D43"/>
    <w:rsid w:val="00612D48"/>
    <w:rsid w:val="0061335E"/>
    <w:rsid w:val="006139D0"/>
    <w:rsid w:val="00616B45"/>
    <w:rsid w:val="006201FD"/>
    <w:rsid w:val="006202E4"/>
    <w:rsid w:val="00620A37"/>
    <w:rsid w:val="00620B60"/>
    <w:rsid w:val="00620C59"/>
    <w:rsid w:val="006217AF"/>
    <w:rsid w:val="00623A40"/>
    <w:rsid w:val="006265D8"/>
    <w:rsid w:val="0062689F"/>
    <w:rsid w:val="00627472"/>
    <w:rsid w:val="00630D9B"/>
    <w:rsid w:val="006314C2"/>
    <w:rsid w:val="00631953"/>
    <w:rsid w:val="00632885"/>
    <w:rsid w:val="00633316"/>
    <w:rsid w:val="0063441B"/>
    <w:rsid w:val="00641080"/>
    <w:rsid w:val="0064152C"/>
    <w:rsid w:val="00641A58"/>
    <w:rsid w:val="006439EC"/>
    <w:rsid w:val="00643E67"/>
    <w:rsid w:val="006460F4"/>
    <w:rsid w:val="006477AE"/>
    <w:rsid w:val="00655DA9"/>
    <w:rsid w:val="00657D7C"/>
    <w:rsid w:val="00660131"/>
    <w:rsid w:val="006611ED"/>
    <w:rsid w:val="00661C61"/>
    <w:rsid w:val="00663AE7"/>
    <w:rsid w:val="006646BC"/>
    <w:rsid w:val="0066490D"/>
    <w:rsid w:val="00666702"/>
    <w:rsid w:val="006679FB"/>
    <w:rsid w:val="0067165E"/>
    <w:rsid w:val="00675179"/>
    <w:rsid w:val="006762D1"/>
    <w:rsid w:val="006762F1"/>
    <w:rsid w:val="00676CB4"/>
    <w:rsid w:val="006774AA"/>
    <w:rsid w:val="00684D16"/>
    <w:rsid w:val="00690855"/>
    <w:rsid w:val="006924C3"/>
    <w:rsid w:val="00693EFD"/>
    <w:rsid w:val="00695276"/>
    <w:rsid w:val="00695AA0"/>
    <w:rsid w:val="0069671E"/>
    <w:rsid w:val="006977EB"/>
    <w:rsid w:val="006978FA"/>
    <w:rsid w:val="006A1BE3"/>
    <w:rsid w:val="006A1C0A"/>
    <w:rsid w:val="006A1ED1"/>
    <w:rsid w:val="006A1F4F"/>
    <w:rsid w:val="006A2F46"/>
    <w:rsid w:val="006A6063"/>
    <w:rsid w:val="006A6255"/>
    <w:rsid w:val="006A6437"/>
    <w:rsid w:val="006B06C2"/>
    <w:rsid w:val="006B1357"/>
    <w:rsid w:val="006B2877"/>
    <w:rsid w:val="006B4590"/>
    <w:rsid w:val="006B7C7E"/>
    <w:rsid w:val="006B7CDB"/>
    <w:rsid w:val="006C06A3"/>
    <w:rsid w:val="006C307E"/>
    <w:rsid w:val="006C340C"/>
    <w:rsid w:val="006C6174"/>
    <w:rsid w:val="006C6EF2"/>
    <w:rsid w:val="006C7164"/>
    <w:rsid w:val="006D05CA"/>
    <w:rsid w:val="006D20C0"/>
    <w:rsid w:val="006D2CE6"/>
    <w:rsid w:val="006D3BFF"/>
    <w:rsid w:val="006D5179"/>
    <w:rsid w:val="006D763B"/>
    <w:rsid w:val="006E0D5C"/>
    <w:rsid w:val="006E1B68"/>
    <w:rsid w:val="006E2B24"/>
    <w:rsid w:val="006E5770"/>
    <w:rsid w:val="006E62B3"/>
    <w:rsid w:val="006E6645"/>
    <w:rsid w:val="006E6D3E"/>
    <w:rsid w:val="006F0B9F"/>
    <w:rsid w:val="006F5E97"/>
    <w:rsid w:val="006F77C9"/>
    <w:rsid w:val="00700725"/>
    <w:rsid w:val="00700FED"/>
    <w:rsid w:val="00703093"/>
    <w:rsid w:val="0070347C"/>
    <w:rsid w:val="00703D1B"/>
    <w:rsid w:val="00703DCC"/>
    <w:rsid w:val="007051DD"/>
    <w:rsid w:val="00705C56"/>
    <w:rsid w:val="007062E3"/>
    <w:rsid w:val="00706B12"/>
    <w:rsid w:val="007075CD"/>
    <w:rsid w:val="0071011F"/>
    <w:rsid w:val="007113E4"/>
    <w:rsid w:val="007113F3"/>
    <w:rsid w:val="0071379D"/>
    <w:rsid w:val="0071445B"/>
    <w:rsid w:val="007176C1"/>
    <w:rsid w:val="00722738"/>
    <w:rsid w:val="00722C49"/>
    <w:rsid w:val="007246A8"/>
    <w:rsid w:val="00724C89"/>
    <w:rsid w:val="00725BE1"/>
    <w:rsid w:val="00730CFA"/>
    <w:rsid w:val="00732101"/>
    <w:rsid w:val="0073413D"/>
    <w:rsid w:val="007341C7"/>
    <w:rsid w:val="0073448C"/>
    <w:rsid w:val="00734569"/>
    <w:rsid w:val="0073523F"/>
    <w:rsid w:val="00735A19"/>
    <w:rsid w:val="00736366"/>
    <w:rsid w:val="007378CB"/>
    <w:rsid w:val="00737A39"/>
    <w:rsid w:val="00740E65"/>
    <w:rsid w:val="0074245A"/>
    <w:rsid w:val="00744F8A"/>
    <w:rsid w:val="00746016"/>
    <w:rsid w:val="00746154"/>
    <w:rsid w:val="00746A3A"/>
    <w:rsid w:val="00750F06"/>
    <w:rsid w:val="00751293"/>
    <w:rsid w:val="0075175B"/>
    <w:rsid w:val="007534B4"/>
    <w:rsid w:val="00753744"/>
    <w:rsid w:val="00753DB4"/>
    <w:rsid w:val="00754218"/>
    <w:rsid w:val="00756D74"/>
    <w:rsid w:val="00763AB0"/>
    <w:rsid w:val="0076473C"/>
    <w:rsid w:val="00765AC9"/>
    <w:rsid w:val="007702E0"/>
    <w:rsid w:val="00771312"/>
    <w:rsid w:val="007714AF"/>
    <w:rsid w:val="00771DF7"/>
    <w:rsid w:val="00772306"/>
    <w:rsid w:val="00772CBA"/>
    <w:rsid w:val="00773A49"/>
    <w:rsid w:val="00775B3B"/>
    <w:rsid w:val="00775F7C"/>
    <w:rsid w:val="0077663B"/>
    <w:rsid w:val="00780AC6"/>
    <w:rsid w:val="00780D2A"/>
    <w:rsid w:val="007823B8"/>
    <w:rsid w:val="00782BE5"/>
    <w:rsid w:val="00784605"/>
    <w:rsid w:val="0079052F"/>
    <w:rsid w:val="00791025"/>
    <w:rsid w:val="007922B7"/>
    <w:rsid w:val="00792B86"/>
    <w:rsid w:val="00793009"/>
    <w:rsid w:val="007931DC"/>
    <w:rsid w:val="0079453B"/>
    <w:rsid w:val="00795F92"/>
    <w:rsid w:val="007A0606"/>
    <w:rsid w:val="007A064D"/>
    <w:rsid w:val="007A2A1D"/>
    <w:rsid w:val="007A5286"/>
    <w:rsid w:val="007A616E"/>
    <w:rsid w:val="007A6DD2"/>
    <w:rsid w:val="007B22B9"/>
    <w:rsid w:val="007B3D4B"/>
    <w:rsid w:val="007B485E"/>
    <w:rsid w:val="007B4D8D"/>
    <w:rsid w:val="007B5EC0"/>
    <w:rsid w:val="007B62F4"/>
    <w:rsid w:val="007B6F3F"/>
    <w:rsid w:val="007C0FDC"/>
    <w:rsid w:val="007C320B"/>
    <w:rsid w:val="007C358F"/>
    <w:rsid w:val="007C4169"/>
    <w:rsid w:val="007C4A3C"/>
    <w:rsid w:val="007C648C"/>
    <w:rsid w:val="007C64F3"/>
    <w:rsid w:val="007D0603"/>
    <w:rsid w:val="007D16C5"/>
    <w:rsid w:val="007D1956"/>
    <w:rsid w:val="007D23F6"/>
    <w:rsid w:val="007D305F"/>
    <w:rsid w:val="007D3142"/>
    <w:rsid w:val="007D3C5A"/>
    <w:rsid w:val="007D42AD"/>
    <w:rsid w:val="007D4BBF"/>
    <w:rsid w:val="007D5A94"/>
    <w:rsid w:val="007D5C83"/>
    <w:rsid w:val="007D5EBF"/>
    <w:rsid w:val="007D65C2"/>
    <w:rsid w:val="007D71DA"/>
    <w:rsid w:val="007D7488"/>
    <w:rsid w:val="007D761B"/>
    <w:rsid w:val="007D79D5"/>
    <w:rsid w:val="007E0021"/>
    <w:rsid w:val="007E0744"/>
    <w:rsid w:val="007E0A49"/>
    <w:rsid w:val="007E0BE3"/>
    <w:rsid w:val="007E2816"/>
    <w:rsid w:val="007E3EEB"/>
    <w:rsid w:val="007E4212"/>
    <w:rsid w:val="007E45F0"/>
    <w:rsid w:val="007E6CD2"/>
    <w:rsid w:val="007E78A5"/>
    <w:rsid w:val="007E7FB5"/>
    <w:rsid w:val="007F0D67"/>
    <w:rsid w:val="007F140A"/>
    <w:rsid w:val="007F41E4"/>
    <w:rsid w:val="007F55CB"/>
    <w:rsid w:val="007F601F"/>
    <w:rsid w:val="007F62A9"/>
    <w:rsid w:val="007F7E4E"/>
    <w:rsid w:val="00801E7A"/>
    <w:rsid w:val="00803EFF"/>
    <w:rsid w:val="0080443B"/>
    <w:rsid w:val="00805662"/>
    <w:rsid w:val="00805B10"/>
    <w:rsid w:val="00805ED2"/>
    <w:rsid w:val="00806818"/>
    <w:rsid w:val="00807394"/>
    <w:rsid w:val="0080741D"/>
    <w:rsid w:val="008101EA"/>
    <w:rsid w:val="0081173C"/>
    <w:rsid w:val="00812252"/>
    <w:rsid w:val="0081333C"/>
    <w:rsid w:val="008148F4"/>
    <w:rsid w:val="00814985"/>
    <w:rsid w:val="00814BC1"/>
    <w:rsid w:val="00816806"/>
    <w:rsid w:val="008209D6"/>
    <w:rsid w:val="00824EFF"/>
    <w:rsid w:val="00824F7C"/>
    <w:rsid w:val="00826B2C"/>
    <w:rsid w:val="00830168"/>
    <w:rsid w:val="008323A8"/>
    <w:rsid w:val="008323DD"/>
    <w:rsid w:val="008338EC"/>
    <w:rsid w:val="00834CEF"/>
    <w:rsid w:val="00835B4E"/>
    <w:rsid w:val="00836A3C"/>
    <w:rsid w:val="00836D9B"/>
    <w:rsid w:val="00841085"/>
    <w:rsid w:val="00842F2E"/>
    <w:rsid w:val="00844750"/>
    <w:rsid w:val="00844C40"/>
    <w:rsid w:val="00845C20"/>
    <w:rsid w:val="00845C7A"/>
    <w:rsid w:val="00846692"/>
    <w:rsid w:val="00850374"/>
    <w:rsid w:val="00850A60"/>
    <w:rsid w:val="0085155E"/>
    <w:rsid w:val="00851BA3"/>
    <w:rsid w:val="008521AB"/>
    <w:rsid w:val="00856BF5"/>
    <w:rsid w:val="008576AD"/>
    <w:rsid w:val="0085770B"/>
    <w:rsid w:val="008577B0"/>
    <w:rsid w:val="00857CDA"/>
    <w:rsid w:val="00857DAA"/>
    <w:rsid w:val="008614DC"/>
    <w:rsid w:val="0086151F"/>
    <w:rsid w:val="0086254F"/>
    <w:rsid w:val="00865675"/>
    <w:rsid w:val="00866D64"/>
    <w:rsid w:val="00867522"/>
    <w:rsid w:val="00872CCB"/>
    <w:rsid w:val="00873A9E"/>
    <w:rsid w:val="00873E3D"/>
    <w:rsid w:val="0087537E"/>
    <w:rsid w:val="00875BCD"/>
    <w:rsid w:val="0087725A"/>
    <w:rsid w:val="00882DFF"/>
    <w:rsid w:val="00884AD2"/>
    <w:rsid w:val="008851A3"/>
    <w:rsid w:val="0088543E"/>
    <w:rsid w:val="0089063E"/>
    <w:rsid w:val="00892560"/>
    <w:rsid w:val="008933E2"/>
    <w:rsid w:val="008935F5"/>
    <w:rsid w:val="00894FFE"/>
    <w:rsid w:val="008950B5"/>
    <w:rsid w:val="008961E6"/>
    <w:rsid w:val="00896A57"/>
    <w:rsid w:val="0089765D"/>
    <w:rsid w:val="008978F4"/>
    <w:rsid w:val="00897E85"/>
    <w:rsid w:val="008A130C"/>
    <w:rsid w:val="008A2FA2"/>
    <w:rsid w:val="008A56E7"/>
    <w:rsid w:val="008A7A99"/>
    <w:rsid w:val="008B16A2"/>
    <w:rsid w:val="008B288A"/>
    <w:rsid w:val="008B2D82"/>
    <w:rsid w:val="008B2EF9"/>
    <w:rsid w:val="008B44C4"/>
    <w:rsid w:val="008B450F"/>
    <w:rsid w:val="008B7736"/>
    <w:rsid w:val="008B7F29"/>
    <w:rsid w:val="008C05E8"/>
    <w:rsid w:val="008C1501"/>
    <w:rsid w:val="008C5846"/>
    <w:rsid w:val="008C5E17"/>
    <w:rsid w:val="008C5FC8"/>
    <w:rsid w:val="008C6783"/>
    <w:rsid w:val="008D0607"/>
    <w:rsid w:val="008D1BD9"/>
    <w:rsid w:val="008D1DE1"/>
    <w:rsid w:val="008D24BC"/>
    <w:rsid w:val="008D2D01"/>
    <w:rsid w:val="008D3718"/>
    <w:rsid w:val="008D38B8"/>
    <w:rsid w:val="008D7987"/>
    <w:rsid w:val="008E1085"/>
    <w:rsid w:val="008E12DE"/>
    <w:rsid w:val="008E18A7"/>
    <w:rsid w:val="008E3896"/>
    <w:rsid w:val="008E517B"/>
    <w:rsid w:val="008E52D1"/>
    <w:rsid w:val="008E6528"/>
    <w:rsid w:val="008E686B"/>
    <w:rsid w:val="008E7FAE"/>
    <w:rsid w:val="008F3E66"/>
    <w:rsid w:val="008F7CBA"/>
    <w:rsid w:val="00900319"/>
    <w:rsid w:val="00901775"/>
    <w:rsid w:val="00902691"/>
    <w:rsid w:val="00902C44"/>
    <w:rsid w:val="009040ED"/>
    <w:rsid w:val="00905D07"/>
    <w:rsid w:val="0090697C"/>
    <w:rsid w:val="00906A0C"/>
    <w:rsid w:val="009119B7"/>
    <w:rsid w:val="00911ACA"/>
    <w:rsid w:val="00911B07"/>
    <w:rsid w:val="00911BF7"/>
    <w:rsid w:val="009158FA"/>
    <w:rsid w:val="00916F9C"/>
    <w:rsid w:val="00920159"/>
    <w:rsid w:val="00920F10"/>
    <w:rsid w:val="00920FAB"/>
    <w:rsid w:val="009229DA"/>
    <w:rsid w:val="00927FA1"/>
    <w:rsid w:val="00930E05"/>
    <w:rsid w:val="00931472"/>
    <w:rsid w:val="00931BEB"/>
    <w:rsid w:val="00933889"/>
    <w:rsid w:val="00933E22"/>
    <w:rsid w:val="00934E35"/>
    <w:rsid w:val="009360D3"/>
    <w:rsid w:val="009367B7"/>
    <w:rsid w:val="00936848"/>
    <w:rsid w:val="00942D8D"/>
    <w:rsid w:val="009434EC"/>
    <w:rsid w:val="009441F9"/>
    <w:rsid w:val="0094723C"/>
    <w:rsid w:val="009472D6"/>
    <w:rsid w:val="00947350"/>
    <w:rsid w:val="00951BBA"/>
    <w:rsid w:val="009556EA"/>
    <w:rsid w:val="009574CE"/>
    <w:rsid w:val="00957766"/>
    <w:rsid w:val="0095797A"/>
    <w:rsid w:val="00960B6C"/>
    <w:rsid w:val="00960BA7"/>
    <w:rsid w:val="009610A9"/>
    <w:rsid w:val="00963C4D"/>
    <w:rsid w:val="00964098"/>
    <w:rsid w:val="00965D2A"/>
    <w:rsid w:val="00965E74"/>
    <w:rsid w:val="0096688F"/>
    <w:rsid w:val="009668E0"/>
    <w:rsid w:val="0096760B"/>
    <w:rsid w:val="00970717"/>
    <w:rsid w:val="00970E20"/>
    <w:rsid w:val="009715D9"/>
    <w:rsid w:val="009716FC"/>
    <w:rsid w:val="00972192"/>
    <w:rsid w:val="009722DE"/>
    <w:rsid w:val="00972698"/>
    <w:rsid w:val="00973CDA"/>
    <w:rsid w:val="00977EC8"/>
    <w:rsid w:val="00980BCB"/>
    <w:rsid w:val="0098254C"/>
    <w:rsid w:val="00983114"/>
    <w:rsid w:val="00984CAD"/>
    <w:rsid w:val="00991390"/>
    <w:rsid w:val="009918B0"/>
    <w:rsid w:val="00991E5D"/>
    <w:rsid w:val="00992897"/>
    <w:rsid w:val="00993A3A"/>
    <w:rsid w:val="00994AFA"/>
    <w:rsid w:val="009956B8"/>
    <w:rsid w:val="00995AE9"/>
    <w:rsid w:val="00996866"/>
    <w:rsid w:val="009A2EEF"/>
    <w:rsid w:val="009A5312"/>
    <w:rsid w:val="009A6E82"/>
    <w:rsid w:val="009A73D5"/>
    <w:rsid w:val="009B2214"/>
    <w:rsid w:val="009B2786"/>
    <w:rsid w:val="009B3414"/>
    <w:rsid w:val="009B614C"/>
    <w:rsid w:val="009C023B"/>
    <w:rsid w:val="009C12BB"/>
    <w:rsid w:val="009C1F96"/>
    <w:rsid w:val="009C25D4"/>
    <w:rsid w:val="009C2E03"/>
    <w:rsid w:val="009C2FA1"/>
    <w:rsid w:val="009C55CA"/>
    <w:rsid w:val="009C748F"/>
    <w:rsid w:val="009C74D5"/>
    <w:rsid w:val="009C7A60"/>
    <w:rsid w:val="009D0908"/>
    <w:rsid w:val="009D0AF1"/>
    <w:rsid w:val="009D0C02"/>
    <w:rsid w:val="009D1493"/>
    <w:rsid w:val="009D160E"/>
    <w:rsid w:val="009D320C"/>
    <w:rsid w:val="009D3A8C"/>
    <w:rsid w:val="009D47AA"/>
    <w:rsid w:val="009D5DA2"/>
    <w:rsid w:val="009D7EFD"/>
    <w:rsid w:val="009E02D7"/>
    <w:rsid w:val="009E20CA"/>
    <w:rsid w:val="009E2DAC"/>
    <w:rsid w:val="009E2E86"/>
    <w:rsid w:val="009E38EF"/>
    <w:rsid w:val="009E41A7"/>
    <w:rsid w:val="009E7956"/>
    <w:rsid w:val="009E7967"/>
    <w:rsid w:val="009E79B0"/>
    <w:rsid w:val="009E7B04"/>
    <w:rsid w:val="009E7C28"/>
    <w:rsid w:val="009E7F13"/>
    <w:rsid w:val="009F1284"/>
    <w:rsid w:val="009F3974"/>
    <w:rsid w:val="009F4509"/>
    <w:rsid w:val="009F7FA2"/>
    <w:rsid w:val="00A01B70"/>
    <w:rsid w:val="00A01F9B"/>
    <w:rsid w:val="00A0278B"/>
    <w:rsid w:val="00A041B2"/>
    <w:rsid w:val="00A06354"/>
    <w:rsid w:val="00A066CF"/>
    <w:rsid w:val="00A074FC"/>
    <w:rsid w:val="00A07845"/>
    <w:rsid w:val="00A078E2"/>
    <w:rsid w:val="00A10D00"/>
    <w:rsid w:val="00A10DCA"/>
    <w:rsid w:val="00A14ED2"/>
    <w:rsid w:val="00A1534D"/>
    <w:rsid w:val="00A200A7"/>
    <w:rsid w:val="00A20C06"/>
    <w:rsid w:val="00A23A55"/>
    <w:rsid w:val="00A23ED2"/>
    <w:rsid w:val="00A2492E"/>
    <w:rsid w:val="00A26AFC"/>
    <w:rsid w:val="00A3368F"/>
    <w:rsid w:val="00A3434F"/>
    <w:rsid w:val="00A3533E"/>
    <w:rsid w:val="00A35BBA"/>
    <w:rsid w:val="00A40186"/>
    <w:rsid w:val="00A4094F"/>
    <w:rsid w:val="00A40B11"/>
    <w:rsid w:val="00A40F0E"/>
    <w:rsid w:val="00A41859"/>
    <w:rsid w:val="00A4208C"/>
    <w:rsid w:val="00A425B4"/>
    <w:rsid w:val="00A43682"/>
    <w:rsid w:val="00A439C3"/>
    <w:rsid w:val="00A45E89"/>
    <w:rsid w:val="00A46E9F"/>
    <w:rsid w:val="00A51568"/>
    <w:rsid w:val="00A5173F"/>
    <w:rsid w:val="00A5193B"/>
    <w:rsid w:val="00A51D6C"/>
    <w:rsid w:val="00A5306C"/>
    <w:rsid w:val="00A53AD4"/>
    <w:rsid w:val="00A53C98"/>
    <w:rsid w:val="00A54D21"/>
    <w:rsid w:val="00A54F23"/>
    <w:rsid w:val="00A568C5"/>
    <w:rsid w:val="00A56E80"/>
    <w:rsid w:val="00A61705"/>
    <w:rsid w:val="00A70D54"/>
    <w:rsid w:val="00A70F15"/>
    <w:rsid w:val="00A710D7"/>
    <w:rsid w:val="00A713AE"/>
    <w:rsid w:val="00A71964"/>
    <w:rsid w:val="00A72211"/>
    <w:rsid w:val="00A7254B"/>
    <w:rsid w:val="00A72DEB"/>
    <w:rsid w:val="00A7472E"/>
    <w:rsid w:val="00A75024"/>
    <w:rsid w:val="00A76DDB"/>
    <w:rsid w:val="00A7777C"/>
    <w:rsid w:val="00A815F3"/>
    <w:rsid w:val="00A8162B"/>
    <w:rsid w:val="00A81640"/>
    <w:rsid w:val="00A84008"/>
    <w:rsid w:val="00A8435F"/>
    <w:rsid w:val="00A84C02"/>
    <w:rsid w:val="00A87113"/>
    <w:rsid w:val="00A91546"/>
    <w:rsid w:val="00A93BDC"/>
    <w:rsid w:val="00A947F6"/>
    <w:rsid w:val="00A95411"/>
    <w:rsid w:val="00A9724C"/>
    <w:rsid w:val="00A97522"/>
    <w:rsid w:val="00AA3A7B"/>
    <w:rsid w:val="00AA41CC"/>
    <w:rsid w:val="00AA4D91"/>
    <w:rsid w:val="00AA68A8"/>
    <w:rsid w:val="00AA68C5"/>
    <w:rsid w:val="00AB0278"/>
    <w:rsid w:val="00AB2098"/>
    <w:rsid w:val="00AB51D7"/>
    <w:rsid w:val="00AB547F"/>
    <w:rsid w:val="00AB6B30"/>
    <w:rsid w:val="00AB70CA"/>
    <w:rsid w:val="00AC0329"/>
    <w:rsid w:val="00AC0D7D"/>
    <w:rsid w:val="00AC211C"/>
    <w:rsid w:val="00AC270A"/>
    <w:rsid w:val="00AC35E0"/>
    <w:rsid w:val="00AC5812"/>
    <w:rsid w:val="00AC5A1F"/>
    <w:rsid w:val="00AC67A1"/>
    <w:rsid w:val="00AC6EC7"/>
    <w:rsid w:val="00AC76A0"/>
    <w:rsid w:val="00AC7977"/>
    <w:rsid w:val="00AD051F"/>
    <w:rsid w:val="00AD0EEC"/>
    <w:rsid w:val="00AD102D"/>
    <w:rsid w:val="00AD3A60"/>
    <w:rsid w:val="00AD44C0"/>
    <w:rsid w:val="00AD5DEF"/>
    <w:rsid w:val="00AE1E0D"/>
    <w:rsid w:val="00AE352C"/>
    <w:rsid w:val="00AE3FF6"/>
    <w:rsid w:val="00AE4126"/>
    <w:rsid w:val="00AE5E96"/>
    <w:rsid w:val="00AE616B"/>
    <w:rsid w:val="00AE7D67"/>
    <w:rsid w:val="00AF015A"/>
    <w:rsid w:val="00AF3F82"/>
    <w:rsid w:val="00AF7202"/>
    <w:rsid w:val="00B00829"/>
    <w:rsid w:val="00B0583F"/>
    <w:rsid w:val="00B07702"/>
    <w:rsid w:val="00B10104"/>
    <w:rsid w:val="00B10FCF"/>
    <w:rsid w:val="00B15353"/>
    <w:rsid w:val="00B15587"/>
    <w:rsid w:val="00B15DB5"/>
    <w:rsid w:val="00B226FD"/>
    <w:rsid w:val="00B232A7"/>
    <w:rsid w:val="00B25587"/>
    <w:rsid w:val="00B25F40"/>
    <w:rsid w:val="00B26115"/>
    <w:rsid w:val="00B268E1"/>
    <w:rsid w:val="00B3247F"/>
    <w:rsid w:val="00B3285B"/>
    <w:rsid w:val="00B32E2D"/>
    <w:rsid w:val="00B357DD"/>
    <w:rsid w:val="00B36C1B"/>
    <w:rsid w:val="00B371DF"/>
    <w:rsid w:val="00B40C3F"/>
    <w:rsid w:val="00B415C2"/>
    <w:rsid w:val="00B45986"/>
    <w:rsid w:val="00B46AB9"/>
    <w:rsid w:val="00B47FA1"/>
    <w:rsid w:val="00B5047A"/>
    <w:rsid w:val="00B51150"/>
    <w:rsid w:val="00B536C0"/>
    <w:rsid w:val="00B550D2"/>
    <w:rsid w:val="00B56BF1"/>
    <w:rsid w:val="00B57E96"/>
    <w:rsid w:val="00B61990"/>
    <w:rsid w:val="00B63CE8"/>
    <w:rsid w:val="00B65976"/>
    <w:rsid w:val="00B65E66"/>
    <w:rsid w:val="00B662C4"/>
    <w:rsid w:val="00B66988"/>
    <w:rsid w:val="00B676E2"/>
    <w:rsid w:val="00B67826"/>
    <w:rsid w:val="00B7080F"/>
    <w:rsid w:val="00B71233"/>
    <w:rsid w:val="00B734E9"/>
    <w:rsid w:val="00B74147"/>
    <w:rsid w:val="00B75AED"/>
    <w:rsid w:val="00B762BD"/>
    <w:rsid w:val="00B76415"/>
    <w:rsid w:val="00B77817"/>
    <w:rsid w:val="00B77FBA"/>
    <w:rsid w:val="00B819DA"/>
    <w:rsid w:val="00B822EA"/>
    <w:rsid w:val="00B82976"/>
    <w:rsid w:val="00B843E1"/>
    <w:rsid w:val="00B84A16"/>
    <w:rsid w:val="00B84E56"/>
    <w:rsid w:val="00B87C2A"/>
    <w:rsid w:val="00B92085"/>
    <w:rsid w:val="00B92751"/>
    <w:rsid w:val="00B9449C"/>
    <w:rsid w:val="00B94893"/>
    <w:rsid w:val="00B956B7"/>
    <w:rsid w:val="00B95B90"/>
    <w:rsid w:val="00B96963"/>
    <w:rsid w:val="00B97ECE"/>
    <w:rsid w:val="00BA0BCC"/>
    <w:rsid w:val="00BA197C"/>
    <w:rsid w:val="00BA3214"/>
    <w:rsid w:val="00BB5049"/>
    <w:rsid w:val="00BC07F8"/>
    <w:rsid w:val="00BC0C23"/>
    <w:rsid w:val="00BC3F3E"/>
    <w:rsid w:val="00BC4667"/>
    <w:rsid w:val="00BC6891"/>
    <w:rsid w:val="00BD056C"/>
    <w:rsid w:val="00BD149D"/>
    <w:rsid w:val="00BD21A8"/>
    <w:rsid w:val="00BD222F"/>
    <w:rsid w:val="00BD3F6A"/>
    <w:rsid w:val="00BD454A"/>
    <w:rsid w:val="00BD4D76"/>
    <w:rsid w:val="00BD5558"/>
    <w:rsid w:val="00BE42CE"/>
    <w:rsid w:val="00BE507D"/>
    <w:rsid w:val="00BE6A49"/>
    <w:rsid w:val="00BE7FB4"/>
    <w:rsid w:val="00BF0556"/>
    <w:rsid w:val="00BF0A38"/>
    <w:rsid w:val="00BF1492"/>
    <w:rsid w:val="00BF2AC1"/>
    <w:rsid w:val="00BF36FF"/>
    <w:rsid w:val="00BF459B"/>
    <w:rsid w:val="00BF5B4C"/>
    <w:rsid w:val="00BF6344"/>
    <w:rsid w:val="00BF6723"/>
    <w:rsid w:val="00C00456"/>
    <w:rsid w:val="00C007C6"/>
    <w:rsid w:val="00C00F54"/>
    <w:rsid w:val="00C01880"/>
    <w:rsid w:val="00C04215"/>
    <w:rsid w:val="00C04392"/>
    <w:rsid w:val="00C04443"/>
    <w:rsid w:val="00C052E4"/>
    <w:rsid w:val="00C056B2"/>
    <w:rsid w:val="00C05731"/>
    <w:rsid w:val="00C05DE4"/>
    <w:rsid w:val="00C067FD"/>
    <w:rsid w:val="00C07143"/>
    <w:rsid w:val="00C120E9"/>
    <w:rsid w:val="00C12523"/>
    <w:rsid w:val="00C13EA4"/>
    <w:rsid w:val="00C16E6D"/>
    <w:rsid w:val="00C1748D"/>
    <w:rsid w:val="00C23D3B"/>
    <w:rsid w:val="00C261F8"/>
    <w:rsid w:val="00C30C3C"/>
    <w:rsid w:val="00C32229"/>
    <w:rsid w:val="00C33100"/>
    <w:rsid w:val="00C333AE"/>
    <w:rsid w:val="00C33CC2"/>
    <w:rsid w:val="00C35908"/>
    <w:rsid w:val="00C35BA7"/>
    <w:rsid w:val="00C364DA"/>
    <w:rsid w:val="00C447E6"/>
    <w:rsid w:val="00C506B1"/>
    <w:rsid w:val="00C50CB2"/>
    <w:rsid w:val="00C51555"/>
    <w:rsid w:val="00C51F12"/>
    <w:rsid w:val="00C54C21"/>
    <w:rsid w:val="00C55413"/>
    <w:rsid w:val="00C63378"/>
    <w:rsid w:val="00C64110"/>
    <w:rsid w:val="00C64B54"/>
    <w:rsid w:val="00C66CA6"/>
    <w:rsid w:val="00C677CA"/>
    <w:rsid w:val="00C70232"/>
    <w:rsid w:val="00C718EE"/>
    <w:rsid w:val="00C7242F"/>
    <w:rsid w:val="00C7390D"/>
    <w:rsid w:val="00C754DF"/>
    <w:rsid w:val="00C75D71"/>
    <w:rsid w:val="00C7646B"/>
    <w:rsid w:val="00C77339"/>
    <w:rsid w:val="00C77715"/>
    <w:rsid w:val="00C8061B"/>
    <w:rsid w:val="00C81FB2"/>
    <w:rsid w:val="00C82BCE"/>
    <w:rsid w:val="00C83D64"/>
    <w:rsid w:val="00C840B8"/>
    <w:rsid w:val="00C862F4"/>
    <w:rsid w:val="00C86FCB"/>
    <w:rsid w:val="00C90A26"/>
    <w:rsid w:val="00C90BC0"/>
    <w:rsid w:val="00C9100D"/>
    <w:rsid w:val="00C911FE"/>
    <w:rsid w:val="00C91AA1"/>
    <w:rsid w:val="00C936FB"/>
    <w:rsid w:val="00C95D05"/>
    <w:rsid w:val="00C96986"/>
    <w:rsid w:val="00CA0680"/>
    <w:rsid w:val="00CA192A"/>
    <w:rsid w:val="00CA2FBC"/>
    <w:rsid w:val="00CA4E32"/>
    <w:rsid w:val="00CA5EBA"/>
    <w:rsid w:val="00CA761A"/>
    <w:rsid w:val="00CB044B"/>
    <w:rsid w:val="00CB056B"/>
    <w:rsid w:val="00CB088B"/>
    <w:rsid w:val="00CB3A53"/>
    <w:rsid w:val="00CB7CDD"/>
    <w:rsid w:val="00CC088A"/>
    <w:rsid w:val="00CC1B33"/>
    <w:rsid w:val="00CC2F98"/>
    <w:rsid w:val="00CC40D1"/>
    <w:rsid w:val="00CC4C6E"/>
    <w:rsid w:val="00CC6319"/>
    <w:rsid w:val="00CC79EB"/>
    <w:rsid w:val="00CD1138"/>
    <w:rsid w:val="00CD142F"/>
    <w:rsid w:val="00CD1A71"/>
    <w:rsid w:val="00CD1A91"/>
    <w:rsid w:val="00CD1FBB"/>
    <w:rsid w:val="00CD2641"/>
    <w:rsid w:val="00CD52C1"/>
    <w:rsid w:val="00CD6EB5"/>
    <w:rsid w:val="00CD744E"/>
    <w:rsid w:val="00CE0086"/>
    <w:rsid w:val="00CE0BE3"/>
    <w:rsid w:val="00CE1260"/>
    <w:rsid w:val="00CE1820"/>
    <w:rsid w:val="00CE423F"/>
    <w:rsid w:val="00CE4570"/>
    <w:rsid w:val="00CE4E90"/>
    <w:rsid w:val="00CE5D3F"/>
    <w:rsid w:val="00CF25C4"/>
    <w:rsid w:val="00CF3DE3"/>
    <w:rsid w:val="00CF3E49"/>
    <w:rsid w:val="00CF3F0B"/>
    <w:rsid w:val="00CF441F"/>
    <w:rsid w:val="00CF74CC"/>
    <w:rsid w:val="00CF7662"/>
    <w:rsid w:val="00D0105A"/>
    <w:rsid w:val="00D016B5"/>
    <w:rsid w:val="00D01D46"/>
    <w:rsid w:val="00D0206D"/>
    <w:rsid w:val="00D02B9B"/>
    <w:rsid w:val="00D034F1"/>
    <w:rsid w:val="00D06B30"/>
    <w:rsid w:val="00D0761D"/>
    <w:rsid w:val="00D111D2"/>
    <w:rsid w:val="00D134BD"/>
    <w:rsid w:val="00D17B51"/>
    <w:rsid w:val="00D21B19"/>
    <w:rsid w:val="00D21E76"/>
    <w:rsid w:val="00D226B0"/>
    <w:rsid w:val="00D23267"/>
    <w:rsid w:val="00D25BC4"/>
    <w:rsid w:val="00D263F2"/>
    <w:rsid w:val="00D27D5E"/>
    <w:rsid w:val="00D30EFA"/>
    <w:rsid w:val="00D312E0"/>
    <w:rsid w:val="00D32324"/>
    <w:rsid w:val="00D33FED"/>
    <w:rsid w:val="00D34CD9"/>
    <w:rsid w:val="00D34ED8"/>
    <w:rsid w:val="00D35303"/>
    <w:rsid w:val="00D353A3"/>
    <w:rsid w:val="00D35474"/>
    <w:rsid w:val="00D41DA7"/>
    <w:rsid w:val="00D41E38"/>
    <w:rsid w:val="00D426A3"/>
    <w:rsid w:val="00D43483"/>
    <w:rsid w:val="00D45FE8"/>
    <w:rsid w:val="00D46107"/>
    <w:rsid w:val="00D5155D"/>
    <w:rsid w:val="00D51A98"/>
    <w:rsid w:val="00D52C2D"/>
    <w:rsid w:val="00D53F01"/>
    <w:rsid w:val="00D57A45"/>
    <w:rsid w:val="00D60F02"/>
    <w:rsid w:val="00D612C3"/>
    <w:rsid w:val="00D6216C"/>
    <w:rsid w:val="00D6244B"/>
    <w:rsid w:val="00D6735F"/>
    <w:rsid w:val="00D7127A"/>
    <w:rsid w:val="00D72E30"/>
    <w:rsid w:val="00D74AB5"/>
    <w:rsid w:val="00D75049"/>
    <w:rsid w:val="00D764AD"/>
    <w:rsid w:val="00D76631"/>
    <w:rsid w:val="00D80945"/>
    <w:rsid w:val="00D82389"/>
    <w:rsid w:val="00D82B25"/>
    <w:rsid w:val="00D84572"/>
    <w:rsid w:val="00D852C7"/>
    <w:rsid w:val="00D85951"/>
    <w:rsid w:val="00D85D80"/>
    <w:rsid w:val="00D85D88"/>
    <w:rsid w:val="00D87061"/>
    <w:rsid w:val="00D906B0"/>
    <w:rsid w:val="00D923CA"/>
    <w:rsid w:val="00D93212"/>
    <w:rsid w:val="00D966F5"/>
    <w:rsid w:val="00D973A6"/>
    <w:rsid w:val="00D97698"/>
    <w:rsid w:val="00DA1F3D"/>
    <w:rsid w:val="00DA2DF0"/>
    <w:rsid w:val="00DA4853"/>
    <w:rsid w:val="00DA6CDE"/>
    <w:rsid w:val="00DA6CFE"/>
    <w:rsid w:val="00DA6EAC"/>
    <w:rsid w:val="00DA6F45"/>
    <w:rsid w:val="00DA77EF"/>
    <w:rsid w:val="00DB12AA"/>
    <w:rsid w:val="00DB3BA7"/>
    <w:rsid w:val="00DB4351"/>
    <w:rsid w:val="00DB7740"/>
    <w:rsid w:val="00DB7B5E"/>
    <w:rsid w:val="00DC02A4"/>
    <w:rsid w:val="00DC4667"/>
    <w:rsid w:val="00DC767A"/>
    <w:rsid w:val="00DC76EC"/>
    <w:rsid w:val="00DC7C33"/>
    <w:rsid w:val="00DD09F6"/>
    <w:rsid w:val="00DD1250"/>
    <w:rsid w:val="00DD2442"/>
    <w:rsid w:val="00DD3001"/>
    <w:rsid w:val="00DD36E6"/>
    <w:rsid w:val="00DD5D0B"/>
    <w:rsid w:val="00DD7499"/>
    <w:rsid w:val="00DE018C"/>
    <w:rsid w:val="00DE1D7B"/>
    <w:rsid w:val="00DE1F72"/>
    <w:rsid w:val="00DE2B5C"/>
    <w:rsid w:val="00DE2C86"/>
    <w:rsid w:val="00DE6154"/>
    <w:rsid w:val="00DE6591"/>
    <w:rsid w:val="00DE6605"/>
    <w:rsid w:val="00DE6D90"/>
    <w:rsid w:val="00DE7E13"/>
    <w:rsid w:val="00DF002F"/>
    <w:rsid w:val="00DF2BC7"/>
    <w:rsid w:val="00DF2EAF"/>
    <w:rsid w:val="00DF3A58"/>
    <w:rsid w:val="00DF4228"/>
    <w:rsid w:val="00DF57AC"/>
    <w:rsid w:val="00DF7746"/>
    <w:rsid w:val="00E004CE"/>
    <w:rsid w:val="00E0181D"/>
    <w:rsid w:val="00E01BCD"/>
    <w:rsid w:val="00E0244D"/>
    <w:rsid w:val="00E02ACF"/>
    <w:rsid w:val="00E03A3F"/>
    <w:rsid w:val="00E05587"/>
    <w:rsid w:val="00E05CC8"/>
    <w:rsid w:val="00E103B7"/>
    <w:rsid w:val="00E10F08"/>
    <w:rsid w:val="00E114C7"/>
    <w:rsid w:val="00E1235E"/>
    <w:rsid w:val="00E130F3"/>
    <w:rsid w:val="00E13FA3"/>
    <w:rsid w:val="00E1456E"/>
    <w:rsid w:val="00E14FBA"/>
    <w:rsid w:val="00E15059"/>
    <w:rsid w:val="00E1563C"/>
    <w:rsid w:val="00E1576F"/>
    <w:rsid w:val="00E15E4D"/>
    <w:rsid w:val="00E16E0D"/>
    <w:rsid w:val="00E2037A"/>
    <w:rsid w:val="00E204EC"/>
    <w:rsid w:val="00E20EA3"/>
    <w:rsid w:val="00E26361"/>
    <w:rsid w:val="00E26848"/>
    <w:rsid w:val="00E3149C"/>
    <w:rsid w:val="00E31F6C"/>
    <w:rsid w:val="00E324C0"/>
    <w:rsid w:val="00E3345C"/>
    <w:rsid w:val="00E3532A"/>
    <w:rsid w:val="00E369F7"/>
    <w:rsid w:val="00E41349"/>
    <w:rsid w:val="00E41E13"/>
    <w:rsid w:val="00E42541"/>
    <w:rsid w:val="00E43447"/>
    <w:rsid w:val="00E443A7"/>
    <w:rsid w:val="00E460E9"/>
    <w:rsid w:val="00E5210D"/>
    <w:rsid w:val="00E55134"/>
    <w:rsid w:val="00E60F18"/>
    <w:rsid w:val="00E6103B"/>
    <w:rsid w:val="00E6182B"/>
    <w:rsid w:val="00E61B6D"/>
    <w:rsid w:val="00E62610"/>
    <w:rsid w:val="00E62A78"/>
    <w:rsid w:val="00E62DA3"/>
    <w:rsid w:val="00E64052"/>
    <w:rsid w:val="00E65F32"/>
    <w:rsid w:val="00E663DD"/>
    <w:rsid w:val="00E70B2E"/>
    <w:rsid w:val="00E711A7"/>
    <w:rsid w:val="00E7557C"/>
    <w:rsid w:val="00E77407"/>
    <w:rsid w:val="00E7776C"/>
    <w:rsid w:val="00E81BFF"/>
    <w:rsid w:val="00E81D2E"/>
    <w:rsid w:val="00E81E94"/>
    <w:rsid w:val="00E82607"/>
    <w:rsid w:val="00E83E39"/>
    <w:rsid w:val="00E84D05"/>
    <w:rsid w:val="00E84D94"/>
    <w:rsid w:val="00E871C8"/>
    <w:rsid w:val="00E917F1"/>
    <w:rsid w:val="00E93B06"/>
    <w:rsid w:val="00E93FDF"/>
    <w:rsid w:val="00E958CD"/>
    <w:rsid w:val="00E961B3"/>
    <w:rsid w:val="00E966E5"/>
    <w:rsid w:val="00E97659"/>
    <w:rsid w:val="00EA0411"/>
    <w:rsid w:val="00EA151B"/>
    <w:rsid w:val="00EA426D"/>
    <w:rsid w:val="00EA5E6D"/>
    <w:rsid w:val="00EB1B85"/>
    <w:rsid w:val="00EB3414"/>
    <w:rsid w:val="00EB3E0F"/>
    <w:rsid w:val="00EB470B"/>
    <w:rsid w:val="00EB5F0C"/>
    <w:rsid w:val="00EB63BE"/>
    <w:rsid w:val="00EB77DC"/>
    <w:rsid w:val="00EC0F94"/>
    <w:rsid w:val="00EC13EF"/>
    <w:rsid w:val="00EC22AC"/>
    <w:rsid w:val="00EC3C7A"/>
    <w:rsid w:val="00EC5AFA"/>
    <w:rsid w:val="00EC6AE5"/>
    <w:rsid w:val="00EC70C8"/>
    <w:rsid w:val="00ED030A"/>
    <w:rsid w:val="00ED3A2F"/>
    <w:rsid w:val="00ED5037"/>
    <w:rsid w:val="00EE0243"/>
    <w:rsid w:val="00EE0637"/>
    <w:rsid w:val="00EE09DD"/>
    <w:rsid w:val="00EE2281"/>
    <w:rsid w:val="00EE3C40"/>
    <w:rsid w:val="00EF30C2"/>
    <w:rsid w:val="00EF351C"/>
    <w:rsid w:val="00EF45F6"/>
    <w:rsid w:val="00EF486A"/>
    <w:rsid w:val="00EF4D90"/>
    <w:rsid w:val="00EF4E9D"/>
    <w:rsid w:val="00EF7A19"/>
    <w:rsid w:val="00F01951"/>
    <w:rsid w:val="00F046DF"/>
    <w:rsid w:val="00F054EC"/>
    <w:rsid w:val="00F0766E"/>
    <w:rsid w:val="00F10B07"/>
    <w:rsid w:val="00F12AF9"/>
    <w:rsid w:val="00F12C72"/>
    <w:rsid w:val="00F12F57"/>
    <w:rsid w:val="00F133D7"/>
    <w:rsid w:val="00F15029"/>
    <w:rsid w:val="00F16A49"/>
    <w:rsid w:val="00F17DE7"/>
    <w:rsid w:val="00F20444"/>
    <w:rsid w:val="00F20867"/>
    <w:rsid w:val="00F21D00"/>
    <w:rsid w:val="00F22312"/>
    <w:rsid w:val="00F224AF"/>
    <w:rsid w:val="00F22AA1"/>
    <w:rsid w:val="00F26011"/>
    <w:rsid w:val="00F26154"/>
    <w:rsid w:val="00F26437"/>
    <w:rsid w:val="00F266DC"/>
    <w:rsid w:val="00F26854"/>
    <w:rsid w:val="00F27981"/>
    <w:rsid w:val="00F27B4E"/>
    <w:rsid w:val="00F27C60"/>
    <w:rsid w:val="00F320DF"/>
    <w:rsid w:val="00F341FA"/>
    <w:rsid w:val="00F37774"/>
    <w:rsid w:val="00F40079"/>
    <w:rsid w:val="00F411F3"/>
    <w:rsid w:val="00F443E1"/>
    <w:rsid w:val="00F4615A"/>
    <w:rsid w:val="00F477B6"/>
    <w:rsid w:val="00F50395"/>
    <w:rsid w:val="00F50C27"/>
    <w:rsid w:val="00F53F4D"/>
    <w:rsid w:val="00F541B4"/>
    <w:rsid w:val="00F54844"/>
    <w:rsid w:val="00F5502B"/>
    <w:rsid w:val="00F55B4B"/>
    <w:rsid w:val="00F64B37"/>
    <w:rsid w:val="00F669BD"/>
    <w:rsid w:val="00F66E7D"/>
    <w:rsid w:val="00F67547"/>
    <w:rsid w:val="00F67C60"/>
    <w:rsid w:val="00F67E8B"/>
    <w:rsid w:val="00F711FD"/>
    <w:rsid w:val="00F73056"/>
    <w:rsid w:val="00F7573F"/>
    <w:rsid w:val="00F75B10"/>
    <w:rsid w:val="00F76AE6"/>
    <w:rsid w:val="00F8202D"/>
    <w:rsid w:val="00F82E78"/>
    <w:rsid w:val="00F8560D"/>
    <w:rsid w:val="00F8604F"/>
    <w:rsid w:val="00F9527F"/>
    <w:rsid w:val="00F9547E"/>
    <w:rsid w:val="00FA184F"/>
    <w:rsid w:val="00FA4265"/>
    <w:rsid w:val="00FA4863"/>
    <w:rsid w:val="00FA4E25"/>
    <w:rsid w:val="00FA5A79"/>
    <w:rsid w:val="00FA5B90"/>
    <w:rsid w:val="00FB018B"/>
    <w:rsid w:val="00FB04F3"/>
    <w:rsid w:val="00FB0BFE"/>
    <w:rsid w:val="00FB1878"/>
    <w:rsid w:val="00FB1ECB"/>
    <w:rsid w:val="00FB35E2"/>
    <w:rsid w:val="00FB399E"/>
    <w:rsid w:val="00FB4C51"/>
    <w:rsid w:val="00FB54EF"/>
    <w:rsid w:val="00FB586C"/>
    <w:rsid w:val="00FB7C67"/>
    <w:rsid w:val="00FC0A4E"/>
    <w:rsid w:val="00FC5572"/>
    <w:rsid w:val="00FC5BFB"/>
    <w:rsid w:val="00FC7059"/>
    <w:rsid w:val="00FD0A2C"/>
    <w:rsid w:val="00FD0B81"/>
    <w:rsid w:val="00FD2212"/>
    <w:rsid w:val="00FD3C88"/>
    <w:rsid w:val="00FD4586"/>
    <w:rsid w:val="00FD77F6"/>
    <w:rsid w:val="00FD7F18"/>
    <w:rsid w:val="00FE0B79"/>
    <w:rsid w:val="00FE1CED"/>
    <w:rsid w:val="00FE20D9"/>
    <w:rsid w:val="00FE4CC5"/>
    <w:rsid w:val="00FE4F7E"/>
    <w:rsid w:val="00FE54FB"/>
    <w:rsid w:val="00FE5FC3"/>
    <w:rsid w:val="00FE691B"/>
    <w:rsid w:val="00FF0D3F"/>
    <w:rsid w:val="00FF1403"/>
    <w:rsid w:val="00FF1DBD"/>
    <w:rsid w:val="00FF35B7"/>
    <w:rsid w:val="00FF37C3"/>
    <w:rsid w:val="00FF38D3"/>
    <w:rsid w:val="00FF390F"/>
    <w:rsid w:val="00FF4720"/>
    <w:rsid w:val="00FF6D3A"/>
    <w:rsid w:val="00FF7077"/>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5:docId w15:val="{42B17E6E-DD0E-49FC-9ABC-9B37CBFC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uiPriority w:val="99"/>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BodyTextIndent2">
    <w:name w:val="Body Text Indent 2"/>
    <w:basedOn w:val="Normal"/>
    <w:link w:val="BodyTextIndent2Char"/>
    <w:semiHidden/>
    <w:unhideWhenUsed/>
    <w:rsid w:val="00FE4CC5"/>
    <w:pPr>
      <w:spacing w:after="120" w:line="480" w:lineRule="auto"/>
      <w:ind w:left="360"/>
    </w:pPr>
  </w:style>
  <w:style w:type="character" w:customStyle="1" w:styleId="BodyTextIndent2Char">
    <w:name w:val="Body Text Indent 2 Char"/>
    <w:basedOn w:val="DefaultParagraphFont"/>
    <w:link w:val="BodyTextIndent2"/>
    <w:semiHidden/>
    <w:rsid w:val="00FE4CC5"/>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4812">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41081191">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image" Target="media/image12.png"/><Relationship Id="rId21" Type="http://schemas.openxmlformats.org/officeDocument/2006/relationships/oleObject" Target="embeddings/oleObject1.bin"/><Relationship Id="rId34" Type="http://schemas.openxmlformats.org/officeDocument/2006/relationships/footer" Target="footer5.xml"/><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header" Target="header8.xml"/><Relationship Id="rId68"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5.bin"/><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header" Target="header6.xm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footer" Target="footer8.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8.wmf"/><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image" Target="media/image3.emf"/><Relationship Id="rId19" Type="http://schemas.openxmlformats.org/officeDocument/2006/relationships/header" Target="header5.xml"/><Relationship Id="rId31" Type="http://schemas.openxmlformats.org/officeDocument/2006/relationships/hyperlink" Target="https://magazin.asro.ro/produs/105649328/" TargetMode="External"/><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footer" Target="footer7.xml"/><Relationship Id="rId73"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footer" Target="footer6.xml"/><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wmf"/><Relationship Id="rId51" Type="http://schemas.openxmlformats.org/officeDocument/2006/relationships/image" Target="media/image24.png"/><Relationship Id="rId72" Type="http://schemas.openxmlformats.org/officeDocument/2006/relationships/header" Target="header1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header" Target="header7.xml"/><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header" Target="header10.xml"/><Relationship Id="rId20" Type="http://schemas.openxmlformats.org/officeDocument/2006/relationships/image" Target="media/image4.wmf"/><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jpeg"/><Relationship Id="rId70" Type="http://schemas.openxmlformats.org/officeDocument/2006/relationships/footer" Target="footer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E349-A113-4150-B2BB-B2584B12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0</TotalTime>
  <Pages>75</Pages>
  <Words>29261</Words>
  <Characters>169714</Characters>
  <Application>Microsoft Office Word</Application>
  <DocSecurity>0</DocSecurity>
  <Lines>1414</Lines>
  <Paragraphs>397</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198578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user</cp:lastModifiedBy>
  <cp:revision>2</cp:revision>
  <cp:lastPrinted>2019-01-18T12:44:00Z</cp:lastPrinted>
  <dcterms:created xsi:type="dcterms:W3CDTF">2019-06-18T14:08:00Z</dcterms:created>
  <dcterms:modified xsi:type="dcterms:W3CDTF">2019-06-18T14:08:00Z</dcterms:modified>
</cp:coreProperties>
</file>