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A154A" w14:textId="77777777" w:rsidR="00C1174E" w:rsidRDefault="007B7EA3">
      <w:pPr>
        <w:tabs>
          <w:tab w:val="left" w:pos="6096"/>
        </w:tabs>
        <w:jc w:val="center"/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NOTĂ DE FUNDAMENTARE</w:t>
      </w:r>
    </w:p>
    <w:p w14:paraId="604F99F6" w14:textId="77777777" w:rsidR="00C1174E" w:rsidRDefault="00C1174E">
      <w:pPr>
        <w:tabs>
          <w:tab w:val="left" w:pos="6096"/>
        </w:tabs>
        <w:jc w:val="center"/>
        <w:rPr>
          <w:rFonts w:ascii="Trebuchet MS" w:eastAsia="Trebuchet MS" w:hAnsi="Trebuchet MS" w:cs="Trebuchet MS"/>
          <w:b/>
          <w:sz w:val="22"/>
          <w:szCs w:val="22"/>
        </w:rPr>
      </w:pPr>
    </w:p>
    <w:p w14:paraId="68D269A7" w14:textId="77777777" w:rsidR="00C1174E" w:rsidRDefault="007B7EA3">
      <w:pPr>
        <w:numPr>
          <w:ilvl w:val="0"/>
          <w:numId w:val="2"/>
        </w:numPr>
        <w:ind w:left="360"/>
        <w:jc w:val="center"/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Titlul proiectului de act normativ</w:t>
      </w:r>
    </w:p>
    <w:tbl>
      <w:tblPr>
        <w:tblStyle w:val="a"/>
        <w:tblW w:w="945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C1174E" w14:paraId="13D91285" w14:textId="77777777"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C0C19" w14:textId="77777777" w:rsidR="00C1174E" w:rsidRDefault="007B7EA3">
            <w:pPr>
              <w:jc w:val="both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Ordonanță de urgență pentru modificarea și completarea Ordonanței Guvernului nr. 37/2007 privind stabilirea cadrului de aplicare a regulilor privind perioadele de conducere, pauzele și perioadele de odihnă ale conducătorilor auto și utilizarea aparatelor d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e înregistrare a activității acestora</w:t>
            </w:r>
          </w:p>
        </w:tc>
      </w:tr>
    </w:tbl>
    <w:p w14:paraId="09A8407A" w14:textId="77777777" w:rsidR="00C1174E" w:rsidRDefault="00C1174E">
      <w:pPr>
        <w:spacing w:line="360" w:lineRule="auto"/>
        <w:rPr>
          <w:rFonts w:ascii="Trebuchet MS" w:eastAsia="Trebuchet MS" w:hAnsi="Trebuchet MS" w:cs="Trebuchet MS"/>
          <w:b/>
          <w:sz w:val="16"/>
          <w:szCs w:val="16"/>
        </w:rPr>
      </w:pPr>
    </w:p>
    <w:p w14:paraId="16BE38BA" w14:textId="77777777" w:rsidR="00C1174E" w:rsidRDefault="007B7E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Motivele emiterii actului normativ</w:t>
      </w:r>
    </w:p>
    <w:tbl>
      <w:tblPr>
        <w:tblStyle w:val="a0"/>
        <w:tblW w:w="9427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7470"/>
      </w:tblGrid>
      <w:tr w:rsidR="00C1174E" w14:paraId="5FF52CBB" w14:textId="77777777">
        <w:trPr>
          <w:trHeight w:val="1151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2F816" w14:textId="77777777" w:rsidR="00C1174E" w:rsidRDefault="007B7EA3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1. Descrierea situației actuale</w:t>
            </w:r>
          </w:p>
          <w:p w14:paraId="13442688" w14:textId="77777777" w:rsidR="00C1174E" w:rsidRDefault="00C1174E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3886EE46" w14:textId="77777777" w:rsidR="00C1174E" w:rsidRDefault="00C1174E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2B6FB61E" w14:textId="77777777" w:rsidR="00C1174E" w:rsidRDefault="00C1174E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77AA69B2" w14:textId="77777777" w:rsidR="00C1174E" w:rsidRDefault="00C1174E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5FA5D8D5" w14:textId="77777777" w:rsidR="00C1174E" w:rsidRDefault="00C1174E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787C574A" w14:textId="77777777" w:rsidR="00C1174E" w:rsidRDefault="00C1174E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552DB202" w14:textId="77777777" w:rsidR="00C1174E" w:rsidRDefault="007B7EA3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</w:p>
          <w:p w14:paraId="5512E7F1" w14:textId="77777777" w:rsidR="00C1174E" w:rsidRDefault="00C1174E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5158F3FF" w14:textId="77777777" w:rsidR="00C1174E" w:rsidRDefault="00C1174E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5C95699B" w14:textId="77777777" w:rsidR="00C1174E" w:rsidRDefault="00C1174E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6B0155B1" w14:textId="77777777" w:rsidR="00C1174E" w:rsidRDefault="00C1174E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2D416734" w14:textId="77777777" w:rsidR="00C1174E" w:rsidRDefault="00C1174E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41211221" w14:textId="77777777" w:rsidR="00C1174E" w:rsidRDefault="00C1174E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2CC14678" w14:textId="77777777" w:rsidR="00C1174E" w:rsidRDefault="00C1174E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0DB93234" w14:textId="77777777" w:rsidR="00C1174E" w:rsidRDefault="00C1174E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14C7A8BE" w14:textId="77777777" w:rsidR="00C1174E" w:rsidRDefault="00C1174E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4AA14F2C" w14:textId="77777777" w:rsidR="00C1174E" w:rsidRDefault="00C1174E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29673622" w14:textId="77777777" w:rsidR="00C1174E" w:rsidRDefault="00C1174E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48672" w14:textId="77777777" w:rsidR="00C1174E" w:rsidRDefault="007B7EA3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Regulamentul (UE) 2020/1054 al Parlamentului European și al Consiliului din 15 iulie 2020 de modificare a Regulamentului (CE) nr. 561/2006 în ceea ce privește cerințele minime referitoare la duratele de conducere zilnice și săptămânale maxime, pauzele mini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me și perioadele de repaus zilnic și săptămânal și a Regulamentului (UE) nr. 165/2014 în ceea ce privește poziționarea prin intermediul tahografelor a fost publicat în Jurnalul Oficial al Uniunii Europene nr. 249 din data de 31 iulie 2020. </w:t>
            </w:r>
          </w:p>
          <w:p w14:paraId="17F6CA4A" w14:textId="77777777" w:rsidR="00C1174E" w:rsidRDefault="007B7EA3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Regulamentul (U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E) 2020/1054 face parte din inițiativele legislative ale Comisiei cuprinse în pachetul Mobilitate I și intră în vigoare în a douăzecea zi de la data publicării, cu excepția articolului 1 punctul 15 și a articolului 2 punctul 12, care se aplică de la 31 dec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embrie 2024.</w:t>
            </w:r>
          </w:p>
          <w:p w14:paraId="71BB2A8F" w14:textId="77777777" w:rsidR="00C1174E" w:rsidRDefault="007B7EA3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Regulamentul (UE) 2020/1054 modifică o serie de prevederi din legislația UE în vigoare (Regulamentul (CE) nr. 561/2006</w:t>
            </w:r>
            <w:r>
              <w:t xml:space="preserve"> și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Regulamentul (UE) nr. 165/2014), care vizează următoarele: activitatea conducătorilor auto, respectiv perioadele de condu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cere, pauzele și perioadele de repaus, înregistrarea acestor activități de către conducătorul auto cu ajutorul tahografelor digitale și al tahografelor inteligente, organizarea activității conducătorilor auto de către întreprinderi/operatorii de transport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rutier.  </w:t>
            </w:r>
          </w:p>
          <w:p w14:paraId="345C9A33" w14:textId="77777777" w:rsidR="00C1174E" w:rsidRDefault="007B7EA3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În acest context este necesară asigurarea imediată la nivel național a cadrului de aplicare a Regulamentului (UE) 2020/1054 care, pentru domeniul reglementat de acesta, este reprezentat la nivelul legislației primare de Ordonanța Guvernului nr. 3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7/2007 privind stabilirea cadrului de aplicare a regulilor privind perioadele de conducere, pauzele și perioadele de odihnă ale conducătorilor auto și utilizarea aparatelor de înregistrare a activității acestora, cu modificările și completările ulterioare.</w:t>
            </w:r>
          </w:p>
          <w:p w14:paraId="5F945FE1" w14:textId="77777777" w:rsidR="00C1174E" w:rsidRDefault="007B7EA3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Regulamentul (UE) 2016/403 al Comisiei din 18 martie 2016 de completare a Regulamentului (CE) nr. 1071/2009 al Parlamentului European și al Consiliului în ceea ce privește clasificarea încălcărilor grave ale normelor Uniunii, care pot determina pierderea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de către un operator de transport rutier a bunei reputații și de modificare a anexei III la Directiva 2006/22/CE a Parlamentului European și a Consiliului stabilește în anexa I o listă comună a categoriilor, a tipurilor și a gradelor de gravitate ale încăl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cărilor grave ale normelor Uniunii în materie de transport rutier comercial, care, în plus față de încălcările prevăzute în anexa IV la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lastRenderedPageBreak/>
              <w:t>Regulamentul (CE) nr. 1071/2009, pot determina pierderea bunei reputații a unui operator de transport rutier.</w:t>
            </w:r>
          </w:p>
          <w:p w14:paraId="5A2F3445" w14:textId="77777777" w:rsidR="00C1174E" w:rsidRDefault="007B7EA3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În prezent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, anumite încălcări prevăzute în clasificarea încălcărilor din Regulamentul (UE) 2016/403 nu se regăsesc în cuprinsul OG nr. 37/2007, fiind necesară introducerea acestora în cuprinsul ordonanței.</w:t>
            </w:r>
          </w:p>
        </w:tc>
      </w:tr>
      <w:tr w:rsidR="00C1174E" w14:paraId="624F849C" w14:textId="77777777">
        <w:trPr>
          <w:trHeight w:val="1151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1F0D3" w14:textId="77777777" w:rsidR="00C1174E" w:rsidRDefault="007B7EA3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lastRenderedPageBreak/>
              <w:t>1</w:t>
            </w:r>
            <w:r>
              <w:rPr>
                <w:rFonts w:ascii="Trebuchet MS" w:eastAsia="Trebuchet MS" w:hAnsi="Trebuchet MS" w:cs="Trebuchet MS"/>
                <w:sz w:val="22"/>
                <w:szCs w:val="22"/>
                <w:vertAlign w:val="superscript"/>
              </w:rPr>
              <w:t>1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. În cazul proiectelor de acte normative care transpun legislație a Uniunii Europene sau creează cadrul pentru aplicarea directă a acesteia, se vor specifica doar actele Uniunii Europene în cauză, însoțite de elementele de identificare ale acestora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0C843" w14:textId="77777777" w:rsidR="00C1174E" w:rsidRDefault="007B7EA3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Proiect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ul de act normativ stabilește cadrul de aplicare a prevederilor Regulamentului (UE) 2020/1054 al Parlamentului European și al Consiliului din 15 iulie 2020 de modificare a Regulamentului (CE) nr. 561/2006 în ceea ce privește cerințele minime referitoare la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duratele de conducere zilnice și săptămânale maxime, pauzele minime și perioadele de repaus zilnic și săptămânal și a Regulamentului (UE) nr. 165/2014 în ceea ce privește poziționarea prin intermediul tahografelor.</w:t>
            </w:r>
          </w:p>
        </w:tc>
      </w:tr>
      <w:tr w:rsidR="00C1174E" w14:paraId="1EB49385" w14:textId="77777777">
        <w:trPr>
          <w:trHeight w:val="77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F3F72" w14:textId="77777777" w:rsidR="00C1174E" w:rsidRDefault="007B7EA3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2. Schimbări preconizate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1CC09" w14:textId="77777777" w:rsidR="00C1174E" w:rsidRDefault="007B7EA3">
            <w:pPr>
              <w:tabs>
                <w:tab w:val="left" w:pos="271"/>
              </w:tabs>
              <w:spacing w:line="240" w:lineRule="auto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Prin prezentul proiect de Ordonanță de Urgență se urmărește</w:t>
            </w: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</w:t>
            </w:r>
            <w: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stabilirea cadrului de aplicare a prevederilor Regulamentului (UE) 2020/1054, în principal prin introducerea în cuprinsul OG nr. 37/2007 a încălcărilor privind nerespectarea noilor dispoziții ad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optate prin regulament și stabilirea sancțiunilor contravenționale corespunzătoare.</w:t>
            </w:r>
          </w:p>
          <w:p w14:paraId="4C0D4405" w14:textId="77777777" w:rsidR="00C1174E" w:rsidRDefault="007B7EA3">
            <w:pPr>
              <w:tabs>
                <w:tab w:val="left" w:pos="271"/>
              </w:tabs>
              <w:spacing w:line="240" w:lineRule="auto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De asemenea, prin proiect se are în vedere și corelarea clasificării unor încălcări prevăzute în Ordonanța Guvernului nr. 37/2007 cu clasificarea încălcărilor legislației s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ociale în transportul rutier, prevăzută în Regulamentul (UE) 2016/403 al Comisiei din 18 martie 2016 de completare a Regulamentului (CE) nr. 1071/2009 al Parlamentului European și al Consiliului în ceea ce privește clasificarea încălcărilor grave ale norme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lor Uniunii, care pot determina pierderea de către un operator de transport rutier a bunei reputații și de modificare a anexei III la Directiva 2006/22/CE a Parlamentului European și a Consiliului, motiv pentru care au fost introduse anumite încălcări noi.</w:t>
            </w:r>
          </w:p>
          <w:p w14:paraId="33F749FC" w14:textId="77777777" w:rsidR="00C1174E" w:rsidRDefault="007B7EA3">
            <w:pPr>
              <w:tabs>
                <w:tab w:val="left" w:pos="271"/>
              </w:tabs>
              <w:spacing w:line="240" w:lineRule="auto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Astfel, proiectul de act normativ cuprinde următoarele modificări și completări la OG nr. 37/2007:</w:t>
            </w:r>
          </w:p>
          <w:p w14:paraId="30DE1E0B" w14:textId="77777777" w:rsidR="00C1174E" w:rsidRDefault="007B7E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în partea introductivă a OG nr. 37/2007 a fost introdus în text Regulamentul (UE) 2020/1054, alături de celelalte acte pentru care ordonanța asigură cadrul de aplicare;</w:t>
            </w:r>
          </w:p>
          <w:p w14:paraId="54334923" w14:textId="77777777" w:rsidR="00C1174E" w:rsidRDefault="007B7E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în aplicarea art. 10 alin. (3) din Regulamentul (CE) nr. 561/2006 și a art. 33 alin. (3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) din Regulamentul (UE) nr. 165/2014, s-a introdus o prevedere, pentru claritatea normei de aplicare, în sensul în care întreprinderea/operatorul de transport rutier răspunde pentru încălcările comise de către conducătorii auto angajați sau puși la dispozi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ț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ie, chiar dacă aceste încălcări au fost comise pe teritoriul unui alt stat membru sau al unei țări terțe, în cazul în care nu a respectat obligațiile care îi revin în conformitate cu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lastRenderedPageBreak/>
              <w:t>prevederile art. 10 alin. (1) și (2) din Regulamentul CE nr. 561/2006 și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 ale art. 33 alin. (1) și (2) din Regulamentul (UE) nr. 165/2014;</w:t>
            </w:r>
          </w:p>
          <w:p w14:paraId="4E89A5F2" w14:textId="77777777" w:rsidR="00C1174E" w:rsidRDefault="007B7E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s-a introdus o prevedere prin care se clarifică sensul expresiilor „diagramă tahografică” și „cartela tahografică”, prevăzute în OG nr. 37/2007, raportat la expresiile „foaia de înregistrare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” și „cardul de conducător auto” prevăzute de Regulamentul UE nr. 165/2014 și a fost stabilită o terminologie unitară în tot cuprinsul actului normativ pentru noțiunea de „tahograf/aparatură de înregistrare”;</w:t>
            </w:r>
          </w:p>
          <w:p w14:paraId="11B013C7" w14:textId="77777777" w:rsidR="00C1174E" w:rsidRDefault="007B7E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a fost introdus art. </w:t>
            </w:r>
            <w:r>
              <w:rPr>
                <w:rFonts w:ascii="Trebuchet MS" w:eastAsia="Trebuchet MS" w:hAnsi="Trebuchet MS" w:cs="Trebuchet MS"/>
                <w:color w:val="000000"/>
              </w:rPr>
              <w:t>3</w:t>
            </w:r>
            <w:r>
              <w:rPr>
                <w:rFonts w:ascii="Trebuchet MS" w:eastAsia="Trebuchet MS" w:hAnsi="Trebuchet MS" w:cs="Trebuchet MS"/>
                <w:color w:val="000000"/>
                <w:vertAlign w:val="superscript"/>
              </w:rPr>
              <w:t>1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, pentru claritatea text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ului, în privința temeiului legal pentru modificarea ulterioară a actelor normative indicate, aspect rezultat inclusiv din observațiile anterioare transmise de Ministerul Justiției în contextul unor modificări legislative la HG nr. 899/2003 privind stabili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rea condițiilor referitoare la aprobarea de model pentru aparatul de control in transporturile rutiere, la omologarea de tip a limitatoarelor de viteza, precum si a condițiilor de montare, reparare, reglare si verificare a aparatelor de control in transpor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turile rutiere si a limitatoarelor de viteza;</w:t>
            </w:r>
          </w:p>
          <w:p w14:paraId="2AF36B1F" w14:textId="77777777" w:rsidR="00C1174E" w:rsidRDefault="007B7E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au fost stabilite încălcările prevederilor introduse prin noul Regulament, au fost introduse anumite încălcări cuprinse în clasificarea încălcărilor, prevăzută în Regulamentul (UE) 2016/403 al Comisiei prin mod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ificarea și completarea art. 8 din OG nr. 37/2007 și au fost actualizate corespunzător sancțiunile contravenționale prevăzute la art. 9 din OG nr. 37/2007;</w:t>
            </w:r>
          </w:p>
          <w:p w14:paraId="57615615" w14:textId="77777777" w:rsidR="00C1174E" w:rsidRDefault="007B7E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a fost mărit cuantumul amenzii contravenționale pentru fapta prevăzută la art. 8 alin. (3) lit. lit.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 z), de la 600 lei - 1.000 lei, la 2000 lei - 4.000 lei, care se aplică atelierului autorizat, pentru corelare cu amenzile similare aplicate de RAR atelierelor auto;</w:t>
            </w:r>
          </w:p>
          <w:p w14:paraId="4C304AF4" w14:textId="77777777" w:rsidR="00C1174E" w:rsidRDefault="007B7E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la art. 9, alin. (4) a fost introdus și personalul cu atribuții de control din cadrul Regi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strului Auto Român, care aplică sancțiunile contravenționale în cazul atelierelor autorizate;</w:t>
            </w:r>
          </w:p>
          <w:p w14:paraId="73B85EFC" w14:textId="77777777" w:rsidR="00C1174E" w:rsidRDefault="007B7E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a fost introdusă o prevedere, pentru claritatea aplicării, potrivit căreia deținătorul autovehiculului suportă costurile verificării de către atelierele autorizat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e pentru instalarea, repararea sau inspecția tahografelor ori a limitatoarelor de viteză a integrității aparaturii de înregistrare, urmare solicitării agentului constatator; de asemenea, dacă în urma verificării nu se constată că integritatea tahografului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a fost afectată, costurile verificării se suportă de către Inspectoratul de Stat pentru Controlul în Transportul Rutier;</w:t>
            </w:r>
          </w:p>
          <w:p w14:paraId="0320DC6A" w14:textId="77777777" w:rsidR="00C1174E" w:rsidRDefault="007B7E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au fost introduse prevederi care menționează o serie de aspecte ce vor fi incluse obligatoriu în actualizarea Normelor metodologice, pr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ivind activitatea de control al respectării perioadelor de conducere, pauzelor și perioadelor de odihnă ale conducătorilor auto </w:t>
            </w:r>
            <w:proofErr w:type="spellStart"/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şi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 al utilizării aparatelor de înregistrare a activității acestora, aprobate prin Ordinul ministrului transporturilor nr. 1058/2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007, pentru a se asigura o aplicare clară și unitară a prevederilor din OG 37/2007.</w:t>
            </w:r>
          </w:p>
        </w:tc>
      </w:tr>
      <w:tr w:rsidR="00C1174E" w14:paraId="6F286D44" w14:textId="77777777">
        <w:trPr>
          <w:trHeight w:val="77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C13F6" w14:textId="77777777" w:rsidR="00C1174E" w:rsidRDefault="007B7EA3">
            <w:pPr>
              <w:spacing w:before="120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lastRenderedPageBreak/>
              <w:t>3. Alte informații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68926" w14:textId="77777777" w:rsidR="00C1174E" w:rsidRDefault="007B7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Nu au fost identificate</w:t>
            </w:r>
          </w:p>
        </w:tc>
      </w:tr>
    </w:tbl>
    <w:p w14:paraId="7CF4AA35" w14:textId="77777777" w:rsidR="00C1174E" w:rsidRDefault="00C1174E">
      <w:pPr>
        <w:spacing w:line="360" w:lineRule="auto"/>
        <w:rPr>
          <w:rFonts w:ascii="Trebuchet MS" w:eastAsia="Trebuchet MS" w:hAnsi="Trebuchet MS" w:cs="Trebuchet MS"/>
          <w:b/>
          <w:sz w:val="16"/>
          <w:szCs w:val="16"/>
        </w:rPr>
      </w:pPr>
    </w:p>
    <w:p w14:paraId="5132B1A8" w14:textId="77777777" w:rsidR="00C1174E" w:rsidRDefault="00C1174E">
      <w:pPr>
        <w:spacing w:line="360" w:lineRule="auto"/>
        <w:rPr>
          <w:rFonts w:ascii="Trebuchet MS" w:eastAsia="Trebuchet MS" w:hAnsi="Trebuchet MS" w:cs="Trebuchet MS"/>
          <w:b/>
          <w:sz w:val="16"/>
          <w:szCs w:val="16"/>
        </w:rPr>
      </w:pPr>
    </w:p>
    <w:p w14:paraId="20D6645B" w14:textId="77777777" w:rsidR="00C1174E" w:rsidRDefault="00C1174E">
      <w:pPr>
        <w:spacing w:line="360" w:lineRule="auto"/>
        <w:rPr>
          <w:rFonts w:ascii="Trebuchet MS" w:eastAsia="Trebuchet MS" w:hAnsi="Trebuchet MS" w:cs="Trebuchet MS"/>
          <w:b/>
          <w:sz w:val="16"/>
          <w:szCs w:val="16"/>
        </w:rPr>
      </w:pPr>
    </w:p>
    <w:p w14:paraId="5BD4C73B" w14:textId="77777777" w:rsidR="00C1174E" w:rsidRDefault="007B7EA3">
      <w:pPr>
        <w:spacing w:line="360" w:lineRule="auto"/>
        <w:jc w:val="center"/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lastRenderedPageBreak/>
        <w:t xml:space="preserve">3. Impactul </w:t>
      </w:r>
      <w:proofErr w:type="spellStart"/>
      <w:r>
        <w:rPr>
          <w:rFonts w:ascii="Trebuchet MS" w:eastAsia="Trebuchet MS" w:hAnsi="Trebuchet MS" w:cs="Trebuchet MS"/>
          <w:b/>
          <w:sz w:val="22"/>
          <w:szCs w:val="22"/>
        </w:rPr>
        <w:t>socio</w:t>
      </w:r>
      <w:proofErr w:type="spellEnd"/>
      <w:r>
        <w:rPr>
          <w:rFonts w:ascii="Trebuchet MS" w:eastAsia="Trebuchet MS" w:hAnsi="Trebuchet MS" w:cs="Trebuchet MS"/>
          <w:b/>
          <w:sz w:val="22"/>
          <w:szCs w:val="22"/>
        </w:rPr>
        <w:t xml:space="preserve"> - economic al proiectului de act normativ</w:t>
      </w:r>
    </w:p>
    <w:tbl>
      <w:tblPr>
        <w:tblStyle w:val="a1"/>
        <w:tblW w:w="9456" w:type="dxa"/>
        <w:tblInd w:w="-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7470"/>
      </w:tblGrid>
      <w:tr w:rsidR="00C1174E" w14:paraId="30A695F0" w14:textId="77777777">
        <w:trPr>
          <w:trHeight w:val="28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C09EA" w14:textId="77777777" w:rsidR="00C1174E" w:rsidRDefault="007B7EA3">
            <w:pPr>
              <w:spacing w:before="120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1. Impactul macroeconomic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50390" w14:textId="77777777" w:rsidR="00C1174E" w:rsidRDefault="007B7EA3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Proiectul de act normativ nu se referă la acest domeniu.</w:t>
            </w:r>
          </w:p>
        </w:tc>
      </w:tr>
      <w:tr w:rsidR="00C1174E" w14:paraId="575F7AC8" w14:textId="77777777">
        <w:trPr>
          <w:trHeight w:val="72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2DDE0" w14:textId="77777777" w:rsidR="00C1174E" w:rsidRDefault="007B7EA3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</w:t>
            </w:r>
            <w:r>
              <w:rPr>
                <w:rFonts w:ascii="Trebuchet MS" w:eastAsia="Trebuchet MS" w:hAnsi="Trebuchet MS" w:cs="Trebuchet MS"/>
                <w:sz w:val="22"/>
                <w:szCs w:val="22"/>
                <w:vertAlign w:val="superscript"/>
              </w:rPr>
              <w:t>1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.Impactul asupra mediului concurențial si domeniului ajutoarelor de stat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ab/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68B02" w14:textId="77777777" w:rsidR="00C1174E" w:rsidRDefault="007B7EA3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Proiectul de act normativ nu se referă la acest domeniu.</w:t>
            </w:r>
          </w:p>
        </w:tc>
      </w:tr>
      <w:tr w:rsidR="00C1174E" w14:paraId="6A21D815" w14:textId="77777777">
        <w:trPr>
          <w:trHeight w:val="552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63E33" w14:textId="77777777" w:rsidR="00C1174E" w:rsidRDefault="007B7EA3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2. Impactul asupra mediului de afaceri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CE172" w14:textId="77777777" w:rsidR="00C1174E" w:rsidRDefault="007B7EA3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Proiectul de act normativ nu se referă la acest domeniu.</w:t>
            </w:r>
          </w:p>
        </w:tc>
      </w:tr>
      <w:tr w:rsidR="00C1174E" w14:paraId="465EA77D" w14:textId="77777777">
        <w:trPr>
          <w:trHeight w:val="28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B9FA1" w14:textId="77777777" w:rsidR="00C1174E" w:rsidRDefault="007B7EA3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2</w:t>
            </w:r>
            <w:r>
              <w:rPr>
                <w:rFonts w:ascii="Trebuchet MS" w:eastAsia="Trebuchet MS" w:hAnsi="Trebuchet MS" w:cs="Trebuchet MS"/>
                <w:sz w:val="22"/>
                <w:szCs w:val="22"/>
                <w:vertAlign w:val="superscript"/>
              </w:rPr>
              <w:t>1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. Impactul asupra sarcinilor administrative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7C2F2" w14:textId="77777777" w:rsidR="00C1174E" w:rsidRDefault="007B7EA3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Proiectul de act normativ nu se referă la acest domeniu.</w:t>
            </w:r>
          </w:p>
        </w:tc>
      </w:tr>
      <w:tr w:rsidR="00C1174E" w14:paraId="7141C4F3" w14:textId="77777777">
        <w:trPr>
          <w:trHeight w:val="17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C3DA1" w14:textId="77777777" w:rsidR="00C1174E" w:rsidRDefault="007B7EA3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2</w:t>
            </w:r>
            <w:r>
              <w:rPr>
                <w:rFonts w:ascii="Trebuchet MS" w:eastAsia="Trebuchet MS" w:hAnsi="Trebuchet MS" w:cs="Trebuchet MS"/>
                <w:sz w:val="22"/>
                <w:szCs w:val="22"/>
                <w:vertAlign w:val="superscript"/>
              </w:rPr>
              <w:t>2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. Impactul asupra întreprinderilor mici si mijlocii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50D72" w14:textId="77777777" w:rsidR="00C1174E" w:rsidRDefault="007B7EA3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Proiectul de act normativ nu se referă la acest domeniu.</w:t>
            </w:r>
          </w:p>
        </w:tc>
      </w:tr>
      <w:tr w:rsidR="00C1174E" w14:paraId="00AA2A68" w14:textId="77777777">
        <w:trPr>
          <w:trHeight w:val="28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D85C2" w14:textId="77777777" w:rsidR="00C1174E" w:rsidRDefault="007B7EA3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3. Impactul social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1111D" w14:textId="77777777" w:rsidR="00C1174E" w:rsidRDefault="007B7EA3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Proiectul de act normativ nu se referă la acest domeniu.</w:t>
            </w:r>
          </w:p>
        </w:tc>
      </w:tr>
      <w:tr w:rsidR="00C1174E" w14:paraId="250AD3D4" w14:textId="77777777">
        <w:trPr>
          <w:trHeight w:val="43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989FA" w14:textId="77777777" w:rsidR="00C1174E" w:rsidRDefault="007B7EA3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4. Impactul asupra mediului 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ab/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EFADE" w14:textId="77777777" w:rsidR="00C1174E" w:rsidRDefault="007B7EA3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Proiectul de act normativ nu se referă la acest domeniu.</w:t>
            </w:r>
          </w:p>
        </w:tc>
      </w:tr>
      <w:tr w:rsidR="00C1174E" w14:paraId="00C6C07D" w14:textId="77777777">
        <w:trPr>
          <w:trHeight w:val="27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D3E8D" w14:textId="77777777" w:rsidR="00C1174E" w:rsidRDefault="007B7EA3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5. Alte informații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570D8" w14:textId="77777777" w:rsidR="00C1174E" w:rsidRDefault="007B7EA3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Nu au fost identificate</w:t>
            </w:r>
          </w:p>
        </w:tc>
      </w:tr>
    </w:tbl>
    <w:p w14:paraId="63D3251B" w14:textId="77777777" w:rsidR="00C1174E" w:rsidRDefault="00C1174E">
      <w:pPr>
        <w:jc w:val="center"/>
        <w:rPr>
          <w:rFonts w:ascii="Trebuchet MS" w:eastAsia="Trebuchet MS" w:hAnsi="Trebuchet MS" w:cs="Trebuchet MS"/>
          <w:b/>
          <w:sz w:val="22"/>
          <w:szCs w:val="22"/>
        </w:rPr>
      </w:pPr>
    </w:p>
    <w:p w14:paraId="36436D04" w14:textId="77777777" w:rsidR="00C1174E" w:rsidRDefault="007B7EA3">
      <w:pPr>
        <w:jc w:val="center"/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4. Impactul financiar asupra bugetului de stat consolidat,  atât pe termen scurt, pentru anul curent, cât și pe termen lung (pe 5 ani)</w:t>
      </w:r>
    </w:p>
    <w:tbl>
      <w:tblPr>
        <w:tblStyle w:val="a2"/>
        <w:tblW w:w="942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6"/>
        <w:gridCol w:w="810"/>
        <w:gridCol w:w="811"/>
        <w:gridCol w:w="899"/>
        <w:gridCol w:w="810"/>
        <w:gridCol w:w="769"/>
        <w:gridCol w:w="679"/>
        <w:gridCol w:w="1882"/>
      </w:tblGrid>
      <w:tr w:rsidR="00C1174E" w14:paraId="7CD73B78" w14:textId="77777777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A04E0" w14:textId="77777777" w:rsidR="00C1174E" w:rsidRDefault="007B7EA3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Indicatori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D7B9" w14:textId="77777777" w:rsidR="00C1174E" w:rsidRDefault="007B7EA3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An curent</w:t>
            </w: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59F95" w14:textId="77777777" w:rsidR="00C1174E" w:rsidRDefault="007B7EA3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Următorii 5 ani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80CFE" w14:textId="77777777" w:rsidR="00C1174E" w:rsidRDefault="007B7EA3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Media următorilor 5 ani, după anul curent</w:t>
            </w:r>
          </w:p>
        </w:tc>
      </w:tr>
      <w:tr w:rsidR="00C1174E" w14:paraId="2FBCE324" w14:textId="77777777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16A92" w14:textId="77777777" w:rsidR="00C1174E" w:rsidRDefault="00C1174E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2462A" w14:textId="77777777" w:rsidR="00C1174E" w:rsidRDefault="007B7EA3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2020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AC560" w14:textId="77777777" w:rsidR="00C1174E" w:rsidRDefault="007B7EA3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2021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2C121" w14:textId="77777777" w:rsidR="00C1174E" w:rsidRDefault="007B7EA3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2022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7CCE1" w14:textId="77777777" w:rsidR="00C1174E" w:rsidRDefault="007B7EA3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2023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BAEED" w14:textId="77777777" w:rsidR="00C1174E" w:rsidRDefault="007B7EA3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2024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961D" w14:textId="77777777" w:rsidR="00C1174E" w:rsidRDefault="007B7EA3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2025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58C1D" w14:textId="77777777" w:rsidR="00C1174E" w:rsidRDefault="00C1174E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C1174E" w14:paraId="0D0EAEF5" w14:textId="77777777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2B52A" w14:textId="77777777" w:rsidR="00C1174E" w:rsidRDefault="007B7EA3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1.Modificări ale veniturilor bugetare, plus/minus, din care:</w:t>
            </w:r>
          </w:p>
          <w:p w14:paraId="71CD16D6" w14:textId="77777777" w:rsidR="00C1174E" w:rsidRDefault="007B7EA3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a)bugetul de stat, din acesta:</w:t>
            </w:r>
          </w:p>
          <w:p w14:paraId="63F1FAAA" w14:textId="77777777" w:rsidR="00C1174E" w:rsidRDefault="007B7EA3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-impozit pe profit</w:t>
            </w:r>
          </w:p>
          <w:p w14:paraId="552A2D63" w14:textId="77777777" w:rsidR="00C1174E" w:rsidRDefault="007B7EA3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-impozit pe venit</w:t>
            </w:r>
          </w:p>
          <w:p w14:paraId="4E1C22CE" w14:textId="77777777" w:rsidR="00C1174E" w:rsidRDefault="007B7EA3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lastRenderedPageBreak/>
              <w:t>b)bugete locale:</w:t>
            </w:r>
          </w:p>
          <w:p w14:paraId="28700BA2" w14:textId="77777777" w:rsidR="00C1174E" w:rsidRDefault="007B7EA3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-impozit pe profit</w:t>
            </w:r>
          </w:p>
          <w:p w14:paraId="6D7B14AC" w14:textId="77777777" w:rsidR="00C1174E" w:rsidRDefault="007B7EA3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c)bugetul asigurărilor sociale</w:t>
            </w:r>
          </w:p>
          <w:p w14:paraId="25D50DFC" w14:textId="77777777" w:rsidR="00C1174E" w:rsidRDefault="007B7EA3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-contribuții de asigurări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64DFE" w14:textId="77777777" w:rsidR="00C1174E" w:rsidRDefault="00C1174E">
            <w:pPr>
              <w:jc w:val="center"/>
              <w:rPr>
                <w:rFonts w:ascii="Trebuchet MS" w:eastAsia="Trebuchet MS" w:hAnsi="Trebuchet MS" w:cs="Trebuchet MS"/>
                <w:i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AF41F" w14:textId="77777777" w:rsidR="00C1174E" w:rsidRDefault="00C1174E">
            <w:pPr>
              <w:jc w:val="center"/>
              <w:rPr>
                <w:rFonts w:ascii="Trebuchet MS" w:eastAsia="Trebuchet MS" w:hAnsi="Trebuchet MS" w:cs="Trebuchet MS"/>
                <w:i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42401" w14:textId="77777777" w:rsidR="00C1174E" w:rsidRDefault="00C1174E">
            <w:pPr>
              <w:jc w:val="center"/>
              <w:rPr>
                <w:rFonts w:ascii="Trebuchet MS" w:eastAsia="Trebuchet MS" w:hAnsi="Trebuchet MS" w:cs="Trebuchet MS"/>
                <w:i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5EC92" w14:textId="77777777" w:rsidR="00C1174E" w:rsidRDefault="00C1174E">
            <w:pPr>
              <w:jc w:val="center"/>
              <w:rPr>
                <w:rFonts w:ascii="Trebuchet MS" w:eastAsia="Trebuchet MS" w:hAnsi="Trebuchet MS" w:cs="Trebuchet MS"/>
                <w:i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144FA" w14:textId="77777777" w:rsidR="00C1174E" w:rsidRDefault="00C1174E">
            <w:pPr>
              <w:jc w:val="center"/>
              <w:rPr>
                <w:rFonts w:ascii="Trebuchet MS" w:eastAsia="Trebuchet MS" w:hAnsi="Trebuchet MS" w:cs="Trebuchet MS"/>
                <w:i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FFD8B" w14:textId="77777777" w:rsidR="00C1174E" w:rsidRDefault="00C1174E">
            <w:pPr>
              <w:jc w:val="center"/>
              <w:rPr>
                <w:rFonts w:ascii="Trebuchet MS" w:eastAsia="Trebuchet MS" w:hAnsi="Trebuchet MS" w:cs="Trebuchet MS"/>
                <w:i/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E855B" w14:textId="77777777" w:rsidR="00C1174E" w:rsidRDefault="00C1174E">
            <w:pPr>
              <w:jc w:val="center"/>
              <w:rPr>
                <w:rFonts w:ascii="Trebuchet MS" w:eastAsia="Trebuchet MS" w:hAnsi="Trebuchet MS" w:cs="Trebuchet MS"/>
                <w:i/>
                <w:color w:val="000000"/>
                <w:sz w:val="22"/>
                <w:szCs w:val="22"/>
              </w:rPr>
            </w:pPr>
          </w:p>
        </w:tc>
      </w:tr>
      <w:tr w:rsidR="00C1174E" w14:paraId="717EB782" w14:textId="77777777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A97A4" w14:textId="77777777" w:rsidR="00C1174E" w:rsidRDefault="007B7EA3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2.Modificări ale cheltuielilor bugetare din care:</w:t>
            </w:r>
          </w:p>
          <w:p w14:paraId="39782F9E" w14:textId="77777777" w:rsidR="00C1174E" w:rsidRDefault="007B7EA3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a)bugetul de stat, din acesta:</w:t>
            </w:r>
          </w:p>
          <w:p w14:paraId="52C78D59" w14:textId="77777777" w:rsidR="00C1174E" w:rsidRDefault="007B7EA3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-cheltuieli de personal</w:t>
            </w:r>
          </w:p>
          <w:p w14:paraId="4C867E13" w14:textId="77777777" w:rsidR="00C1174E" w:rsidRDefault="007B7EA3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-bunuri și servicii</w:t>
            </w:r>
          </w:p>
          <w:p w14:paraId="5E9F8A93" w14:textId="77777777" w:rsidR="00C1174E" w:rsidRDefault="007B7EA3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b)bugete locale:</w:t>
            </w:r>
          </w:p>
          <w:p w14:paraId="299403EB" w14:textId="77777777" w:rsidR="00C1174E" w:rsidRDefault="007B7EA3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-cheltuieli de personal</w:t>
            </w:r>
          </w:p>
          <w:p w14:paraId="2E671208" w14:textId="77777777" w:rsidR="00C1174E" w:rsidRDefault="007B7EA3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-bunuri și servicii</w:t>
            </w:r>
          </w:p>
          <w:p w14:paraId="432B9792" w14:textId="77777777" w:rsidR="00C1174E" w:rsidRDefault="007B7EA3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c)bugetul asigurărilor sociale</w:t>
            </w:r>
          </w:p>
          <w:p w14:paraId="7A628DA2" w14:textId="77777777" w:rsidR="00C1174E" w:rsidRDefault="007B7EA3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-cheltuieli de personal</w:t>
            </w:r>
          </w:p>
          <w:p w14:paraId="31E078A3" w14:textId="77777777" w:rsidR="00C1174E" w:rsidRDefault="007B7EA3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-bunuri și servicii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0D791" w14:textId="77777777" w:rsidR="00C1174E" w:rsidRDefault="00C1174E">
            <w:pPr>
              <w:jc w:val="center"/>
              <w:rPr>
                <w:rFonts w:ascii="Trebuchet MS" w:eastAsia="Trebuchet MS" w:hAnsi="Trebuchet MS" w:cs="Trebuchet MS"/>
                <w:i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A7AB0" w14:textId="77777777" w:rsidR="00C1174E" w:rsidRDefault="00C1174E">
            <w:pPr>
              <w:jc w:val="center"/>
              <w:rPr>
                <w:rFonts w:ascii="Trebuchet MS" w:eastAsia="Trebuchet MS" w:hAnsi="Trebuchet MS" w:cs="Trebuchet MS"/>
                <w:i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1A7CD" w14:textId="77777777" w:rsidR="00C1174E" w:rsidRDefault="00C1174E">
            <w:pPr>
              <w:jc w:val="center"/>
              <w:rPr>
                <w:rFonts w:ascii="Trebuchet MS" w:eastAsia="Trebuchet MS" w:hAnsi="Trebuchet MS" w:cs="Trebuchet MS"/>
                <w:i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F3298" w14:textId="77777777" w:rsidR="00C1174E" w:rsidRDefault="00C1174E">
            <w:pPr>
              <w:jc w:val="center"/>
              <w:rPr>
                <w:rFonts w:ascii="Trebuchet MS" w:eastAsia="Trebuchet MS" w:hAnsi="Trebuchet MS" w:cs="Trebuchet MS"/>
                <w:i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4EA3B" w14:textId="77777777" w:rsidR="00C1174E" w:rsidRDefault="00C1174E">
            <w:pPr>
              <w:jc w:val="center"/>
              <w:rPr>
                <w:rFonts w:ascii="Trebuchet MS" w:eastAsia="Trebuchet MS" w:hAnsi="Trebuchet MS" w:cs="Trebuchet MS"/>
                <w:i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A9A66" w14:textId="77777777" w:rsidR="00C1174E" w:rsidRDefault="00C1174E">
            <w:pPr>
              <w:jc w:val="center"/>
              <w:rPr>
                <w:rFonts w:ascii="Trebuchet MS" w:eastAsia="Trebuchet MS" w:hAnsi="Trebuchet MS" w:cs="Trebuchet MS"/>
                <w:i/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20109" w14:textId="77777777" w:rsidR="00C1174E" w:rsidRDefault="00C1174E">
            <w:pPr>
              <w:jc w:val="center"/>
              <w:rPr>
                <w:rFonts w:ascii="Trebuchet MS" w:eastAsia="Trebuchet MS" w:hAnsi="Trebuchet MS" w:cs="Trebuchet MS"/>
                <w:i/>
                <w:color w:val="000000"/>
                <w:sz w:val="22"/>
                <w:szCs w:val="22"/>
              </w:rPr>
            </w:pPr>
          </w:p>
        </w:tc>
      </w:tr>
      <w:tr w:rsidR="00C1174E" w14:paraId="548F9997" w14:textId="77777777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2F3E2" w14:textId="77777777" w:rsidR="00C1174E" w:rsidRDefault="007B7EA3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3.Impact financiar, plus/minus, din care:</w:t>
            </w:r>
          </w:p>
          <w:p w14:paraId="7A62F01A" w14:textId="77777777" w:rsidR="00C1174E" w:rsidRDefault="007B7EA3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a) buget de stat</w:t>
            </w:r>
          </w:p>
          <w:p w14:paraId="40A20ED4" w14:textId="77777777" w:rsidR="00C1174E" w:rsidRDefault="007B7EA3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b) bugete locale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FBEBF" w14:textId="77777777" w:rsidR="00C1174E" w:rsidRDefault="00C1174E">
            <w:pPr>
              <w:jc w:val="center"/>
              <w:rPr>
                <w:rFonts w:ascii="Trebuchet MS" w:eastAsia="Trebuchet MS" w:hAnsi="Trebuchet MS" w:cs="Trebuchet MS"/>
                <w:i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57628" w14:textId="77777777" w:rsidR="00C1174E" w:rsidRDefault="00C1174E">
            <w:pPr>
              <w:jc w:val="center"/>
              <w:rPr>
                <w:rFonts w:ascii="Trebuchet MS" w:eastAsia="Trebuchet MS" w:hAnsi="Trebuchet MS" w:cs="Trebuchet MS"/>
                <w:i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2D564" w14:textId="77777777" w:rsidR="00C1174E" w:rsidRDefault="00C1174E">
            <w:pPr>
              <w:jc w:val="center"/>
              <w:rPr>
                <w:rFonts w:ascii="Trebuchet MS" w:eastAsia="Trebuchet MS" w:hAnsi="Trebuchet MS" w:cs="Trebuchet MS"/>
                <w:i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136B7" w14:textId="77777777" w:rsidR="00C1174E" w:rsidRDefault="00C1174E">
            <w:pPr>
              <w:jc w:val="center"/>
              <w:rPr>
                <w:rFonts w:ascii="Trebuchet MS" w:eastAsia="Trebuchet MS" w:hAnsi="Trebuchet MS" w:cs="Trebuchet MS"/>
                <w:i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CFF11" w14:textId="77777777" w:rsidR="00C1174E" w:rsidRDefault="00C1174E">
            <w:pPr>
              <w:jc w:val="center"/>
              <w:rPr>
                <w:rFonts w:ascii="Trebuchet MS" w:eastAsia="Trebuchet MS" w:hAnsi="Trebuchet MS" w:cs="Trebuchet MS"/>
                <w:i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2214A" w14:textId="77777777" w:rsidR="00C1174E" w:rsidRDefault="00C1174E">
            <w:pPr>
              <w:jc w:val="center"/>
              <w:rPr>
                <w:rFonts w:ascii="Trebuchet MS" w:eastAsia="Trebuchet MS" w:hAnsi="Trebuchet MS" w:cs="Trebuchet MS"/>
                <w:i/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40639" w14:textId="77777777" w:rsidR="00C1174E" w:rsidRDefault="00C1174E">
            <w:pPr>
              <w:jc w:val="center"/>
              <w:rPr>
                <w:rFonts w:ascii="Trebuchet MS" w:eastAsia="Trebuchet MS" w:hAnsi="Trebuchet MS" w:cs="Trebuchet MS"/>
                <w:i/>
                <w:color w:val="000000"/>
                <w:sz w:val="22"/>
                <w:szCs w:val="22"/>
              </w:rPr>
            </w:pPr>
          </w:p>
        </w:tc>
      </w:tr>
      <w:tr w:rsidR="00C1174E" w14:paraId="2C28CC9E" w14:textId="77777777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40A60" w14:textId="77777777" w:rsidR="00C1174E" w:rsidRDefault="007B7EA3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4.Propuneri pentru acoperirea creșterilor de cheltuieli</w:t>
            </w:r>
          </w:p>
          <w:p w14:paraId="4A0EDA85" w14:textId="77777777" w:rsidR="00C1174E" w:rsidRDefault="00C1174E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1EB65" w14:textId="77777777" w:rsidR="00C1174E" w:rsidRDefault="00C1174E">
            <w:pPr>
              <w:jc w:val="center"/>
              <w:rPr>
                <w:rFonts w:ascii="Trebuchet MS" w:eastAsia="Trebuchet MS" w:hAnsi="Trebuchet MS" w:cs="Trebuchet MS"/>
                <w:i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05BAF" w14:textId="77777777" w:rsidR="00C1174E" w:rsidRDefault="00C1174E">
            <w:pPr>
              <w:jc w:val="center"/>
              <w:rPr>
                <w:rFonts w:ascii="Trebuchet MS" w:eastAsia="Trebuchet MS" w:hAnsi="Trebuchet MS" w:cs="Trebuchet MS"/>
                <w:i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A01D2" w14:textId="77777777" w:rsidR="00C1174E" w:rsidRDefault="00C1174E">
            <w:pPr>
              <w:jc w:val="center"/>
              <w:rPr>
                <w:rFonts w:ascii="Trebuchet MS" w:eastAsia="Trebuchet MS" w:hAnsi="Trebuchet MS" w:cs="Trebuchet MS"/>
                <w:i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4A66F" w14:textId="77777777" w:rsidR="00C1174E" w:rsidRDefault="00C1174E">
            <w:pPr>
              <w:jc w:val="center"/>
              <w:rPr>
                <w:rFonts w:ascii="Trebuchet MS" w:eastAsia="Trebuchet MS" w:hAnsi="Trebuchet MS" w:cs="Trebuchet MS"/>
                <w:i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1E5A9" w14:textId="77777777" w:rsidR="00C1174E" w:rsidRDefault="00C1174E">
            <w:pPr>
              <w:jc w:val="center"/>
              <w:rPr>
                <w:rFonts w:ascii="Trebuchet MS" w:eastAsia="Trebuchet MS" w:hAnsi="Trebuchet MS" w:cs="Trebuchet MS"/>
                <w:i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46F9F" w14:textId="77777777" w:rsidR="00C1174E" w:rsidRDefault="00C1174E">
            <w:pPr>
              <w:jc w:val="center"/>
              <w:rPr>
                <w:rFonts w:ascii="Trebuchet MS" w:eastAsia="Trebuchet MS" w:hAnsi="Trebuchet MS" w:cs="Trebuchet MS"/>
                <w:i/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AD777" w14:textId="77777777" w:rsidR="00C1174E" w:rsidRDefault="00C1174E">
            <w:pPr>
              <w:jc w:val="center"/>
              <w:rPr>
                <w:rFonts w:ascii="Trebuchet MS" w:eastAsia="Trebuchet MS" w:hAnsi="Trebuchet MS" w:cs="Trebuchet MS"/>
                <w:i/>
                <w:color w:val="000000"/>
                <w:sz w:val="22"/>
                <w:szCs w:val="22"/>
              </w:rPr>
            </w:pPr>
          </w:p>
        </w:tc>
      </w:tr>
      <w:tr w:rsidR="00C1174E" w14:paraId="777AD7B3" w14:textId="77777777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EA1D1" w14:textId="77777777" w:rsidR="00C1174E" w:rsidRDefault="007B7EA3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5.Propuneri pentru acoperirea scăderilor de venituri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28F4A" w14:textId="77777777" w:rsidR="00C1174E" w:rsidRDefault="00C1174E">
            <w:pPr>
              <w:jc w:val="center"/>
              <w:rPr>
                <w:rFonts w:ascii="Trebuchet MS" w:eastAsia="Trebuchet MS" w:hAnsi="Trebuchet MS" w:cs="Trebuchet MS"/>
                <w:i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FE4D8" w14:textId="77777777" w:rsidR="00C1174E" w:rsidRDefault="00C1174E">
            <w:pPr>
              <w:jc w:val="center"/>
              <w:rPr>
                <w:rFonts w:ascii="Trebuchet MS" w:eastAsia="Trebuchet MS" w:hAnsi="Trebuchet MS" w:cs="Trebuchet MS"/>
                <w:i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B1FF0" w14:textId="77777777" w:rsidR="00C1174E" w:rsidRDefault="00C1174E">
            <w:pPr>
              <w:jc w:val="center"/>
              <w:rPr>
                <w:rFonts w:ascii="Trebuchet MS" w:eastAsia="Trebuchet MS" w:hAnsi="Trebuchet MS" w:cs="Trebuchet MS"/>
                <w:i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5227D" w14:textId="77777777" w:rsidR="00C1174E" w:rsidRDefault="00C1174E">
            <w:pPr>
              <w:jc w:val="center"/>
              <w:rPr>
                <w:rFonts w:ascii="Trebuchet MS" w:eastAsia="Trebuchet MS" w:hAnsi="Trebuchet MS" w:cs="Trebuchet MS"/>
                <w:i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8E941" w14:textId="77777777" w:rsidR="00C1174E" w:rsidRDefault="00C1174E">
            <w:pPr>
              <w:jc w:val="center"/>
              <w:rPr>
                <w:rFonts w:ascii="Trebuchet MS" w:eastAsia="Trebuchet MS" w:hAnsi="Trebuchet MS" w:cs="Trebuchet MS"/>
                <w:i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94644" w14:textId="77777777" w:rsidR="00C1174E" w:rsidRDefault="00C1174E">
            <w:pPr>
              <w:jc w:val="center"/>
              <w:rPr>
                <w:rFonts w:ascii="Trebuchet MS" w:eastAsia="Trebuchet MS" w:hAnsi="Trebuchet MS" w:cs="Trebuchet MS"/>
                <w:i/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98EDF" w14:textId="77777777" w:rsidR="00C1174E" w:rsidRDefault="00C1174E">
            <w:pPr>
              <w:jc w:val="center"/>
              <w:rPr>
                <w:rFonts w:ascii="Trebuchet MS" w:eastAsia="Trebuchet MS" w:hAnsi="Trebuchet MS" w:cs="Trebuchet MS"/>
                <w:i/>
                <w:color w:val="000000"/>
                <w:sz w:val="22"/>
                <w:szCs w:val="22"/>
              </w:rPr>
            </w:pPr>
          </w:p>
        </w:tc>
      </w:tr>
      <w:tr w:rsidR="00C1174E" w14:paraId="35B6A958" w14:textId="77777777">
        <w:trPr>
          <w:trHeight w:val="105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1F44D" w14:textId="77777777" w:rsidR="00C1174E" w:rsidRDefault="007B7EA3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6. Calcule detaliate privind fundamentarea modificărilor  veniturilor și/sau cheltuielilor bugetare</w:t>
            </w:r>
          </w:p>
        </w:tc>
        <w:tc>
          <w:tcPr>
            <w:tcW w:w="6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5F4A1" w14:textId="77777777" w:rsidR="00C1174E" w:rsidRDefault="00C1174E">
            <w:pPr>
              <w:jc w:val="center"/>
              <w:rPr>
                <w:rFonts w:ascii="Trebuchet MS" w:eastAsia="Trebuchet MS" w:hAnsi="Trebuchet MS" w:cs="Trebuchet MS"/>
                <w:i/>
                <w:color w:val="000000"/>
                <w:sz w:val="22"/>
                <w:szCs w:val="22"/>
              </w:rPr>
            </w:pPr>
          </w:p>
        </w:tc>
      </w:tr>
      <w:tr w:rsidR="00C1174E" w14:paraId="627E010C" w14:textId="77777777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B5B2D" w14:textId="77777777" w:rsidR="00C1174E" w:rsidRDefault="007B7EA3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7. Alte informații</w:t>
            </w:r>
          </w:p>
        </w:tc>
        <w:tc>
          <w:tcPr>
            <w:tcW w:w="6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AEC1" w14:textId="77777777" w:rsidR="00C1174E" w:rsidRDefault="007B7EA3">
            <w:pPr>
              <w:jc w:val="center"/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Nu au fost identificate</w:t>
            </w:r>
          </w:p>
        </w:tc>
      </w:tr>
    </w:tbl>
    <w:p w14:paraId="16FB0899" w14:textId="77777777" w:rsidR="00C1174E" w:rsidRDefault="00C1174E">
      <w:pPr>
        <w:spacing w:line="360" w:lineRule="auto"/>
        <w:jc w:val="center"/>
        <w:rPr>
          <w:rFonts w:ascii="Trebuchet MS" w:eastAsia="Trebuchet MS" w:hAnsi="Trebuchet MS" w:cs="Trebuchet MS"/>
          <w:b/>
          <w:sz w:val="16"/>
          <w:szCs w:val="16"/>
        </w:rPr>
      </w:pPr>
    </w:p>
    <w:p w14:paraId="378583E3" w14:textId="77777777" w:rsidR="00C1174E" w:rsidRDefault="00C1174E">
      <w:pPr>
        <w:spacing w:line="360" w:lineRule="auto"/>
        <w:jc w:val="center"/>
        <w:rPr>
          <w:rFonts w:ascii="Trebuchet MS" w:eastAsia="Trebuchet MS" w:hAnsi="Trebuchet MS" w:cs="Trebuchet MS"/>
          <w:b/>
          <w:sz w:val="16"/>
          <w:szCs w:val="16"/>
        </w:rPr>
      </w:pPr>
    </w:p>
    <w:p w14:paraId="18217F0C" w14:textId="77777777" w:rsidR="00C1174E" w:rsidRDefault="00C1174E">
      <w:pPr>
        <w:spacing w:line="360" w:lineRule="auto"/>
        <w:jc w:val="center"/>
        <w:rPr>
          <w:rFonts w:ascii="Trebuchet MS" w:eastAsia="Trebuchet MS" w:hAnsi="Trebuchet MS" w:cs="Trebuchet MS"/>
          <w:b/>
          <w:sz w:val="16"/>
          <w:szCs w:val="16"/>
        </w:rPr>
      </w:pPr>
    </w:p>
    <w:p w14:paraId="5813B232" w14:textId="77777777" w:rsidR="00C1174E" w:rsidRDefault="00C1174E">
      <w:pPr>
        <w:spacing w:line="360" w:lineRule="auto"/>
        <w:jc w:val="center"/>
        <w:rPr>
          <w:rFonts w:ascii="Trebuchet MS" w:eastAsia="Trebuchet MS" w:hAnsi="Trebuchet MS" w:cs="Trebuchet MS"/>
          <w:b/>
          <w:sz w:val="16"/>
          <w:szCs w:val="16"/>
        </w:rPr>
      </w:pPr>
    </w:p>
    <w:p w14:paraId="06A802E8" w14:textId="77777777" w:rsidR="00C1174E" w:rsidRDefault="007B7EA3">
      <w:pPr>
        <w:spacing w:line="360" w:lineRule="auto"/>
        <w:jc w:val="center"/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5. Efectele proiectului de act normativ asupra legislației în vigoare</w:t>
      </w:r>
    </w:p>
    <w:tbl>
      <w:tblPr>
        <w:tblStyle w:val="a3"/>
        <w:tblW w:w="9427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6660"/>
      </w:tblGrid>
      <w:tr w:rsidR="00C1174E" w14:paraId="591E18B2" w14:textId="77777777">
        <w:trPr>
          <w:trHeight w:val="710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307B" w14:textId="77777777" w:rsidR="00C1174E" w:rsidRDefault="007B7EA3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1. Măsuri normative necesare pentru aplicarea prevederilor proiectului de act normativ:                          </w:t>
            </w:r>
          </w:p>
          <w:p w14:paraId="4844D359" w14:textId="77777777" w:rsidR="00C1174E" w:rsidRDefault="007B7EA3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a) acte normative în vigoare ce vor fi modificate sau  abrogate, ca urma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re a intrării în vigoare a proiectului de act normativ; </w:t>
            </w:r>
          </w:p>
          <w:p w14:paraId="136CD021" w14:textId="77777777" w:rsidR="00C1174E" w:rsidRDefault="007B7EA3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b) acte normative ce urmează a fi elaborate în vederea implementării noilor dispoziții.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50D0" w14:textId="77777777" w:rsidR="00C1174E" w:rsidRDefault="007B7EA3">
            <w:pPr>
              <w:tabs>
                <w:tab w:val="left" w:pos="271"/>
              </w:tabs>
              <w:jc w:val="both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În termen de 60 de zile de la data intrării în vigoare a prezentei ordonanțe, Ministerul Transporturilor, Infrastructurii și Comunicațiilor va actualiza Normele metodologice privind activitatea de control al respectării perioadelor de conducere, pauzelor ș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i perioadelor de odihnă ale conducătorilor auto și al utilizării aparatelor de înregistrare a activității acestora, aprobate prin Ordinul ministrului transporturilor nr. 1058/2007, publicat în Monitorul Oficial, Partea I, nr. 721 din 25 octombrie 2007, cu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modificările și completările ulterioare.</w:t>
            </w:r>
          </w:p>
        </w:tc>
      </w:tr>
      <w:tr w:rsidR="00C1174E" w14:paraId="1D7EE79C" w14:textId="77777777">
        <w:trPr>
          <w:trHeight w:val="560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5C66" w14:textId="77777777" w:rsidR="00C1174E" w:rsidRDefault="007B7EA3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</w:t>
            </w:r>
            <w:r>
              <w:rPr>
                <w:rFonts w:ascii="Trebuchet MS" w:eastAsia="Trebuchet MS" w:hAnsi="Trebuchet MS" w:cs="Trebuchet MS"/>
                <w:sz w:val="22"/>
                <w:szCs w:val="22"/>
                <w:vertAlign w:val="superscript"/>
              </w:rPr>
              <w:t>1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. Compatibilitatea proiectului de act normativ cu legislația în domeniul achizițiilor publice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398EE" w14:textId="77777777" w:rsidR="00C1174E" w:rsidRDefault="007B7EA3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Proiectul de act normativ nu se referă la acest domeniu</w:t>
            </w:r>
          </w:p>
        </w:tc>
      </w:tr>
      <w:tr w:rsidR="00C1174E" w14:paraId="1CCD9032" w14:textId="77777777">
        <w:trPr>
          <w:trHeight w:val="272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1CF9" w14:textId="77777777" w:rsidR="00C1174E" w:rsidRDefault="007B7EA3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2. Conformitatea proiectului de act normativ cu legislația Uniunii în cazul proiectelor ce transpun prevederi ale Uniunii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3302" w14:textId="77777777" w:rsidR="00C1174E" w:rsidRDefault="007B7EA3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Proiectul de act normativ nu se referă la acest domeniu</w:t>
            </w:r>
          </w:p>
        </w:tc>
      </w:tr>
      <w:tr w:rsidR="00C1174E" w14:paraId="637317F2" w14:textId="77777777">
        <w:trPr>
          <w:trHeight w:val="145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980C" w14:textId="77777777" w:rsidR="00C1174E" w:rsidRDefault="007B7EA3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3.Măsuri normative necesare aplicării directe a actelor normative ale Uniunii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2BB95" w14:textId="77777777" w:rsidR="00C1174E" w:rsidRDefault="007B7EA3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Proiectul de act normativ nu se referă la acest domeniu</w:t>
            </w:r>
          </w:p>
        </w:tc>
      </w:tr>
      <w:tr w:rsidR="00C1174E" w14:paraId="597D8EDB" w14:textId="77777777">
        <w:trPr>
          <w:trHeight w:val="145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906E" w14:textId="77777777" w:rsidR="00C1174E" w:rsidRDefault="007B7EA3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4. Hotărâri ale Curții de Justiție a Uniunii Europene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3ACEC" w14:textId="77777777" w:rsidR="00C1174E" w:rsidRDefault="007B7EA3">
            <w:pPr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Proiectul de act normativ nu se referă la acest domeniu</w:t>
            </w:r>
          </w:p>
        </w:tc>
      </w:tr>
      <w:tr w:rsidR="00C1174E" w14:paraId="622BF949" w14:textId="77777777">
        <w:trPr>
          <w:trHeight w:val="145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5F72" w14:textId="77777777" w:rsidR="00C1174E" w:rsidRDefault="007B7EA3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5.Alte acte normative și/sau documente internaționale din care decurg angajamente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07241" w14:textId="77777777" w:rsidR="00C1174E" w:rsidRDefault="007B7EA3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Proiectul de act normativ nu se referă la acest domeniu</w:t>
            </w:r>
          </w:p>
        </w:tc>
      </w:tr>
      <w:tr w:rsidR="00C1174E" w14:paraId="5D49BCC3" w14:textId="77777777">
        <w:trPr>
          <w:trHeight w:val="145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3EE9" w14:textId="77777777" w:rsidR="00C1174E" w:rsidRDefault="007B7EA3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6.Alte informații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53EDF" w14:textId="77777777" w:rsidR="00C1174E" w:rsidRDefault="007B7EA3">
            <w:pPr>
              <w:jc w:val="center"/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Nu au fost identificate</w:t>
            </w:r>
          </w:p>
        </w:tc>
      </w:tr>
    </w:tbl>
    <w:p w14:paraId="70DB772E" w14:textId="77777777" w:rsidR="00C1174E" w:rsidRDefault="00C1174E">
      <w:pPr>
        <w:spacing w:line="360" w:lineRule="auto"/>
        <w:rPr>
          <w:rFonts w:ascii="Trebuchet MS" w:eastAsia="Trebuchet MS" w:hAnsi="Trebuchet MS" w:cs="Trebuchet MS"/>
          <w:b/>
          <w:sz w:val="22"/>
          <w:szCs w:val="22"/>
        </w:rPr>
      </w:pPr>
    </w:p>
    <w:p w14:paraId="2E780098" w14:textId="77777777" w:rsidR="00C1174E" w:rsidRDefault="00C1174E">
      <w:pPr>
        <w:spacing w:line="360" w:lineRule="auto"/>
        <w:rPr>
          <w:rFonts w:ascii="Trebuchet MS" w:eastAsia="Trebuchet MS" w:hAnsi="Trebuchet MS" w:cs="Trebuchet MS"/>
          <w:b/>
          <w:sz w:val="22"/>
          <w:szCs w:val="22"/>
        </w:rPr>
      </w:pPr>
    </w:p>
    <w:p w14:paraId="4CBB9BD0" w14:textId="77777777" w:rsidR="00C1174E" w:rsidRDefault="00C1174E">
      <w:pPr>
        <w:spacing w:line="360" w:lineRule="auto"/>
        <w:rPr>
          <w:rFonts w:ascii="Trebuchet MS" w:eastAsia="Trebuchet MS" w:hAnsi="Trebuchet MS" w:cs="Trebuchet MS"/>
          <w:b/>
          <w:sz w:val="22"/>
          <w:szCs w:val="22"/>
        </w:rPr>
      </w:pPr>
    </w:p>
    <w:p w14:paraId="5455572C" w14:textId="77777777" w:rsidR="00C1174E" w:rsidRDefault="00C1174E">
      <w:pPr>
        <w:spacing w:line="360" w:lineRule="auto"/>
        <w:rPr>
          <w:rFonts w:ascii="Trebuchet MS" w:eastAsia="Trebuchet MS" w:hAnsi="Trebuchet MS" w:cs="Trebuchet MS"/>
          <w:b/>
          <w:sz w:val="22"/>
          <w:szCs w:val="22"/>
        </w:rPr>
      </w:pPr>
    </w:p>
    <w:p w14:paraId="68FE204D" w14:textId="77777777" w:rsidR="00C1174E" w:rsidRDefault="007B7EA3">
      <w:pPr>
        <w:spacing w:line="360" w:lineRule="auto"/>
        <w:jc w:val="center"/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6. Consultările efectuate în vederea elaborării proiectului de act nor</w:t>
      </w:r>
      <w:r>
        <w:rPr>
          <w:rFonts w:ascii="Trebuchet MS" w:eastAsia="Trebuchet MS" w:hAnsi="Trebuchet MS" w:cs="Trebuchet MS"/>
          <w:b/>
          <w:sz w:val="22"/>
          <w:szCs w:val="22"/>
        </w:rPr>
        <w:t>mativ</w:t>
      </w:r>
    </w:p>
    <w:tbl>
      <w:tblPr>
        <w:tblStyle w:val="a4"/>
        <w:tblW w:w="9427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2497"/>
      </w:tblGrid>
      <w:tr w:rsidR="00C1174E" w14:paraId="2C92C884" w14:textId="77777777">
        <w:trPr>
          <w:trHeight w:val="525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A2AB2" w14:textId="77777777" w:rsidR="00C1174E" w:rsidRDefault="007B7EA3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1.Informaţii privind procesul de consultare cu organizații neguvernamentale, institute de cercetare și alte organisme implicate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4F11E" w14:textId="77777777" w:rsidR="00C1174E" w:rsidRDefault="007B7EA3">
            <w:pPr>
              <w:jc w:val="both"/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Proiectul de act normativ nu se referă la acest domeniu</w:t>
            </w:r>
          </w:p>
        </w:tc>
      </w:tr>
      <w:tr w:rsidR="00C1174E" w14:paraId="290C3137" w14:textId="77777777">
        <w:trPr>
          <w:trHeight w:val="606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347C6" w14:textId="77777777" w:rsidR="00C1174E" w:rsidRDefault="007B7EA3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2.Fundamentarea alegerii organizațiilor cu care a avut loc consultarea, precum și a modului în care activitatea acestor organizații este legată de obiectivul proiectului de act normativ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525E8" w14:textId="77777777" w:rsidR="00C1174E" w:rsidRDefault="007B7EA3">
            <w:pPr>
              <w:jc w:val="both"/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Proiectul de act normativ nu se referă la acest domeniu</w:t>
            </w:r>
          </w:p>
        </w:tc>
      </w:tr>
      <w:tr w:rsidR="00C1174E" w14:paraId="56694B77" w14:textId="77777777"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8CF17" w14:textId="77777777" w:rsidR="00C1174E" w:rsidRDefault="007B7EA3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3.Consultăril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e organizate cu autoritățile administrației publice locale, în situația în care proiectul de act normativ are ca obiect activități ale acestor autorități, în condițiile Hotărârii Guvernului nr. 521/2005 privind procedura de consultare a structurilor asocia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tive ale autorităților administrației publice locale la elaborarea proiectelor de acte normative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D8377" w14:textId="77777777" w:rsidR="00C1174E" w:rsidRDefault="007B7EA3">
            <w:pPr>
              <w:jc w:val="both"/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Proiectul de act normativ nu se referă la acest domeniu</w:t>
            </w:r>
          </w:p>
        </w:tc>
      </w:tr>
      <w:tr w:rsidR="00C1174E" w14:paraId="4B46388D" w14:textId="77777777"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0E8E7" w14:textId="77777777" w:rsidR="00C1174E" w:rsidRDefault="007B7EA3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4.Consultările desfășurate în cadrul consiliilor interministeriale, în conformitate cu prevederile Hotărârii Guvernului nr. 750/2005 privind constituirea consiliilor interministeriale permanente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3A323" w14:textId="77777777" w:rsidR="00C1174E" w:rsidRDefault="007B7EA3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Proiectul de act normativ nu este supus consultărilor comisii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lor interministeriale.</w:t>
            </w:r>
          </w:p>
        </w:tc>
      </w:tr>
      <w:tr w:rsidR="00C1174E" w14:paraId="79CCE519" w14:textId="77777777"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453F6" w14:textId="77777777" w:rsidR="00C1174E" w:rsidRDefault="007B7EA3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5.Informaţii privind avizarea de către:</w:t>
            </w:r>
          </w:p>
          <w:p w14:paraId="3B45DCEF" w14:textId="77777777" w:rsidR="00C1174E" w:rsidRDefault="007B7EA3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a)Consiliul Legislativ</w:t>
            </w:r>
          </w:p>
          <w:p w14:paraId="02398B21" w14:textId="77777777" w:rsidR="00C1174E" w:rsidRDefault="007B7EA3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b)Consiliul Suprem de Apărare a Țării</w:t>
            </w:r>
          </w:p>
          <w:p w14:paraId="749B1D58" w14:textId="77777777" w:rsidR="00C1174E" w:rsidRDefault="007B7EA3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c)Consiliul Economic și Social</w:t>
            </w:r>
          </w:p>
          <w:p w14:paraId="7DC1A730" w14:textId="77777777" w:rsidR="00C1174E" w:rsidRDefault="007B7EA3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d)Consiliul Concurenței </w:t>
            </w:r>
          </w:p>
          <w:p w14:paraId="0937D4B3" w14:textId="77777777" w:rsidR="00C1174E" w:rsidRDefault="007B7EA3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e)Curtea de Conturi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79F09" w14:textId="77777777" w:rsidR="00C1174E" w:rsidRDefault="007B7EA3">
            <w:pPr>
              <w:jc w:val="both"/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Proiectul necesită avizul Consiliului Legislativ</w:t>
            </w:r>
          </w:p>
        </w:tc>
      </w:tr>
      <w:tr w:rsidR="00C1174E" w14:paraId="06D5F0B1" w14:textId="77777777"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DDF33" w14:textId="77777777" w:rsidR="00C1174E" w:rsidRDefault="007B7EA3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6.Alt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e informații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88FC1" w14:textId="77777777" w:rsidR="00C1174E" w:rsidRDefault="007B7EA3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Nu au fost identificate</w:t>
            </w:r>
          </w:p>
          <w:p w14:paraId="13DFABFE" w14:textId="77777777" w:rsidR="00C1174E" w:rsidRDefault="00C1174E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587F595E" w14:textId="77777777" w:rsidR="00C1174E" w:rsidRDefault="00C1174E">
      <w:pPr>
        <w:spacing w:line="360" w:lineRule="auto"/>
        <w:jc w:val="center"/>
        <w:rPr>
          <w:rFonts w:ascii="Trebuchet MS" w:eastAsia="Trebuchet MS" w:hAnsi="Trebuchet MS" w:cs="Trebuchet MS"/>
          <w:b/>
          <w:sz w:val="22"/>
          <w:szCs w:val="22"/>
        </w:rPr>
      </w:pPr>
    </w:p>
    <w:p w14:paraId="2894454A" w14:textId="77777777" w:rsidR="00C1174E" w:rsidRDefault="007B7EA3">
      <w:pPr>
        <w:spacing w:line="360" w:lineRule="auto"/>
        <w:jc w:val="center"/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7. Activități de informare publică privind elaborarea și implementarea proiectului de act normativ</w:t>
      </w:r>
    </w:p>
    <w:tbl>
      <w:tblPr>
        <w:tblStyle w:val="a5"/>
        <w:tblW w:w="9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55"/>
        <w:gridCol w:w="5220"/>
      </w:tblGrid>
      <w:tr w:rsidR="00C1174E" w14:paraId="3CB07D5A" w14:textId="77777777">
        <w:trPr>
          <w:trHeight w:val="985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2EF10" w14:textId="77777777" w:rsidR="00C1174E" w:rsidRDefault="007B7EA3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1.Informarea societății civile cu privire la necesitatea elaborării proiectului de act normativ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A2815" w14:textId="77777777" w:rsidR="00C1174E" w:rsidRDefault="007B7EA3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Proiectul prezentului act normativ a îndeplinit procedura prevăzută de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dispoziţiile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Legii nr. 52/2003 privind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transparenţa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decizională în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administraţia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publică,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republicată</w:t>
            </w:r>
          </w:p>
        </w:tc>
      </w:tr>
      <w:tr w:rsidR="00C1174E" w14:paraId="7A1F5591" w14:textId="77777777">
        <w:trPr>
          <w:trHeight w:val="1225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5C9B9" w14:textId="77777777" w:rsidR="00C1174E" w:rsidRDefault="007B7EA3">
            <w:pPr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2.Informarea societății civile cu privire la eventualul impact asupra mediului în urma implementării proiectului de act normativ, precum și efectele asupra sănătății și securității cetățeanului sau diversității biologice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8AADB" w14:textId="77777777" w:rsidR="00C1174E" w:rsidRDefault="007B7EA3">
            <w:pPr>
              <w:spacing w:line="360" w:lineRule="auto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Proiectul de act normativ nu produce nici un impact asupra acestui domeniu.</w:t>
            </w:r>
          </w:p>
        </w:tc>
      </w:tr>
      <w:tr w:rsidR="00C1174E" w14:paraId="20886E1D" w14:textId="77777777">
        <w:trPr>
          <w:trHeight w:val="223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29CDB" w14:textId="77777777" w:rsidR="00C1174E" w:rsidRDefault="007B7EA3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lastRenderedPageBreak/>
              <w:t>3. Alte informații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836BB" w14:textId="77777777" w:rsidR="00C1174E" w:rsidRDefault="007B7EA3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Nu au fost identificate</w:t>
            </w:r>
          </w:p>
        </w:tc>
      </w:tr>
    </w:tbl>
    <w:p w14:paraId="2CF521A2" w14:textId="77777777" w:rsidR="00C1174E" w:rsidRDefault="007B7EA3">
      <w:pPr>
        <w:spacing w:before="120" w:line="360" w:lineRule="auto"/>
        <w:jc w:val="center"/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8. Măsuri de implementare</w:t>
      </w:r>
    </w:p>
    <w:tbl>
      <w:tblPr>
        <w:tblStyle w:val="a6"/>
        <w:tblW w:w="9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05"/>
        <w:gridCol w:w="2970"/>
      </w:tblGrid>
      <w:tr w:rsidR="00C1174E" w14:paraId="5CCDD33A" w14:textId="77777777">
        <w:trPr>
          <w:trHeight w:val="809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8082F" w14:textId="77777777" w:rsidR="00C1174E" w:rsidRDefault="007B7EA3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1.Măsuri de punere în aplicare a proiectului de act normativ de către autoritățile administrative publice centrale și/sau locale-înființarea sau extinderea competenței instituțiilor existente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EE616" w14:textId="77777777" w:rsidR="00C1174E" w:rsidRDefault="007B7EA3">
            <w:pPr>
              <w:jc w:val="center"/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Nu este cazul</w:t>
            </w:r>
          </w:p>
        </w:tc>
      </w:tr>
      <w:tr w:rsidR="00C1174E" w14:paraId="5DFF5233" w14:textId="77777777">
        <w:trPr>
          <w:trHeight w:val="186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D2DDD" w14:textId="77777777" w:rsidR="00C1174E" w:rsidRDefault="007B7EA3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2.Alte informații</w:t>
            </w:r>
          </w:p>
          <w:p w14:paraId="6345504C" w14:textId="77777777" w:rsidR="00C1174E" w:rsidRDefault="00C1174E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66BB7" w14:textId="77777777" w:rsidR="00C1174E" w:rsidRDefault="007B7EA3">
            <w:pPr>
              <w:jc w:val="center"/>
              <w:rPr>
                <w:rFonts w:ascii="Trebuchet MS" w:eastAsia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i/>
                <w:sz w:val="22"/>
                <w:szCs w:val="22"/>
              </w:rPr>
              <w:t>Nu au fost identificate</w:t>
            </w:r>
          </w:p>
        </w:tc>
      </w:tr>
    </w:tbl>
    <w:p w14:paraId="27015F25" w14:textId="77777777" w:rsidR="00C1174E" w:rsidRDefault="00C1174E">
      <w:pPr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7AABE881" w14:textId="77777777" w:rsidR="00C1174E" w:rsidRDefault="007B7EA3">
      <w:pPr>
        <w:jc w:val="both"/>
        <w:rPr>
          <w:rFonts w:ascii="Trebuchet MS" w:eastAsia="Trebuchet MS" w:hAnsi="Trebuchet MS" w:cs="Trebuchet MS"/>
          <w:i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Luând în considerare cele mai sus prezentate, a fost elaborat prezentul proiect de </w:t>
      </w:r>
      <w:r>
        <w:rPr>
          <w:rFonts w:ascii="Trebuchet MS" w:eastAsia="Trebuchet MS" w:hAnsi="Trebuchet MS" w:cs="Trebuchet MS"/>
          <w:b/>
          <w:i/>
          <w:sz w:val="22"/>
          <w:szCs w:val="22"/>
        </w:rPr>
        <w:t>Ordonanță de urgență pentru modificarea și completarea Ordonanței Guvernului nr. 37/2007 privind stabilirea cadrului de aplicare a regulilor privind perioadele de conducere, pauzele și perioadele de odihnă ale conducătorilor auto și utilizarea aparatelor d</w:t>
      </w:r>
      <w:r>
        <w:rPr>
          <w:rFonts w:ascii="Trebuchet MS" w:eastAsia="Trebuchet MS" w:hAnsi="Trebuchet MS" w:cs="Trebuchet MS"/>
          <w:b/>
          <w:i/>
          <w:sz w:val="22"/>
          <w:szCs w:val="22"/>
        </w:rPr>
        <w:t>e înregistrare a activității acestora</w:t>
      </w:r>
      <w:r>
        <w:rPr>
          <w:rFonts w:ascii="Trebuchet MS" w:eastAsia="Trebuchet MS" w:hAnsi="Trebuchet MS" w:cs="Trebuchet MS"/>
          <w:i/>
          <w:sz w:val="22"/>
          <w:szCs w:val="22"/>
        </w:rPr>
        <w:t>,</w:t>
      </w:r>
      <w:r>
        <w:rPr>
          <w:rFonts w:ascii="Trebuchet MS" w:eastAsia="Trebuchet MS" w:hAnsi="Trebuchet MS" w:cs="Trebuchet MS"/>
          <w:sz w:val="22"/>
          <w:szCs w:val="22"/>
        </w:rPr>
        <w:t xml:space="preserve"> care, în forma prezentată, a fost avizat de ministerele interesate și pe care îl propunem spre aprobare.</w:t>
      </w:r>
    </w:p>
    <w:p w14:paraId="30038371" w14:textId="77777777" w:rsidR="00C1174E" w:rsidRDefault="00C1174E">
      <w:pPr>
        <w:jc w:val="center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</w:p>
    <w:p w14:paraId="11D65328" w14:textId="77777777" w:rsidR="00C1174E" w:rsidRDefault="007B7EA3">
      <w:pPr>
        <w:jc w:val="center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MINISTRUL TRANSPORTURILOR, INFRASTUCTURII  ȘI COMUNICAȚIILOR</w:t>
      </w:r>
    </w:p>
    <w:p w14:paraId="6640D57C" w14:textId="77777777" w:rsidR="00C1174E" w:rsidRDefault="007B7EA3">
      <w:pPr>
        <w:jc w:val="center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Lucian  Nicolae BODE </w:t>
      </w:r>
    </w:p>
    <w:p w14:paraId="604AD97A" w14:textId="77777777" w:rsidR="00C1174E" w:rsidRDefault="00C1174E">
      <w:pPr>
        <w:jc w:val="center"/>
        <w:rPr>
          <w:rFonts w:ascii="Trebuchet MS" w:eastAsia="Trebuchet MS" w:hAnsi="Trebuchet MS" w:cs="Trebuchet MS"/>
          <w:b/>
          <w:color w:val="000000"/>
          <w:sz w:val="22"/>
          <w:szCs w:val="22"/>
          <w:u w:val="single"/>
        </w:rPr>
      </w:pPr>
    </w:p>
    <w:p w14:paraId="3285F896" w14:textId="77777777" w:rsidR="00C1174E" w:rsidRDefault="00C1174E">
      <w:pPr>
        <w:jc w:val="center"/>
        <w:rPr>
          <w:rFonts w:ascii="Trebuchet MS" w:eastAsia="Trebuchet MS" w:hAnsi="Trebuchet MS" w:cs="Trebuchet MS"/>
          <w:b/>
          <w:color w:val="000000"/>
          <w:sz w:val="22"/>
          <w:szCs w:val="22"/>
          <w:u w:val="single"/>
        </w:rPr>
      </w:pPr>
    </w:p>
    <w:p w14:paraId="589E4F1C" w14:textId="77777777" w:rsidR="00C1174E" w:rsidRDefault="007B7EA3">
      <w:pPr>
        <w:jc w:val="center"/>
        <w:rPr>
          <w:rFonts w:ascii="Trebuchet MS" w:eastAsia="Trebuchet MS" w:hAnsi="Trebuchet MS" w:cs="Trebuchet MS"/>
          <w:b/>
          <w:color w:val="000000"/>
          <w:sz w:val="22"/>
          <w:szCs w:val="22"/>
          <w:u w:val="single"/>
        </w:rPr>
      </w:pPr>
      <w:r>
        <w:rPr>
          <w:rFonts w:ascii="Trebuchet MS" w:eastAsia="Trebuchet MS" w:hAnsi="Trebuchet MS" w:cs="Trebuchet MS"/>
          <w:b/>
          <w:color w:val="000000"/>
          <w:sz w:val="22"/>
          <w:szCs w:val="22"/>
          <w:u w:val="single"/>
        </w:rPr>
        <w:t>AVIZAT FAVORABIL</w:t>
      </w:r>
    </w:p>
    <w:p w14:paraId="4C4DBCFD" w14:textId="77777777" w:rsidR="00C1174E" w:rsidRDefault="007B7EA3">
      <w:pPr>
        <w:jc w:val="center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MINISTRUL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AFACERILOR INTERNE</w:t>
      </w:r>
    </w:p>
    <w:p w14:paraId="5D580B41" w14:textId="77777777" w:rsidR="00C1174E" w:rsidRDefault="007B7EA3">
      <w:pPr>
        <w:jc w:val="center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Ion Marcel VELA</w:t>
      </w:r>
    </w:p>
    <w:p w14:paraId="15B4922F" w14:textId="77777777" w:rsidR="00C1174E" w:rsidRDefault="00C1174E">
      <w:pPr>
        <w:jc w:val="center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4B58D92F" w14:textId="77777777" w:rsidR="00C1174E" w:rsidRDefault="00C1174E">
      <w:pPr>
        <w:jc w:val="center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2A90BE30" w14:textId="77777777" w:rsidR="00C1174E" w:rsidRDefault="00C1174E">
      <w:pPr>
        <w:jc w:val="center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0DDCF050" w14:textId="77777777" w:rsidR="00C1174E" w:rsidRDefault="007B7EA3">
      <w:pPr>
        <w:jc w:val="center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MINISTRUL FINANȚELOR PUBLICE</w:t>
      </w:r>
    </w:p>
    <w:p w14:paraId="6FFBDB5E" w14:textId="77777777" w:rsidR="00C1174E" w:rsidRDefault="007B7EA3">
      <w:pPr>
        <w:jc w:val="center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Vasile Florin CÎȚU</w:t>
      </w:r>
    </w:p>
    <w:p w14:paraId="2C1B88BB" w14:textId="77777777" w:rsidR="00C1174E" w:rsidRDefault="00C1174E">
      <w:pPr>
        <w:jc w:val="center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</w:p>
    <w:p w14:paraId="375930D8" w14:textId="77777777" w:rsidR="00C1174E" w:rsidRDefault="00C1174E">
      <w:pPr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</w:p>
    <w:p w14:paraId="73B3B02C" w14:textId="77777777" w:rsidR="00C1174E" w:rsidRDefault="007B7EA3">
      <w:pPr>
        <w:jc w:val="center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MINISTRUL AFACERILOR EXTERNE</w:t>
      </w:r>
    </w:p>
    <w:p w14:paraId="4F7A82CB" w14:textId="77777777" w:rsidR="00C1174E" w:rsidRDefault="007B7EA3">
      <w:pPr>
        <w:jc w:val="center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Bogdan Lucian AURESCU</w:t>
      </w:r>
    </w:p>
    <w:p w14:paraId="29F8747F" w14:textId="77777777" w:rsidR="00C1174E" w:rsidRDefault="00C1174E">
      <w:pPr>
        <w:jc w:val="center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</w:p>
    <w:p w14:paraId="3B9A024E" w14:textId="77777777" w:rsidR="00C1174E" w:rsidRDefault="00C1174E">
      <w:pPr>
        <w:jc w:val="center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</w:p>
    <w:p w14:paraId="1E573FD5" w14:textId="77777777" w:rsidR="00C1174E" w:rsidRDefault="00C1174E">
      <w:pPr>
        <w:jc w:val="center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</w:p>
    <w:p w14:paraId="14388B86" w14:textId="77777777" w:rsidR="00C1174E" w:rsidRDefault="007B7EA3">
      <w:pPr>
        <w:jc w:val="center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MINISTRUL JUSTIȚIEI</w:t>
      </w:r>
    </w:p>
    <w:p w14:paraId="584D4F8C" w14:textId="77777777" w:rsidR="00C1174E" w:rsidRDefault="007B7EA3">
      <w:pPr>
        <w:jc w:val="center"/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lastRenderedPageBreak/>
        <w:t>Marian Cătălin PREDOIU</w:t>
      </w:r>
    </w:p>
    <w:p w14:paraId="28F18CB8" w14:textId="77777777" w:rsidR="00C1174E" w:rsidRDefault="00C1174E">
      <w:pPr>
        <w:rPr>
          <w:rFonts w:ascii="Trebuchet MS" w:eastAsia="Trebuchet MS" w:hAnsi="Trebuchet MS" w:cs="Trebuchet MS"/>
          <w:sz w:val="22"/>
          <w:szCs w:val="22"/>
        </w:rPr>
      </w:pPr>
      <w:bookmarkStart w:id="0" w:name="_gjdgxs" w:colFirst="0" w:colLast="0"/>
      <w:bookmarkEnd w:id="0"/>
    </w:p>
    <w:sectPr w:rsidR="00C1174E">
      <w:footerReference w:type="default" r:id="rId7"/>
      <w:pgSz w:w="11907" w:h="16840"/>
      <w:pgMar w:top="851" w:right="1107" w:bottom="851" w:left="1531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76D58" w14:textId="77777777" w:rsidR="007B7EA3" w:rsidRDefault="007B7EA3">
      <w:pPr>
        <w:spacing w:after="0" w:line="240" w:lineRule="auto"/>
      </w:pPr>
      <w:r>
        <w:separator/>
      </w:r>
    </w:p>
  </w:endnote>
  <w:endnote w:type="continuationSeparator" w:id="0">
    <w:p w14:paraId="6BD59F39" w14:textId="77777777" w:rsidR="007B7EA3" w:rsidRDefault="007B7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911AA" w14:textId="77777777" w:rsidR="00C1174E" w:rsidRDefault="007B7EA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libri" w:eastAsia="Calibri" w:hAnsi="Calibri" w:cs="Calibri"/>
        <w:color w:val="5B9BD5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color w:val="000000"/>
        <w:sz w:val="16"/>
        <w:szCs w:val="16"/>
      </w:rPr>
      <w:instrText>PAGE</w:instrText>
    </w:r>
    <w:r w:rsidR="00900790">
      <w:rPr>
        <w:rFonts w:ascii="Calibri" w:eastAsia="Calibri" w:hAnsi="Calibri" w:cs="Calibri"/>
        <w:color w:val="000000"/>
        <w:sz w:val="16"/>
        <w:szCs w:val="16"/>
      </w:rPr>
      <w:fldChar w:fldCharType="separate"/>
    </w:r>
    <w:r w:rsidR="00900790">
      <w:rPr>
        <w:rFonts w:ascii="Calibri" w:eastAsia="Calibri" w:hAnsi="Calibri" w:cs="Calibri"/>
        <w:noProof/>
        <w:color w:val="000000"/>
        <w:sz w:val="16"/>
        <w:szCs w:val="16"/>
      </w:rPr>
      <w:t>1</w:t>
    </w:r>
    <w:r>
      <w:rPr>
        <w:rFonts w:ascii="Calibri" w:eastAsia="Calibri" w:hAnsi="Calibri" w:cs="Calibri"/>
        <w:color w:val="000000"/>
        <w:sz w:val="16"/>
        <w:szCs w:val="16"/>
      </w:rPr>
      <w:fldChar w:fldCharType="end"/>
    </w:r>
  </w:p>
  <w:p w14:paraId="4607AD7B" w14:textId="77777777" w:rsidR="00C1174E" w:rsidRDefault="00C117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59C61" w14:textId="77777777" w:rsidR="007B7EA3" w:rsidRDefault="007B7EA3">
      <w:pPr>
        <w:spacing w:after="0" w:line="240" w:lineRule="auto"/>
      </w:pPr>
      <w:r>
        <w:separator/>
      </w:r>
    </w:p>
  </w:footnote>
  <w:footnote w:type="continuationSeparator" w:id="0">
    <w:p w14:paraId="2D17090B" w14:textId="77777777" w:rsidR="007B7EA3" w:rsidRDefault="007B7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82650"/>
    <w:multiLevelType w:val="multilevel"/>
    <w:tmpl w:val="023AE752"/>
    <w:lvl w:ilvl="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EE003CA"/>
    <w:multiLevelType w:val="multilevel"/>
    <w:tmpl w:val="0DFE1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74E"/>
    <w:rsid w:val="007B7EA3"/>
    <w:rsid w:val="00900790"/>
    <w:rsid w:val="00C1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2690C"/>
  <w15:docId w15:val="{37EB88A3-8431-4FAC-9C29-42F39065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o-RO" w:eastAsia="ro-RO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2304</Words>
  <Characters>13367</Characters>
  <Application>Microsoft Office Word</Application>
  <DocSecurity>0</DocSecurity>
  <Lines>111</Lines>
  <Paragraphs>31</Paragraphs>
  <ScaleCrop>false</ScaleCrop>
  <Company/>
  <LinksUpToDate>false</LinksUpToDate>
  <CharactersWithSpaces>15640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Lorena.sandu</cp:lastModifiedBy>
  <cp:revision>2</cp:revision>
  <dcterms:created xsi:type="dcterms:W3CDTF">2020-10-07T16:54:00Z</dcterms:created>
  <dcterms:modified xsi:type="dcterms:W3CDTF">2020-10-07T16:54:00Z</dcterms:modified>
</cp:coreProperties>
</file>