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B" w:rsidRPr="00756088" w:rsidRDefault="0095375B" w:rsidP="0095375B">
      <w:pPr>
        <w:rPr>
          <w:b/>
          <w:bCs/>
          <w:spacing w:val="20"/>
          <w:sz w:val="24"/>
          <w:szCs w:val="24"/>
          <w:u w:val="single"/>
        </w:rPr>
      </w:pPr>
    </w:p>
    <w:p w:rsidR="0095375B" w:rsidRPr="00756088" w:rsidRDefault="0095375B" w:rsidP="0095375B">
      <w:pPr>
        <w:jc w:val="center"/>
        <w:rPr>
          <w:b/>
          <w:bCs/>
          <w:spacing w:val="20"/>
          <w:sz w:val="24"/>
          <w:szCs w:val="24"/>
          <w:u w:val="single"/>
        </w:rPr>
      </w:pPr>
      <w:r w:rsidRPr="00756088">
        <w:rPr>
          <w:b/>
          <w:bCs/>
          <w:spacing w:val="20"/>
          <w:sz w:val="24"/>
          <w:szCs w:val="24"/>
          <w:u w:val="single"/>
        </w:rPr>
        <w:t>NOTĂ DE FUNDAMENTARE</w:t>
      </w:r>
    </w:p>
    <w:p w:rsidR="0095375B" w:rsidRPr="00756088" w:rsidRDefault="0095375B" w:rsidP="0095375B"/>
    <w:tbl>
      <w:tblPr>
        <w:tblW w:w="10280" w:type="dxa"/>
        <w:tblInd w:w="93" w:type="dxa"/>
        <w:tblLayout w:type="fixed"/>
        <w:tblLook w:val="0000"/>
      </w:tblPr>
      <w:tblGrid>
        <w:gridCol w:w="2494"/>
        <w:gridCol w:w="603"/>
        <w:gridCol w:w="1474"/>
        <w:gridCol w:w="134"/>
        <w:gridCol w:w="938"/>
        <w:gridCol w:w="534"/>
        <w:gridCol w:w="203"/>
        <w:gridCol w:w="804"/>
        <w:gridCol w:w="1072"/>
        <w:gridCol w:w="2024"/>
      </w:tblGrid>
      <w:tr w:rsidR="0095375B" w:rsidRPr="00756088">
        <w:trPr>
          <w:trHeight w:val="640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1</w:t>
            </w:r>
          </w:p>
          <w:p w:rsidR="0095375B" w:rsidRPr="00756088" w:rsidRDefault="0095375B" w:rsidP="0095375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Titlul proiectului de act normativ</w:t>
            </w:r>
          </w:p>
          <w:p w:rsidR="0095375B" w:rsidRPr="00756088" w:rsidRDefault="0095375B" w:rsidP="0095375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960"/>
        </w:trPr>
        <w:tc>
          <w:tcPr>
            <w:tcW w:w="10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756088">
              <w:rPr>
                <w:b/>
                <w:sz w:val="24"/>
                <w:szCs w:val="24"/>
              </w:rPr>
              <w:t>ORDONANŢĂ DE URGENŢĂ</w:t>
            </w:r>
          </w:p>
          <w:p w:rsidR="00365FC1" w:rsidRPr="00365FC1" w:rsidRDefault="00365FC1" w:rsidP="00365FC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65FC1">
              <w:rPr>
                <w:b/>
                <w:sz w:val="24"/>
                <w:szCs w:val="24"/>
              </w:rPr>
              <w:t xml:space="preserve">pentru </w:t>
            </w:r>
            <w:r w:rsidRPr="00365FC1">
              <w:rPr>
                <w:rFonts w:eastAsia="MS Mincho"/>
                <w:b/>
                <w:sz w:val="24"/>
                <w:szCs w:val="24"/>
                <w:lang w:eastAsia="ja-JP"/>
              </w:rPr>
              <w:t>completarea articolului 176 din Legea nr. 571/2003 privind Codul fiscal, cu modificările şi completările ulterioare</w:t>
            </w:r>
          </w:p>
          <w:p w:rsidR="0095375B" w:rsidRPr="00756088" w:rsidRDefault="0095375B" w:rsidP="0095375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375B" w:rsidRPr="00756088">
        <w:trPr>
          <w:trHeight w:val="536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2-a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Motivul emiterii actului normativ</w:t>
            </w:r>
          </w:p>
          <w:p w:rsidR="00365FC1" w:rsidRPr="00A464C7" w:rsidRDefault="004124B2" w:rsidP="00365FC1">
            <w:pPr>
              <w:ind w:firstLine="376"/>
              <w:jc w:val="both"/>
              <w:rPr>
                <w:sz w:val="24"/>
                <w:szCs w:val="24"/>
              </w:rPr>
            </w:pPr>
            <w:r w:rsidRPr="00756088">
              <w:t xml:space="preserve">      </w:t>
            </w:r>
            <w:r w:rsidR="00365FC1" w:rsidRPr="00A464C7">
              <w:rPr>
                <w:sz w:val="24"/>
                <w:szCs w:val="24"/>
              </w:rPr>
              <w:t>Prezentul act normativ este promovat pentru a preîntâmpina posibilele efecte negative ale creşterii nivelului de accize pentru motorină cu 70 euro/1000 litri începând cu data de 1 aprilie 2014 în sectorul transporturilor de mărfuri</w:t>
            </w:r>
            <w:r w:rsidR="00A464C7">
              <w:rPr>
                <w:sz w:val="24"/>
                <w:szCs w:val="24"/>
              </w:rPr>
              <w:t xml:space="preserve"> </w:t>
            </w:r>
            <w:r w:rsidR="004A06D0">
              <w:rPr>
                <w:sz w:val="24"/>
                <w:szCs w:val="24"/>
              </w:rPr>
              <w:t xml:space="preserve"> şi de persoane, exclusiv transportul public de călători, </w:t>
            </w:r>
            <w:r w:rsidR="00A464C7">
              <w:rPr>
                <w:sz w:val="24"/>
                <w:szCs w:val="24"/>
              </w:rPr>
              <w:t>pentru care</w:t>
            </w:r>
            <w:r w:rsidR="00365FC1" w:rsidRPr="00A464C7">
              <w:rPr>
                <w:sz w:val="24"/>
                <w:szCs w:val="24"/>
              </w:rPr>
              <w:t xml:space="preserve"> se prevede acordarea unui nivel de accize diferenţiat </w:t>
            </w:r>
            <w:r w:rsidR="00365FC1" w:rsidRPr="00A464C7">
              <w:rPr>
                <w:rFonts w:eastAsia="EUAlbertina-Regular-Identity-H"/>
                <w:sz w:val="24"/>
                <w:szCs w:val="24"/>
              </w:rPr>
              <w:t xml:space="preserve"> cu 40 de e</w:t>
            </w:r>
            <w:r w:rsidR="00A464C7">
              <w:rPr>
                <w:rFonts w:eastAsia="EUAlbertina-Regular-Identity-H"/>
                <w:sz w:val="24"/>
                <w:szCs w:val="24"/>
              </w:rPr>
              <w:t xml:space="preserve">uro/1.000 litri </w:t>
            </w:r>
            <w:r w:rsidR="00365FC1" w:rsidRPr="00A464C7">
              <w:rPr>
                <w:rFonts w:eastAsia="EUAlbertina-Regular-Identity-H"/>
                <w:sz w:val="24"/>
                <w:szCs w:val="24"/>
              </w:rPr>
              <w:t xml:space="preserve"> </w:t>
            </w:r>
            <w:r w:rsidR="00365FC1" w:rsidRPr="00A464C7">
              <w:rPr>
                <w:sz w:val="24"/>
                <w:szCs w:val="24"/>
              </w:rPr>
              <w:t xml:space="preserve"> </w:t>
            </w:r>
            <w:r w:rsidR="00BA39E7">
              <w:rPr>
                <w:sz w:val="24"/>
                <w:szCs w:val="24"/>
              </w:rPr>
              <w:t>cu</w:t>
            </w:r>
            <w:r w:rsidR="00365FC1" w:rsidRPr="00A464C7">
              <w:rPr>
                <w:sz w:val="24"/>
                <w:szCs w:val="24"/>
              </w:rPr>
              <w:t xml:space="preserve"> parcurgerea procedurilor specifice în domeniul aju</w:t>
            </w:r>
            <w:r w:rsidR="00136FD9">
              <w:rPr>
                <w:sz w:val="24"/>
                <w:szCs w:val="24"/>
              </w:rPr>
              <w:t>t</w:t>
            </w:r>
            <w:r w:rsidR="00365FC1" w:rsidRPr="00A464C7">
              <w:rPr>
                <w:sz w:val="24"/>
                <w:szCs w:val="24"/>
              </w:rPr>
              <w:t>orului de stat</w:t>
            </w:r>
          </w:p>
          <w:p w:rsidR="0070456A" w:rsidRPr="00756088" w:rsidRDefault="0070456A" w:rsidP="00A464C7">
            <w:pPr>
              <w:tabs>
                <w:tab w:val="num" w:pos="807"/>
              </w:tabs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68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1. Descrierea situaţiei actuale</w:t>
            </w: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D278AB">
            <w:pPr>
              <w:pStyle w:val="DefaultText"/>
              <w:jc w:val="both"/>
              <w:rPr>
                <w:lang w:val="ro-RO"/>
              </w:rPr>
            </w:pPr>
          </w:p>
          <w:p w:rsidR="00DA43B6" w:rsidRPr="00756088" w:rsidRDefault="0095375B" w:rsidP="00DA43B6">
            <w:pPr>
              <w:ind w:firstLine="251"/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</w:rPr>
              <w:t xml:space="preserve"> </w:t>
            </w:r>
            <w:r w:rsidR="009905F7" w:rsidRPr="00756088">
              <w:rPr>
                <w:b/>
              </w:rPr>
              <w:t xml:space="preserve">  </w:t>
            </w:r>
            <w:r w:rsidR="00DA43B6" w:rsidRPr="00756088">
              <w:rPr>
                <w:b/>
              </w:rPr>
              <w:t xml:space="preserve">   </w:t>
            </w:r>
            <w:r w:rsidR="00DA43B6" w:rsidRPr="00756088">
              <w:rPr>
                <w:b/>
                <w:sz w:val="24"/>
                <w:szCs w:val="24"/>
              </w:rPr>
              <w:t>Titlul VII „Accize şi alte taxe speciale”</w:t>
            </w:r>
          </w:p>
          <w:p w:rsidR="00DA43B6" w:rsidRPr="00756088" w:rsidRDefault="00DA43B6" w:rsidP="00DA43B6">
            <w:pPr>
              <w:pStyle w:val="DefaultText"/>
              <w:ind w:left="26" w:firstLine="201"/>
              <w:jc w:val="both"/>
              <w:rPr>
                <w:iCs/>
                <w:lang w:val="ro-RO"/>
              </w:rPr>
            </w:pPr>
            <w:r w:rsidRPr="00756088">
              <w:rPr>
                <w:iCs/>
                <w:lang w:val="ro-RO"/>
              </w:rPr>
              <w:t xml:space="preserve">    Prin Ordonanţa de urgenţă a Guvernului nr. 102/2013 a fost stabilită majorarea nivelului accizelor la pr</w:t>
            </w:r>
            <w:r w:rsidR="00C109F1">
              <w:rPr>
                <w:iCs/>
                <w:lang w:val="ro-RO"/>
              </w:rPr>
              <w:t>odusele energetice utilizate dr</w:t>
            </w:r>
            <w:r w:rsidRPr="00756088">
              <w:rPr>
                <w:iCs/>
                <w:lang w:val="ro-RO"/>
              </w:rPr>
              <w:t>e</w:t>
            </w:r>
            <w:r w:rsidR="00C109F1">
              <w:rPr>
                <w:iCs/>
                <w:lang w:val="ro-RO"/>
              </w:rPr>
              <w:t>p</w:t>
            </w:r>
            <w:r w:rsidRPr="00756088">
              <w:rPr>
                <w:iCs/>
                <w:lang w:val="ro-RO"/>
              </w:rPr>
              <w:t>t combustibil pentru motor, respectiv, benzină cu plumb, benzină fără plumb, motorină şi kerosen cu 7 eurocenţi/litru începând cu 1 ianuarie 2014. Ulterior, prin Ordonanţa de urgenţă a Guvernului nr. 111/2013 s-a prevăzut prorogarea termenului de intrare în vigoare a noilor niveluri ale accizelor, stabilite iniţial O.U.G. nr. 102/2013, pentru produsele accizabile menţionate mai sus, respectiv de la 1 ianuarie 2014 la 1 aprilie 2014.</w:t>
            </w:r>
          </w:p>
          <w:p w:rsidR="004972C1" w:rsidRPr="00756088" w:rsidRDefault="004972C1" w:rsidP="009905F7">
            <w:pPr>
              <w:pStyle w:val="DefaultText"/>
              <w:jc w:val="both"/>
              <w:rPr>
                <w:b/>
                <w:lang w:val="ro-RO"/>
              </w:rPr>
            </w:pPr>
          </w:p>
          <w:p w:rsidR="0095375B" w:rsidRPr="00756088" w:rsidRDefault="0095375B" w:rsidP="00A464C7">
            <w:pPr>
              <w:pStyle w:val="DefaultText"/>
              <w:ind w:left="26" w:firstLine="201"/>
              <w:jc w:val="both"/>
              <w:rPr>
                <w:iCs/>
                <w:lang w:val="ro-RO"/>
              </w:rPr>
            </w:pPr>
          </w:p>
        </w:tc>
      </w:tr>
      <w:tr w:rsidR="0095375B" w:rsidRPr="00756088">
        <w:trPr>
          <w:trHeight w:val="44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2. Schimbări preconizate</w:t>
            </w: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66" w:rsidRPr="00756088" w:rsidRDefault="00375066" w:rsidP="00375066">
            <w:pPr>
              <w:pStyle w:val="DefaultText"/>
              <w:jc w:val="both"/>
              <w:rPr>
                <w:lang w:val="ro-RO"/>
              </w:rPr>
            </w:pPr>
          </w:p>
          <w:p w:rsidR="00B31BBE" w:rsidRPr="00756088" w:rsidRDefault="00375066" w:rsidP="00B31BBE">
            <w:pPr>
              <w:pStyle w:val="DefaultText"/>
              <w:ind w:left="227"/>
              <w:jc w:val="both"/>
              <w:rPr>
                <w:b/>
                <w:lang w:val="ro-RO"/>
              </w:rPr>
            </w:pPr>
            <w:r w:rsidRPr="00756088">
              <w:rPr>
                <w:lang w:val="it-IT"/>
              </w:rPr>
              <w:t xml:space="preserve">    </w:t>
            </w:r>
            <w:r w:rsidR="00B31BBE" w:rsidRPr="00756088">
              <w:rPr>
                <w:lang w:val="it-IT"/>
              </w:rPr>
              <w:t xml:space="preserve">    </w:t>
            </w:r>
            <w:r w:rsidR="00B31BBE" w:rsidRPr="00756088">
              <w:rPr>
                <w:b/>
                <w:lang w:val="it-IT"/>
              </w:rPr>
              <w:t>Titlul VII „Accize şi alte taxe speciale”</w:t>
            </w:r>
          </w:p>
          <w:p w:rsidR="00B31BBE" w:rsidRPr="00756088" w:rsidRDefault="00B31BBE" w:rsidP="00B31BBE">
            <w:pPr>
              <w:autoSpaceDE w:val="0"/>
              <w:autoSpaceDN w:val="0"/>
              <w:adjustRightInd w:val="0"/>
              <w:ind w:firstLine="251"/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 xml:space="preserve">Prin intrarea în vigoare de la 1 aprilie 2014 a prevederilor OUG </w:t>
            </w:r>
            <w:r w:rsidRPr="00756088">
              <w:rPr>
                <w:iCs/>
                <w:sz w:val="24"/>
                <w:szCs w:val="24"/>
              </w:rPr>
              <w:t>nr. 102/2013 ar putea creşte preţul motorinei la pompă, fapt ce</w:t>
            </w:r>
            <w:r w:rsidRPr="00756088">
              <w:rPr>
                <w:iCs/>
              </w:rPr>
              <w:t xml:space="preserve"> </w:t>
            </w:r>
            <w:r w:rsidRPr="00756088">
              <w:rPr>
                <w:sz w:val="24"/>
                <w:szCs w:val="24"/>
              </w:rPr>
              <w:t>ar putea genera creşterea preţurilor de transport şi implicit creşterea preţurilor pentru</w:t>
            </w:r>
            <w:r w:rsidR="00136FD9">
              <w:rPr>
                <w:sz w:val="24"/>
                <w:szCs w:val="24"/>
              </w:rPr>
              <w:t xml:space="preserve"> alte produse şi</w:t>
            </w:r>
            <w:r w:rsidRPr="00756088">
              <w:rPr>
                <w:sz w:val="24"/>
                <w:szCs w:val="24"/>
              </w:rPr>
              <w:t xml:space="preserve"> servicii. </w:t>
            </w:r>
          </w:p>
          <w:p w:rsidR="00BA39E7" w:rsidRDefault="00B31BBE" w:rsidP="004A06D0">
            <w:pPr>
              <w:autoSpaceDE w:val="0"/>
              <w:autoSpaceDN w:val="0"/>
              <w:adjustRightInd w:val="0"/>
              <w:ind w:firstLine="251"/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 xml:space="preserve">Pentru a evita aceste efecte, prin prezentul act normativ se propune acordarea unei reduceri de accize </w:t>
            </w:r>
            <w:r w:rsidR="00136FD9">
              <w:rPr>
                <w:sz w:val="24"/>
                <w:szCs w:val="24"/>
              </w:rPr>
              <w:t xml:space="preserve">de </w:t>
            </w:r>
            <w:r w:rsidR="00136FD9" w:rsidRPr="00756088">
              <w:rPr>
                <w:rFonts w:eastAsia="EUAlbertina-Regular-Identity-H"/>
                <w:sz w:val="24"/>
                <w:szCs w:val="24"/>
              </w:rPr>
              <w:t xml:space="preserve">40 de euro/1.000 litri, </w:t>
            </w:r>
            <w:r w:rsidR="00136FD9">
              <w:rPr>
                <w:rFonts w:eastAsia="EUAlbertina-Regular-Identity-H"/>
                <w:sz w:val="24"/>
                <w:szCs w:val="24"/>
              </w:rPr>
              <w:t>respectiv cu 47,34 euro/tonă,</w:t>
            </w:r>
            <w:r w:rsidR="00136FD9" w:rsidRPr="00756088">
              <w:rPr>
                <w:sz w:val="24"/>
                <w:szCs w:val="24"/>
              </w:rPr>
              <w:t xml:space="preserve"> </w:t>
            </w:r>
            <w:r w:rsidR="00D206ED">
              <w:rPr>
                <w:sz w:val="24"/>
                <w:szCs w:val="24"/>
              </w:rPr>
              <w:t xml:space="preserve">faţă e nivelul standard prevăzut de lege, </w:t>
            </w:r>
            <w:r w:rsidR="00D206ED" w:rsidRPr="00D206ED">
              <w:rPr>
                <w:sz w:val="24"/>
                <w:szCs w:val="24"/>
              </w:rPr>
              <w:t xml:space="preserve">respectiv </w:t>
            </w:r>
            <w:r w:rsidR="00D206ED" w:rsidRPr="00D206ED">
              <w:rPr>
                <w:iCs/>
                <w:sz w:val="24"/>
                <w:szCs w:val="24"/>
                <w:lang w:eastAsia="en-US"/>
              </w:rPr>
              <w:t xml:space="preserve"> 400,395 euro/1000 litri sau 473,85 euro/to</w:t>
            </w:r>
            <w:r w:rsidR="003F5B42">
              <w:rPr>
                <w:iCs/>
                <w:sz w:val="24"/>
                <w:szCs w:val="24"/>
                <w:lang w:eastAsia="en-US"/>
              </w:rPr>
              <w:t xml:space="preserve">, </w:t>
            </w:r>
            <w:r w:rsidRPr="00756088">
              <w:rPr>
                <w:sz w:val="24"/>
                <w:szCs w:val="24"/>
              </w:rPr>
              <w:t xml:space="preserve">pentru motorina utilizată drept carburant </w:t>
            </w:r>
            <w:r w:rsidR="004A06D0">
              <w:rPr>
                <w:sz w:val="24"/>
                <w:szCs w:val="24"/>
              </w:rPr>
              <w:t xml:space="preserve"> pentru</w:t>
            </w:r>
            <w:r w:rsidR="004A06D0" w:rsidRPr="004A06D0">
              <w:rPr>
                <w:sz w:val="24"/>
                <w:szCs w:val="24"/>
              </w:rPr>
              <w:t xml:space="preserve"> transport rutier de mărfuri în cont propriu sau pentru alte persoane</w:t>
            </w:r>
            <w:r w:rsidR="004A06D0" w:rsidRPr="004A06D0">
              <w:rPr>
                <w:rFonts w:eastAsia="EUAlbertina-Regular-Identity-H"/>
                <w:sz w:val="24"/>
                <w:szCs w:val="24"/>
              </w:rPr>
              <w:t>, cu autovehicule sau ansambluri de vehicule articulate destinate exclusiv transportului rutier de mărfuri şi cu o greutate brută maximă autorizată de cel puţin 7,5 tone</w:t>
            </w:r>
            <w:r w:rsidR="004A06D0">
              <w:rPr>
                <w:sz w:val="24"/>
                <w:szCs w:val="24"/>
              </w:rPr>
              <w:t xml:space="preserve"> precum şi pentru </w:t>
            </w:r>
            <w:r w:rsidR="004A06D0" w:rsidRPr="004A06D0">
              <w:rPr>
                <w:sz w:val="24"/>
                <w:szCs w:val="24"/>
              </w:rPr>
              <w:t xml:space="preserve">  transportul de călători, regulat sau ocazional, exclusiv transportul public de călători, cu un autovehicul din categoria M2 sau M3, definit în Directiva 70/156/CEE a Consiliului din 6 februarie 1970 privind apropierea legislațiilor statelor membre referitoare la omologarea autovehiculelor și a remorcilor acestora</w:t>
            </w:r>
            <w:r w:rsidR="004A06D0">
              <w:rPr>
                <w:sz w:val="24"/>
                <w:szCs w:val="24"/>
              </w:rPr>
              <w:t>.</w:t>
            </w:r>
            <w:r w:rsidR="00A31F0D">
              <w:rPr>
                <w:sz w:val="24"/>
                <w:szCs w:val="24"/>
              </w:rPr>
              <w:t xml:space="preserve"> Reducerea de accize se realizează prin restituire diferenţei </w:t>
            </w:r>
            <w:r w:rsidR="00A31F0D" w:rsidRPr="00756088">
              <w:rPr>
                <w:rFonts w:eastAsia="EUAlbertina-Regular-Identity-H"/>
                <w:sz w:val="24"/>
                <w:szCs w:val="24"/>
              </w:rPr>
              <w:t>40 de euro/1.000 litri</w:t>
            </w:r>
            <w:r w:rsidR="00A31F0D" w:rsidRPr="00756088">
              <w:rPr>
                <w:sz w:val="24"/>
                <w:szCs w:val="24"/>
              </w:rPr>
              <w:t xml:space="preserve"> </w:t>
            </w:r>
            <w:r w:rsidR="00A31F0D">
              <w:rPr>
                <w:sz w:val="24"/>
                <w:szCs w:val="24"/>
              </w:rPr>
              <w:t xml:space="preserve">operatorilor economici licentiati </w:t>
            </w:r>
            <w:r w:rsidR="00C84842">
              <w:rPr>
                <w:sz w:val="24"/>
                <w:szCs w:val="24"/>
              </w:rPr>
              <w:t>în Uniunea Europeană</w:t>
            </w:r>
            <w:r w:rsidR="00A31F0D">
              <w:rPr>
                <w:sz w:val="24"/>
                <w:szCs w:val="24"/>
              </w:rPr>
              <w:t xml:space="preserve">. </w:t>
            </w:r>
            <w:r w:rsidRPr="00756088">
              <w:rPr>
                <w:sz w:val="24"/>
                <w:szCs w:val="24"/>
              </w:rPr>
              <w:t>Condiţiile</w:t>
            </w:r>
            <w:r w:rsidR="00A464C7">
              <w:rPr>
                <w:sz w:val="24"/>
                <w:szCs w:val="24"/>
              </w:rPr>
              <w:t xml:space="preserve">, </w:t>
            </w:r>
            <w:r w:rsidRPr="00756088">
              <w:rPr>
                <w:sz w:val="24"/>
                <w:szCs w:val="24"/>
              </w:rPr>
              <w:t xml:space="preserve">procedura </w:t>
            </w:r>
            <w:r w:rsidR="00A464C7">
              <w:rPr>
                <w:sz w:val="24"/>
                <w:szCs w:val="24"/>
              </w:rPr>
              <w:t xml:space="preserve">şi termenele </w:t>
            </w:r>
            <w:r w:rsidRPr="00756088">
              <w:rPr>
                <w:sz w:val="24"/>
                <w:szCs w:val="24"/>
              </w:rPr>
              <w:t xml:space="preserve">de restituire se stabilesc prin </w:t>
            </w:r>
            <w:r w:rsidR="00A464C7">
              <w:rPr>
                <w:sz w:val="24"/>
                <w:szCs w:val="24"/>
              </w:rPr>
              <w:t>hotărâre a Guvernului</w:t>
            </w:r>
            <w:r w:rsidRPr="00756088">
              <w:rPr>
                <w:sz w:val="24"/>
                <w:szCs w:val="24"/>
              </w:rPr>
              <w:t xml:space="preserve">. </w:t>
            </w:r>
          </w:p>
          <w:p w:rsidR="004A06D0" w:rsidRPr="00756088" w:rsidRDefault="004A06D0" w:rsidP="004A06D0">
            <w:pPr>
              <w:autoSpaceDE w:val="0"/>
              <w:autoSpaceDN w:val="0"/>
              <w:adjustRightInd w:val="0"/>
              <w:ind w:firstLine="251"/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Se are în vedere faptul că sectorul transporturilor de bunuri poate influenţa pe orizontală evoluţia preţurilor în întreaga economie naţională.</w:t>
            </w:r>
            <w:r>
              <w:rPr>
                <w:sz w:val="24"/>
                <w:szCs w:val="24"/>
              </w:rPr>
              <w:t xml:space="preserve"> În ce priveşte </w:t>
            </w:r>
            <w:r>
              <w:rPr>
                <w:sz w:val="24"/>
                <w:szCs w:val="24"/>
              </w:rPr>
              <w:lastRenderedPageBreak/>
              <w:t>acordarea acestei facilităţi pentru transportul de persoane  se are în vedere menţinerea competitivităţii la nivel internaţional a transportului de călători,  dar şi considerente de ordin social, respectiv menţinerea unui nivel optim al costurilor de transport.</w:t>
            </w:r>
          </w:p>
          <w:p w:rsidR="004A06D0" w:rsidRDefault="00B31BBE" w:rsidP="00E90BA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 xml:space="preserve">Măsura se aplică numai pentru motorină, </w:t>
            </w:r>
            <w:r w:rsidR="00A464C7">
              <w:rPr>
                <w:sz w:val="24"/>
                <w:szCs w:val="24"/>
              </w:rPr>
              <w:t xml:space="preserve">întrucât este combustibilul pentru care </w:t>
            </w:r>
            <w:r w:rsidR="00A464C7" w:rsidRPr="004319F8">
              <w:rPr>
                <w:sz w:val="24"/>
                <w:szCs w:val="24"/>
              </w:rPr>
              <w:t>Directiva 2003/96/CE privind restructurarea cadrului comunitar de impozitare a produselor</w:t>
            </w:r>
            <w:r w:rsidR="00A464C7">
              <w:rPr>
                <w:sz w:val="24"/>
                <w:szCs w:val="24"/>
              </w:rPr>
              <w:t xml:space="preserve"> energetice și a electricității permite a</w:t>
            </w:r>
            <w:r w:rsidR="00E90BAA" w:rsidRPr="004319F8">
              <w:rPr>
                <w:sz w:val="24"/>
                <w:szCs w:val="24"/>
              </w:rPr>
              <w:t>cordarea unei reduceri de accize pentru motorina utilizată drept carburant</w:t>
            </w:r>
            <w:r w:rsidR="00A464C7">
              <w:rPr>
                <w:sz w:val="24"/>
                <w:szCs w:val="24"/>
              </w:rPr>
              <w:t>.</w:t>
            </w:r>
          </w:p>
          <w:p w:rsidR="00A464C7" w:rsidRDefault="00A464C7" w:rsidP="00E90BA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Sunt de asemenea respectate condiţiile impuse la art 7 din Directiva</w:t>
            </w:r>
            <w:r w:rsidR="004A06D0">
              <w:rPr>
                <w:sz w:val="24"/>
                <w:szCs w:val="24"/>
              </w:rPr>
              <w:t xml:space="preserve"> </w:t>
            </w:r>
            <w:r w:rsidRPr="004319F8">
              <w:rPr>
                <w:sz w:val="24"/>
                <w:szCs w:val="24"/>
              </w:rPr>
              <w:t>2003/96/CE</w:t>
            </w:r>
            <w:r>
              <w:rPr>
                <w:sz w:val="24"/>
                <w:szCs w:val="24"/>
              </w:rPr>
              <w:t>, respectiv:</w:t>
            </w:r>
          </w:p>
          <w:p w:rsidR="00A464C7" w:rsidRDefault="00E90BAA" w:rsidP="00A464C7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319F8">
              <w:rPr>
                <w:sz w:val="24"/>
                <w:szCs w:val="24"/>
              </w:rPr>
              <w:t>ca urmare a acestei reduceri,  rata accizei aplicată după 1 aprilie 20</w:t>
            </w:r>
            <w:r w:rsidR="00D55DB6">
              <w:rPr>
                <w:sz w:val="24"/>
                <w:szCs w:val="24"/>
              </w:rPr>
              <w:t xml:space="preserve">14 este de 360,395/1000 litri </w:t>
            </w:r>
            <w:r w:rsidRPr="004319F8">
              <w:rPr>
                <w:sz w:val="24"/>
                <w:szCs w:val="24"/>
              </w:rPr>
              <w:t xml:space="preserve">pentru motorina utilizată drept combustibil pentru motor se situează peste  rata </w:t>
            </w:r>
            <w:r w:rsidRPr="004319F8">
              <w:rPr>
                <w:sz w:val="24"/>
                <w:szCs w:val="24"/>
                <w:lang w:eastAsia="en-US"/>
              </w:rPr>
              <w:t>minimă instituită in Anexa I tabel A din directivă ca</w:t>
            </w:r>
            <w:r w:rsidR="00A464C7">
              <w:rPr>
                <w:sz w:val="24"/>
                <w:szCs w:val="24"/>
                <w:lang w:eastAsia="en-US"/>
              </w:rPr>
              <w:t>re este de  330 euro/1000 litri;</w:t>
            </w:r>
          </w:p>
          <w:p w:rsidR="00E90BAA" w:rsidRPr="00136FD9" w:rsidRDefault="00E90BAA" w:rsidP="00A464C7">
            <w:pPr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EUAlbertina-Regular-Identity-H"/>
                <w:sz w:val="24"/>
                <w:szCs w:val="24"/>
              </w:rPr>
            </w:pPr>
            <w:r w:rsidRPr="004319F8">
              <w:rPr>
                <w:sz w:val="24"/>
                <w:szCs w:val="24"/>
                <w:lang w:eastAsia="en-US"/>
              </w:rPr>
              <w:t xml:space="preserve"> rata </w:t>
            </w:r>
            <w:r w:rsidRPr="004319F8">
              <w:rPr>
                <w:sz w:val="24"/>
                <w:szCs w:val="24"/>
              </w:rPr>
              <w:t>accizei aplicată după 1 aprilie 2014</w:t>
            </w:r>
            <w:r w:rsidR="00A464C7">
              <w:rPr>
                <w:sz w:val="24"/>
                <w:szCs w:val="24"/>
              </w:rPr>
              <w:t>,</w:t>
            </w:r>
            <w:r w:rsidRPr="004319F8">
              <w:rPr>
                <w:sz w:val="24"/>
                <w:szCs w:val="24"/>
              </w:rPr>
              <w:t xml:space="preserve"> de 360,395/1000 litri</w:t>
            </w:r>
            <w:r w:rsidR="00A464C7">
              <w:rPr>
                <w:sz w:val="24"/>
                <w:szCs w:val="24"/>
              </w:rPr>
              <w:t>,</w:t>
            </w:r>
            <w:r w:rsidRPr="004319F8">
              <w:rPr>
                <w:sz w:val="24"/>
                <w:szCs w:val="24"/>
              </w:rPr>
              <w:t xml:space="preserve"> se situează peste rata naţională de impozitare a motorinei </w:t>
            </w:r>
            <w:r w:rsidR="00136FD9">
              <w:rPr>
                <w:sz w:val="24"/>
                <w:szCs w:val="24"/>
                <w:lang w:eastAsia="en-US"/>
              </w:rPr>
              <w:t xml:space="preserve">de 115 euro/tonă, </w:t>
            </w:r>
            <w:r w:rsidRPr="004319F8">
              <w:rPr>
                <w:sz w:val="24"/>
                <w:szCs w:val="24"/>
              </w:rPr>
              <w:t xml:space="preserve">în vigoare </w:t>
            </w:r>
            <w:r w:rsidRPr="004319F8">
              <w:rPr>
                <w:sz w:val="24"/>
                <w:szCs w:val="24"/>
                <w:lang w:eastAsia="en-US"/>
              </w:rPr>
              <w:t>la data de 1.01.2003</w:t>
            </w:r>
            <w:r w:rsidR="00136FD9">
              <w:rPr>
                <w:sz w:val="24"/>
                <w:szCs w:val="24"/>
                <w:lang w:eastAsia="en-US"/>
              </w:rPr>
              <w:t xml:space="preserve"> fiind</w:t>
            </w:r>
            <w:r w:rsidRPr="004319F8">
              <w:rPr>
                <w:sz w:val="24"/>
                <w:szCs w:val="24"/>
                <w:lang w:eastAsia="en-US"/>
              </w:rPr>
              <w:t xml:space="preserve"> instituită prin Ordonanţa de urgenţă a Guvernului nr. 158/2001 privind regimul accizelor.</w:t>
            </w:r>
          </w:p>
          <w:p w:rsidR="00136FD9" w:rsidRPr="004319F8" w:rsidRDefault="00136FD9" w:rsidP="00136FD9">
            <w:pPr>
              <w:tabs>
                <w:tab w:val="left" w:pos="1080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="EUAlbertina-Regular-Identity-H"/>
                <w:sz w:val="24"/>
                <w:szCs w:val="24"/>
              </w:rPr>
            </w:pPr>
          </w:p>
          <w:p w:rsidR="00A464C7" w:rsidRDefault="00A464C7" w:rsidP="00A464C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Întrucât la art 26 din </w:t>
            </w:r>
            <w:r w:rsidRPr="004319F8">
              <w:rPr>
                <w:sz w:val="24"/>
                <w:szCs w:val="24"/>
              </w:rPr>
              <w:t>Directiva 2003/96/CE</w:t>
            </w:r>
            <w:r w:rsidR="00B23582">
              <w:rPr>
                <w:sz w:val="24"/>
                <w:szCs w:val="24"/>
              </w:rPr>
              <w:t xml:space="preserve"> se prevede că m</w:t>
            </w:r>
            <w:r w:rsidRPr="00A464C7">
              <w:rPr>
                <w:iCs/>
                <w:sz w:val="24"/>
                <w:szCs w:val="24"/>
              </w:rPr>
              <w:t>ăsuri precum scutirile, reducerile, diferențierile sau rambursarea</w:t>
            </w:r>
            <w:r w:rsidR="00B23582">
              <w:rPr>
                <w:iCs/>
                <w:sz w:val="24"/>
                <w:szCs w:val="24"/>
              </w:rPr>
              <w:t xml:space="preserve"> </w:t>
            </w:r>
            <w:r w:rsidRPr="00A464C7">
              <w:rPr>
                <w:iCs/>
                <w:sz w:val="24"/>
                <w:szCs w:val="24"/>
              </w:rPr>
              <w:t>de impozite pot constitui ajutoare de stat și,</w:t>
            </w:r>
            <w:r w:rsidR="00B23582">
              <w:rPr>
                <w:iCs/>
                <w:sz w:val="24"/>
                <w:szCs w:val="24"/>
              </w:rPr>
              <w:t xml:space="preserve"> </w:t>
            </w:r>
            <w:r w:rsidRPr="00A464C7">
              <w:rPr>
                <w:iCs/>
                <w:sz w:val="24"/>
                <w:szCs w:val="24"/>
              </w:rPr>
              <w:t>în acest caz, trebuie notificate Comisiei în temeiul articolului 83</w:t>
            </w:r>
            <w:r w:rsidR="00B23582">
              <w:rPr>
                <w:iCs/>
                <w:sz w:val="24"/>
                <w:szCs w:val="24"/>
              </w:rPr>
              <w:t xml:space="preserve"> </w:t>
            </w:r>
            <w:r w:rsidRPr="00A464C7">
              <w:rPr>
                <w:iCs/>
                <w:sz w:val="24"/>
                <w:szCs w:val="24"/>
              </w:rPr>
              <w:t>alineatul (3) din tr</w:t>
            </w:r>
            <w:r w:rsidR="00B23582">
              <w:rPr>
                <w:iCs/>
                <w:sz w:val="24"/>
                <w:szCs w:val="24"/>
              </w:rPr>
              <w:t>atat, se vor parcurge procedurile specifice în domeniul ajutorului de stat.</w:t>
            </w:r>
            <w:r w:rsidR="00BA39E7">
              <w:rPr>
                <w:iCs/>
                <w:sz w:val="24"/>
                <w:szCs w:val="24"/>
              </w:rPr>
              <w:t xml:space="preserve"> </w:t>
            </w:r>
          </w:p>
          <w:p w:rsidR="00B23582" w:rsidRPr="00A464C7" w:rsidRDefault="003048DD" w:rsidP="00A464C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Restituirile de accize se aplică pentru cantităţile de motorină aprovizionate după data intrării în vigoare a ordonanţei de urgenţă.</w:t>
            </w:r>
          </w:p>
          <w:p w:rsidR="0095375B" w:rsidRPr="00136FD9" w:rsidRDefault="0095375B" w:rsidP="00B87D0D">
            <w:pPr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136FD9" w:rsidP="009537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Alte informaţii</w:t>
            </w: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Cs/>
                <w:sz w:val="24"/>
                <w:szCs w:val="24"/>
              </w:rPr>
            </w:pPr>
            <w:r w:rsidRPr="00756088">
              <w:rPr>
                <w:bCs/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700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3-a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Impactul socioeconomic al proiectului de act normativ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477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1. Impactul macroeconomic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pStyle w:val="TableText"/>
              <w:widowControl/>
              <w:jc w:val="both"/>
              <w:rPr>
                <w:bCs/>
                <w:lang w:val="ro-RO"/>
              </w:rPr>
            </w:pPr>
          </w:p>
          <w:p w:rsidR="0095375B" w:rsidRPr="00756088" w:rsidRDefault="0095375B" w:rsidP="004972C1">
            <w:pPr>
              <w:pStyle w:val="TableText"/>
              <w:widowControl/>
              <w:jc w:val="both"/>
              <w:rPr>
                <w:bCs/>
                <w:lang w:val="ro-RO"/>
              </w:rPr>
            </w:pPr>
          </w:p>
        </w:tc>
      </w:tr>
      <w:tr w:rsidR="0095375B" w:rsidRPr="00756088">
        <w:trPr>
          <w:trHeight w:val="88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</w:t>
            </w:r>
            <w:r w:rsidRPr="00756088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756088">
              <w:rPr>
                <w:b/>
                <w:bCs/>
                <w:sz w:val="24"/>
                <w:szCs w:val="24"/>
              </w:rPr>
              <w:t xml:space="preserve"> Impactul asupra mediului concurenţial şi domeniului ajutoarelor de stat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both"/>
              <w:rPr>
                <w:sz w:val="24"/>
                <w:szCs w:val="24"/>
                <w:lang/>
              </w:rPr>
            </w:pPr>
            <w:r w:rsidRPr="00756088">
              <w:rPr>
                <w:sz w:val="24"/>
                <w:szCs w:val="24"/>
              </w:rPr>
              <w:t xml:space="preserve">Proiectul de act normativ creează distorsiuni ale mecanismelor concurenţiale existente şi are impact asupra domeniului </w:t>
            </w:r>
            <w:r w:rsidRPr="00756088">
              <w:rPr>
                <w:sz w:val="24"/>
                <w:szCs w:val="24"/>
                <w:lang/>
              </w:rPr>
              <w:t>ajutoarelor de stat.</w:t>
            </w:r>
          </w:p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54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2. Impactul asupra mediului de afaceri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pStyle w:val="DefaultText"/>
              <w:ind w:left="26" w:firstLine="201"/>
              <w:jc w:val="both"/>
              <w:rPr>
                <w:rStyle w:val="fontstyle13"/>
                <w:lang w:val="ro-RO"/>
              </w:rPr>
            </w:pPr>
          </w:p>
          <w:p w:rsidR="0095375B" w:rsidRPr="00756088" w:rsidRDefault="003B0CA5" w:rsidP="003B0CA5">
            <w:pPr>
              <w:pStyle w:val="DefaultText"/>
              <w:ind w:left="26"/>
              <w:jc w:val="both"/>
              <w:rPr>
                <w:lang w:val="ro-RO"/>
              </w:rPr>
            </w:pPr>
            <w:r w:rsidRPr="00D73916">
              <w:rPr>
                <w:lang w:val="ro-RO"/>
              </w:rPr>
              <w:t>Prezentul act normativ are un impact semnificativ asupra mediului de afaceri</w:t>
            </w:r>
            <w:r w:rsidR="00D73916" w:rsidRPr="00D73916">
              <w:rPr>
                <w:lang w:val="ro-RO"/>
              </w:rPr>
              <w:t xml:space="preserve"> din perspectiva reducerii accizelor pentru transportatorii de mărfuri</w:t>
            </w:r>
            <w:r w:rsidR="00DB726D">
              <w:rPr>
                <w:lang w:val="ro-RO"/>
              </w:rPr>
              <w:t xml:space="preserve"> şi de persoane</w:t>
            </w:r>
            <w:r w:rsidRPr="00D73916">
              <w:rPr>
                <w:lang w:val="ro-RO"/>
              </w:rPr>
              <w:t>.</w:t>
            </w:r>
          </w:p>
        </w:tc>
      </w:tr>
      <w:tr w:rsidR="0095375B" w:rsidRPr="00756088">
        <w:trPr>
          <w:trHeight w:val="429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3. Impactul social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pStyle w:val="DefaultText"/>
              <w:ind w:left="26" w:firstLine="201"/>
              <w:jc w:val="both"/>
              <w:rPr>
                <w:lang w:val="ro-RO"/>
              </w:rPr>
            </w:pPr>
          </w:p>
          <w:p w:rsidR="0095375B" w:rsidRPr="00756088" w:rsidRDefault="0095375B" w:rsidP="003B0CA5">
            <w:pPr>
              <w:pStyle w:val="DefaultText"/>
              <w:ind w:left="26" w:firstLine="201"/>
              <w:jc w:val="both"/>
              <w:rPr>
                <w:lang w:val="ro-RO"/>
              </w:rPr>
            </w:pPr>
          </w:p>
        </w:tc>
      </w:tr>
      <w:tr w:rsidR="0095375B" w:rsidRPr="00756088">
        <w:trPr>
          <w:trHeight w:val="238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4. Impactul asupra mediului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pStyle w:val="TableText"/>
              <w:widowControl/>
              <w:jc w:val="both"/>
              <w:rPr>
                <w:lang w:val="ro-RO"/>
              </w:rPr>
            </w:pPr>
            <w:r w:rsidRPr="00756088">
              <w:rPr>
                <w:lang w:val="ro-RO"/>
              </w:rPr>
              <w:t>Prezentul proiect de act normativ nu are impact asupra mediului</w:t>
            </w:r>
          </w:p>
        </w:tc>
      </w:tr>
      <w:tr w:rsidR="0095375B" w:rsidRPr="00756088">
        <w:trPr>
          <w:trHeight w:val="237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5. Alte informaţii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au fost identificate.</w:t>
            </w:r>
          </w:p>
        </w:tc>
      </w:tr>
      <w:tr w:rsidR="0095375B" w:rsidRPr="00756088">
        <w:trPr>
          <w:trHeight w:val="926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4-a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Impactul financiar asupra bugetului general consolidat, atât pe termen scurt, pentru anul curent, cât şi pe termen lung (pe 5 ani)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80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right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- mil. lei -</w:t>
            </w:r>
          </w:p>
        </w:tc>
      </w:tr>
      <w:tr w:rsidR="0095375B" w:rsidRPr="00756088">
        <w:trPr>
          <w:trHeight w:val="276"/>
        </w:trPr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152651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Anul curent 2014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Următorii 4 ani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Media pe 5 ani</w:t>
            </w:r>
          </w:p>
        </w:tc>
      </w:tr>
      <w:tr w:rsidR="0095375B" w:rsidRPr="00756088">
        <w:trPr>
          <w:trHeight w:val="275"/>
        </w:trPr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152651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152651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</w:t>
            </w:r>
            <w:r w:rsidR="00152651">
              <w:rPr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152651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24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7</w:t>
            </w:r>
          </w:p>
        </w:tc>
      </w:tr>
      <w:tr w:rsidR="0095375B" w:rsidRPr="00756088">
        <w:trPr>
          <w:trHeight w:val="882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1) Modificări ale veniturilor bugetare, plus/minus, din care: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E7" w:rsidRPr="00756088" w:rsidRDefault="00BA39E7" w:rsidP="00953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- 353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6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a) buget de stat, din acestea: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impozit pe profit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(ii) impozit pe venit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(iii) impozit pe veniturile microîntreprinderilor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(iv) TVA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(v) accize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617094" w:rsidRDefault="00BA39E7" w:rsidP="00BA39E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- 353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26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(vi) impozitul pe construcţii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26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(vii) redevenţe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26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b) bugete locale: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21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impozite şi taxe locale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627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c) bugetul asigurărilor sociale de stat: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455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contribuţii de asigurări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803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2) Modificări ale cheltuielilor bugetare, plus/minus, din care: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442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a) buget de stat, din acestea: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58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11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(ii) bunuri şi servicii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299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b) bugete locale: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22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64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(ii) bunuri şi servicii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498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c) bugetul asigurărilor sociale de stat: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26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51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(ii) bunuri şi servicii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649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3) Impact financiar, plus/minus, din care: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a) buget de stat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00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b) bugete locale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945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lastRenderedPageBreak/>
              <w:t>4) Propuneri pentru acoperirea creşterii cheltuielilor bugetare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866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5) Propuneri pentru a compensa reducerea veniturilor bugetare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1432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6) Calcule detaliate privind fundamentarea modificărilor veniturilor şi/sau cheltuielilor bugetare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345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sz w:val="24"/>
                <w:szCs w:val="24"/>
              </w:rPr>
              <w:t>7) Alte informaţii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771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5-a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Efectele proiectului de act normativ asupra legislaţiei în vigoare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316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iCs/>
                <w:sz w:val="24"/>
                <w:szCs w:val="24"/>
              </w:rPr>
              <w:t>1.</w:t>
            </w:r>
            <w:r w:rsidRPr="00756088">
              <w:rPr>
                <w:b/>
                <w:sz w:val="24"/>
                <w:szCs w:val="24"/>
              </w:rPr>
              <w:t xml:space="preserve"> Măsuri normative necesare pentru aplicarea prevederilor proiectului de act normativ</w:t>
            </w:r>
          </w:p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sz w:val="24"/>
                <w:szCs w:val="24"/>
              </w:rPr>
              <w:t>a) acte normative în vigoare ce vor fi modificate sau abrogate, ca urmare a intrării în vigoare a proiectului de act normativ;</w:t>
            </w:r>
          </w:p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</w:p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</w:p>
          <w:p w:rsidR="00F07254" w:rsidRPr="00756088" w:rsidRDefault="00F07254" w:rsidP="0095375B">
            <w:pPr>
              <w:jc w:val="both"/>
              <w:rPr>
                <w:sz w:val="24"/>
                <w:szCs w:val="24"/>
              </w:rPr>
            </w:pPr>
          </w:p>
          <w:p w:rsidR="00F07254" w:rsidRPr="00756088" w:rsidRDefault="00F07254" w:rsidP="0095375B">
            <w:pPr>
              <w:jc w:val="both"/>
              <w:rPr>
                <w:sz w:val="24"/>
                <w:szCs w:val="24"/>
              </w:rPr>
            </w:pPr>
          </w:p>
          <w:p w:rsidR="00F07254" w:rsidRPr="00756088" w:rsidRDefault="00F07254" w:rsidP="0095375B">
            <w:pPr>
              <w:jc w:val="both"/>
              <w:rPr>
                <w:sz w:val="24"/>
                <w:szCs w:val="24"/>
              </w:rPr>
            </w:pPr>
          </w:p>
          <w:p w:rsidR="00F07254" w:rsidRPr="00756088" w:rsidRDefault="00F07254" w:rsidP="0095375B">
            <w:pPr>
              <w:jc w:val="both"/>
              <w:rPr>
                <w:sz w:val="24"/>
                <w:szCs w:val="24"/>
              </w:rPr>
            </w:pPr>
          </w:p>
          <w:p w:rsidR="00F07254" w:rsidRPr="00756088" w:rsidRDefault="00F07254" w:rsidP="00F072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56088">
              <w:rPr>
                <w:sz w:val="24"/>
                <w:szCs w:val="24"/>
                <w:lang w:eastAsia="en-US"/>
              </w:rPr>
              <w:t xml:space="preserve">- </w:t>
            </w:r>
            <w:r w:rsidR="00617094">
              <w:rPr>
                <w:sz w:val="24"/>
                <w:szCs w:val="24"/>
                <w:lang w:eastAsia="en-US"/>
              </w:rPr>
              <w:t xml:space="preserve">Hotărâre a Guvernului pentru </w:t>
            </w:r>
            <w:r w:rsidRPr="00756088">
              <w:rPr>
                <w:sz w:val="24"/>
                <w:szCs w:val="24"/>
                <w:lang w:eastAsia="en-US"/>
              </w:rPr>
              <w:t>aprobarea procedurii</w:t>
            </w:r>
            <w:r w:rsidR="00617094">
              <w:rPr>
                <w:sz w:val="24"/>
                <w:szCs w:val="24"/>
                <w:lang w:eastAsia="en-US"/>
              </w:rPr>
              <w:t xml:space="preserve"> şi a termenelor </w:t>
            </w:r>
            <w:r w:rsidRPr="00756088">
              <w:rPr>
                <w:sz w:val="24"/>
                <w:szCs w:val="24"/>
                <w:lang w:eastAsia="en-US"/>
              </w:rPr>
              <w:t>de restituire a accizelor pentru motorina utilizată în activitate de transport rutier de mărfuri</w:t>
            </w:r>
            <w:r w:rsidR="00DB726D">
              <w:rPr>
                <w:sz w:val="24"/>
                <w:szCs w:val="24"/>
                <w:lang w:eastAsia="en-US"/>
              </w:rPr>
              <w:t xml:space="preserve"> ş</w:t>
            </w:r>
            <w:r w:rsidR="00026542">
              <w:rPr>
                <w:sz w:val="24"/>
                <w:szCs w:val="24"/>
                <w:lang w:eastAsia="en-US"/>
              </w:rPr>
              <w:t>i</w:t>
            </w:r>
            <w:r w:rsidR="00DB726D">
              <w:rPr>
                <w:sz w:val="24"/>
                <w:szCs w:val="24"/>
                <w:lang w:eastAsia="en-US"/>
              </w:rPr>
              <w:t xml:space="preserve"> de persoane</w:t>
            </w:r>
            <w:r w:rsidRPr="00756088">
              <w:rPr>
                <w:sz w:val="24"/>
                <w:szCs w:val="24"/>
                <w:lang w:eastAsia="en-US"/>
              </w:rPr>
              <w:t xml:space="preserve"> în baza prevederilor art. 176 alin. (8) din </w:t>
            </w:r>
            <w:r w:rsidRPr="00756088">
              <w:rPr>
                <w:sz w:val="24"/>
                <w:szCs w:val="24"/>
              </w:rPr>
              <w:t>Legea nr. 571/2003 privind Codul fiscal, cu modificările şi completările ulterioare</w:t>
            </w:r>
            <w:r w:rsidRPr="00756088">
              <w:rPr>
                <w:sz w:val="24"/>
                <w:szCs w:val="24"/>
                <w:lang w:eastAsia="en-US"/>
              </w:rPr>
              <w:t>.</w:t>
            </w:r>
          </w:p>
          <w:p w:rsidR="0095375B" w:rsidRPr="00756088" w:rsidRDefault="0095375B" w:rsidP="0095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375B" w:rsidRPr="00756088">
        <w:trPr>
          <w:trHeight w:val="862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 xml:space="preserve">2) </w:t>
            </w:r>
            <w:r w:rsidRPr="00756088">
              <w:rPr>
                <w:b/>
                <w:sz w:val="24"/>
                <w:szCs w:val="24"/>
              </w:rPr>
              <w:t>Conformitatea proiectului de act normativ cu legislaţia comunitară în cazul proiectelor ce transpun prevederi comunitare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C75A05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 xml:space="preserve">Prevederile proiectului sunt conforme cu </w:t>
            </w:r>
            <w:r>
              <w:rPr>
                <w:sz w:val="24"/>
                <w:szCs w:val="24"/>
              </w:rPr>
              <w:t xml:space="preserve">prevederile art 6  şi 7 alin.(3)  din Directiva 2003/96/CE </w:t>
            </w:r>
            <w:r w:rsidRPr="009B52BB">
              <w:rPr>
                <w:sz w:val="24"/>
                <w:szCs w:val="24"/>
              </w:rPr>
              <w:t>privind restructurarea cadrului comunitar de impozitare a produselor energetice și a electricității</w:t>
            </w:r>
            <w:r w:rsidRPr="00756088">
              <w:rPr>
                <w:sz w:val="24"/>
                <w:szCs w:val="24"/>
              </w:rPr>
              <w:t>.</w:t>
            </w:r>
          </w:p>
        </w:tc>
      </w:tr>
      <w:tr w:rsidR="0095375B" w:rsidRPr="00756088">
        <w:trPr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 xml:space="preserve">3) </w:t>
            </w:r>
            <w:r w:rsidRPr="00756088">
              <w:rPr>
                <w:b/>
                <w:sz w:val="24"/>
                <w:szCs w:val="24"/>
              </w:rPr>
              <w:t>Măsuri normative necesare aplicării directe a actelor normative comunitare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831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 xml:space="preserve">4) </w:t>
            </w:r>
            <w:r w:rsidRPr="00756088">
              <w:rPr>
                <w:b/>
                <w:sz w:val="24"/>
                <w:szCs w:val="24"/>
              </w:rPr>
              <w:t>Hotărâri ale Curţii de Justiţie a Uniunii Europene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Modificările legislative nu contravin jurisprudenţei Curţii de Justiţie a Uniunii Europene.</w:t>
            </w:r>
          </w:p>
        </w:tc>
      </w:tr>
      <w:tr w:rsidR="0095375B" w:rsidRPr="00756088">
        <w:trPr>
          <w:trHeight w:val="918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 xml:space="preserve">5) </w:t>
            </w:r>
            <w:r w:rsidRPr="00756088">
              <w:rPr>
                <w:b/>
                <w:sz w:val="24"/>
                <w:szCs w:val="24"/>
              </w:rPr>
              <w:t>Alte acte normative şi/sau documente internaţionale din care decurg angajamente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426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 xml:space="preserve">6) </w:t>
            </w:r>
            <w:r w:rsidRPr="00756088">
              <w:rPr>
                <w:b/>
                <w:sz w:val="24"/>
                <w:szCs w:val="24"/>
              </w:rPr>
              <w:t>Alte informaţii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75B" w:rsidRPr="00756088" w:rsidRDefault="00617094" w:rsidP="0095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Măsurile instituite  se acordă după parcurgerea procedurilor specifice ajutorului de stat</w:t>
            </w:r>
          </w:p>
          <w:p w:rsidR="0095375B" w:rsidRPr="00756088" w:rsidRDefault="0095375B" w:rsidP="0095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640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6-a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Consultările efectuate în vederea elaborării proiectului de act normativ</w:t>
            </w:r>
          </w:p>
        </w:tc>
      </w:tr>
      <w:tr w:rsidR="0095375B" w:rsidRPr="00756088">
        <w:trPr>
          <w:trHeight w:val="407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1) Informaţii privind procesul de consultare cu organizaţii neguvernamentale, institute de cercetare şi alte organisme implicate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75B" w:rsidRDefault="0095375B" w:rsidP="0095375B">
            <w:pPr>
              <w:pStyle w:val="DefaultText"/>
              <w:jc w:val="both"/>
              <w:rPr>
                <w:lang w:val="ro-RO"/>
              </w:rPr>
            </w:pPr>
          </w:p>
          <w:p w:rsidR="00044A1D" w:rsidRDefault="00044A1D" w:rsidP="0095375B">
            <w:pPr>
              <w:pStyle w:val="DefaultText"/>
              <w:jc w:val="both"/>
              <w:rPr>
                <w:lang w:val="ro-RO"/>
              </w:rPr>
            </w:pPr>
          </w:p>
          <w:p w:rsidR="00044A1D" w:rsidRDefault="00044A1D" w:rsidP="0095375B">
            <w:pPr>
              <w:pStyle w:val="DefaultText"/>
              <w:jc w:val="both"/>
              <w:rPr>
                <w:lang w:val="ro-RO"/>
              </w:rPr>
            </w:pPr>
          </w:p>
          <w:p w:rsidR="00617094" w:rsidRDefault="00617094" w:rsidP="0095375B">
            <w:pPr>
              <w:pStyle w:val="DefaultText"/>
              <w:jc w:val="both"/>
              <w:rPr>
                <w:lang w:val="ro-RO"/>
              </w:rPr>
            </w:pPr>
          </w:p>
          <w:p w:rsidR="00044A1D" w:rsidRPr="00756088" w:rsidRDefault="00044A1D" w:rsidP="0095375B">
            <w:pPr>
              <w:pStyle w:val="DefaultText"/>
              <w:jc w:val="both"/>
              <w:rPr>
                <w:lang w:val="ro-RO"/>
              </w:rPr>
            </w:pPr>
          </w:p>
        </w:tc>
      </w:tr>
      <w:tr w:rsidR="0095375B" w:rsidRPr="00756088">
        <w:trPr>
          <w:trHeight w:val="928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lastRenderedPageBreak/>
              <w:t>2)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pStyle w:val="DefaultText"/>
              <w:ind w:firstLine="318"/>
              <w:jc w:val="both"/>
              <w:rPr>
                <w:lang w:val="ro-RO"/>
              </w:rPr>
            </w:pPr>
          </w:p>
        </w:tc>
      </w:tr>
      <w:tr w:rsidR="0095375B" w:rsidRPr="00756088">
        <w:trPr>
          <w:trHeight w:val="2032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3)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E16AB" w:rsidP="009E16AB">
            <w:pPr>
              <w:pStyle w:val="DefaultText"/>
              <w:jc w:val="both"/>
              <w:rPr>
                <w:lang w:val="ro-RO"/>
              </w:rPr>
            </w:pPr>
            <w:r w:rsidRPr="00756088">
              <w:rPr>
                <w:bCs/>
              </w:rPr>
              <w:t>Nu este cazul.</w:t>
            </w:r>
          </w:p>
        </w:tc>
      </w:tr>
      <w:tr w:rsidR="0095375B" w:rsidRPr="00756088">
        <w:trPr>
          <w:trHeight w:val="1152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4)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Cs/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5) Informaţii privind avizarea de către: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a) Consiliul Legislativ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Cs/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 xml:space="preserve">Proiectul de act normativ se avizează de către </w:t>
            </w:r>
            <w:r w:rsidRPr="00756088">
              <w:rPr>
                <w:bCs/>
                <w:sz w:val="24"/>
                <w:szCs w:val="24"/>
              </w:rPr>
              <w:t>Consiliul Legislativ.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b) Consiliul Suprem de Apărare a Ţării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c) Consiliul Economic şi Social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617094" w:rsidRDefault="00617094" w:rsidP="0095375B">
            <w:pPr>
              <w:rPr>
                <w:bCs/>
                <w:sz w:val="24"/>
                <w:szCs w:val="24"/>
              </w:rPr>
            </w:pPr>
            <w:r w:rsidRPr="00617094">
              <w:rPr>
                <w:sz w:val="24"/>
                <w:szCs w:val="24"/>
                <w:lang w:val="pt-BR"/>
              </w:rPr>
              <w:t xml:space="preserve">Proiectul de act normativ se avizează de către </w:t>
            </w:r>
            <w:r w:rsidRPr="00617094">
              <w:rPr>
                <w:bCs/>
                <w:sz w:val="24"/>
                <w:szCs w:val="24"/>
                <w:lang w:val="pt-BR"/>
              </w:rPr>
              <w:t>Consiliul Economic şi Social.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d) Consiliul Concurenţei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F04475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Proiectul de act normativ</w:t>
            </w:r>
            <w:r>
              <w:rPr>
                <w:sz w:val="24"/>
                <w:szCs w:val="24"/>
              </w:rPr>
              <w:t xml:space="preserve"> a fost transmis </w:t>
            </w:r>
            <w:r w:rsidRPr="00F04475">
              <w:rPr>
                <w:bCs/>
                <w:sz w:val="24"/>
                <w:szCs w:val="24"/>
              </w:rPr>
              <w:t>Consiliul Concurenţei pentru punct de vedere.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e) Curtea de conturi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49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6) Alte informaţii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803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Secţiunea a 7-a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Activităţi de informare publică privind elaborarea şi implementarea proiectului de act normativ</w:t>
            </w:r>
          </w:p>
        </w:tc>
      </w:tr>
      <w:tr w:rsidR="0095375B" w:rsidRPr="00756088">
        <w:trPr>
          <w:trHeight w:val="44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1) Informarea societăţii civile cu privire la necesitatea elaborării proiectului de act normativ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Default="0095375B" w:rsidP="0095375B">
            <w:pPr>
              <w:jc w:val="both"/>
              <w:rPr>
                <w:bCs/>
                <w:sz w:val="24"/>
                <w:szCs w:val="24"/>
              </w:rPr>
            </w:pPr>
            <w:r w:rsidRPr="00756088">
              <w:rPr>
                <w:bCs/>
                <w:sz w:val="24"/>
                <w:szCs w:val="24"/>
              </w:rPr>
              <w:t>Proiectul de act normativ se publică pe site-ul Ministerului Finanţelor Publice</w:t>
            </w:r>
            <w:r w:rsidR="00D60271">
              <w:rPr>
                <w:bCs/>
                <w:sz w:val="24"/>
                <w:szCs w:val="24"/>
              </w:rPr>
              <w:t>.</w:t>
            </w:r>
          </w:p>
          <w:p w:rsidR="00D60271" w:rsidRPr="00756088" w:rsidRDefault="00D60271" w:rsidP="009537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407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2) Informarea societăţii civile cu privire la eventualul impact asupra mediului în urma implementarii proiectului de act normativ, precum şi efectele asupra sănătăţii şi securităţii cetăţenilor sau diversităţii biologice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cazul.</w:t>
            </w:r>
          </w:p>
        </w:tc>
      </w:tr>
      <w:tr w:rsidR="0095375B" w:rsidRPr="00756088">
        <w:trPr>
          <w:trHeight w:val="281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3) Alte informaţii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cazul.</w:t>
            </w:r>
          </w:p>
          <w:p w:rsidR="004D288E" w:rsidRPr="00756088" w:rsidRDefault="004D288E" w:rsidP="0095375B">
            <w:pPr>
              <w:rPr>
                <w:sz w:val="24"/>
                <w:szCs w:val="24"/>
              </w:rPr>
            </w:pPr>
          </w:p>
        </w:tc>
      </w:tr>
      <w:tr w:rsidR="0095375B" w:rsidRPr="00756088">
        <w:trPr>
          <w:trHeight w:val="703"/>
        </w:trPr>
        <w:tc>
          <w:tcPr>
            <w:tcW w:w="10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BA39E7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Sectiune</w:t>
            </w:r>
            <w:r w:rsidR="00C92590">
              <w:rPr>
                <w:b/>
                <w:bCs/>
                <w:sz w:val="24"/>
                <w:szCs w:val="24"/>
              </w:rPr>
              <w:t xml:space="preserve">a </w:t>
            </w:r>
            <w:r w:rsidR="0095375B" w:rsidRPr="00756088">
              <w:rPr>
                <w:b/>
                <w:bCs/>
                <w:sz w:val="24"/>
                <w:szCs w:val="24"/>
              </w:rPr>
              <w:t>a 8-a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Măsuri de implementare</w:t>
            </w:r>
          </w:p>
          <w:p w:rsidR="0095375B" w:rsidRPr="00756088" w:rsidRDefault="0095375B" w:rsidP="00953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75B" w:rsidRPr="00756088">
        <w:trPr>
          <w:trHeight w:val="1093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1) Măsurile de punere în aplicare a proiectului de act normativ de către autorităţile administraţiei publice centrale şi/sau locale – înfiinţarea unor noi organisme sau extinderea competenţelor instituţiilor existente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</w:t>
            </w:r>
          </w:p>
        </w:tc>
      </w:tr>
      <w:tr w:rsidR="0095375B" w:rsidRPr="00756088">
        <w:trPr>
          <w:trHeight w:val="319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jc w:val="both"/>
              <w:rPr>
                <w:b/>
                <w:bCs/>
                <w:sz w:val="24"/>
                <w:szCs w:val="24"/>
              </w:rPr>
            </w:pPr>
            <w:r w:rsidRPr="00756088">
              <w:rPr>
                <w:b/>
                <w:bCs/>
                <w:sz w:val="24"/>
                <w:szCs w:val="24"/>
              </w:rPr>
              <w:t>2) Alte informaţii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5B" w:rsidRPr="00756088" w:rsidRDefault="0095375B" w:rsidP="0095375B">
            <w:pPr>
              <w:rPr>
                <w:sz w:val="24"/>
                <w:szCs w:val="24"/>
              </w:rPr>
            </w:pPr>
            <w:r w:rsidRPr="00756088">
              <w:rPr>
                <w:sz w:val="24"/>
                <w:szCs w:val="24"/>
              </w:rPr>
              <w:t>Nu este cazul</w:t>
            </w:r>
          </w:p>
        </w:tc>
      </w:tr>
    </w:tbl>
    <w:p w:rsidR="0095375B" w:rsidRPr="00756088" w:rsidRDefault="0095375B" w:rsidP="0095375B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sz w:val="24"/>
          <w:szCs w:val="24"/>
          <w:lang w:eastAsia="ja-JP"/>
        </w:rPr>
      </w:pPr>
      <w:r w:rsidRPr="00756088">
        <w:rPr>
          <w:sz w:val="24"/>
          <w:szCs w:val="24"/>
        </w:rPr>
        <w:lastRenderedPageBreak/>
        <w:t xml:space="preserve">Având în vedere cele prezentate, am elaborat prezentul proiect de ordonanţă de urgenţă pentru </w:t>
      </w:r>
      <w:r w:rsidRPr="00756088">
        <w:rPr>
          <w:rFonts w:eastAsia="MS Mincho"/>
          <w:sz w:val="24"/>
          <w:szCs w:val="24"/>
          <w:lang w:eastAsia="ja-JP"/>
        </w:rPr>
        <w:t>reglementarea unor măsuri financiar-fiscale</w:t>
      </w:r>
      <w:r w:rsidRPr="00756088">
        <w:rPr>
          <w:sz w:val="24"/>
          <w:szCs w:val="24"/>
        </w:rPr>
        <w:t>,</w:t>
      </w:r>
      <w:r w:rsidRPr="00756088">
        <w:rPr>
          <w:b/>
          <w:sz w:val="24"/>
          <w:szCs w:val="24"/>
        </w:rPr>
        <w:t xml:space="preserve"> </w:t>
      </w:r>
      <w:r w:rsidRPr="00756088">
        <w:rPr>
          <w:sz w:val="24"/>
          <w:szCs w:val="24"/>
        </w:rPr>
        <w:t>pe care îl supunem spre aprobare.</w:t>
      </w:r>
    </w:p>
    <w:p w:rsidR="0095375B" w:rsidRPr="00756088" w:rsidRDefault="0095375B" w:rsidP="0095375B">
      <w:pPr>
        <w:jc w:val="center"/>
        <w:rPr>
          <w:b/>
          <w:bCs/>
          <w:sz w:val="24"/>
          <w:szCs w:val="24"/>
        </w:rPr>
      </w:pPr>
    </w:p>
    <w:p w:rsidR="004972C1" w:rsidRPr="00756088" w:rsidRDefault="004972C1" w:rsidP="0095375B">
      <w:pPr>
        <w:jc w:val="center"/>
        <w:rPr>
          <w:b/>
          <w:sz w:val="24"/>
          <w:szCs w:val="24"/>
        </w:rPr>
      </w:pPr>
    </w:p>
    <w:p w:rsidR="004F52F1" w:rsidRPr="00756088" w:rsidRDefault="004F52F1" w:rsidP="0095375B">
      <w:pPr>
        <w:jc w:val="center"/>
        <w:rPr>
          <w:b/>
          <w:sz w:val="24"/>
          <w:szCs w:val="24"/>
        </w:rPr>
      </w:pPr>
    </w:p>
    <w:p w:rsidR="00DF01C6" w:rsidRPr="00756088" w:rsidRDefault="0095375B" w:rsidP="00DF01C6">
      <w:pPr>
        <w:jc w:val="center"/>
        <w:rPr>
          <w:b/>
          <w:sz w:val="24"/>
          <w:szCs w:val="24"/>
        </w:rPr>
      </w:pPr>
      <w:r w:rsidRPr="00756088">
        <w:rPr>
          <w:b/>
          <w:sz w:val="24"/>
          <w:szCs w:val="24"/>
        </w:rPr>
        <w:t>MINISTRUL FINANŢELOR PUBLICE</w:t>
      </w:r>
      <w:r w:rsidR="00DF01C6" w:rsidRPr="00756088">
        <w:rPr>
          <w:b/>
          <w:sz w:val="24"/>
          <w:szCs w:val="24"/>
        </w:rPr>
        <w:t xml:space="preserve">        MINISTRUL DELEGAT PENTRU BUGET</w:t>
      </w:r>
    </w:p>
    <w:p w:rsidR="0095375B" w:rsidRPr="00756088" w:rsidRDefault="0095375B" w:rsidP="00DF01C6">
      <w:pPr>
        <w:rPr>
          <w:b/>
          <w:sz w:val="24"/>
          <w:szCs w:val="24"/>
        </w:rPr>
      </w:pPr>
    </w:p>
    <w:p w:rsidR="00DF01C6" w:rsidRPr="00756088" w:rsidRDefault="00DF01C6" w:rsidP="00DF01C6">
      <w:pPr>
        <w:rPr>
          <w:b/>
          <w:sz w:val="24"/>
          <w:szCs w:val="24"/>
        </w:rPr>
      </w:pPr>
      <w:r w:rsidRPr="00756088">
        <w:rPr>
          <w:b/>
          <w:bCs/>
          <w:sz w:val="24"/>
          <w:szCs w:val="24"/>
        </w:rPr>
        <w:t xml:space="preserve">          </w:t>
      </w:r>
      <w:r w:rsidR="004972C1" w:rsidRPr="00756088">
        <w:rPr>
          <w:b/>
          <w:bCs/>
          <w:sz w:val="24"/>
          <w:szCs w:val="24"/>
        </w:rPr>
        <w:t>IOANA</w:t>
      </w:r>
      <w:r w:rsidR="001A4540" w:rsidRPr="00756088">
        <w:rPr>
          <w:b/>
          <w:bCs/>
          <w:sz w:val="24"/>
          <w:szCs w:val="24"/>
        </w:rPr>
        <w:t>-</w:t>
      </w:r>
      <w:r w:rsidR="004972C1" w:rsidRPr="00756088">
        <w:rPr>
          <w:b/>
          <w:bCs/>
          <w:sz w:val="24"/>
          <w:szCs w:val="24"/>
        </w:rPr>
        <w:t>MARIA PETRESCU</w:t>
      </w:r>
      <w:r w:rsidRPr="00756088">
        <w:rPr>
          <w:b/>
          <w:bCs/>
          <w:sz w:val="24"/>
          <w:szCs w:val="24"/>
        </w:rPr>
        <w:t xml:space="preserve">                                    </w:t>
      </w:r>
      <w:r w:rsidRPr="00756088">
        <w:rPr>
          <w:b/>
          <w:sz w:val="24"/>
          <w:szCs w:val="24"/>
        </w:rPr>
        <w:t>LIVIU VOINEA</w:t>
      </w:r>
    </w:p>
    <w:p w:rsidR="0095375B" w:rsidRPr="00756088" w:rsidRDefault="0095375B" w:rsidP="00DF01C6">
      <w:pPr>
        <w:rPr>
          <w:b/>
          <w:bCs/>
          <w:sz w:val="24"/>
          <w:szCs w:val="24"/>
        </w:rPr>
      </w:pPr>
    </w:p>
    <w:p w:rsidR="0095375B" w:rsidRPr="00756088" w:rsidRDefault="0095375B" w:rsidP="004F52F1">
      <w:pPr>
        <w:jc w:val="center"/>
        <w:rPr>
          <w:b/>
          <w:bCs/>
          <w:sz w:val="24"/>
          <w:szCs w:val="24"/>
        </w:rPr>
      </w:pPr>
    </w:p>
    <w:p w:rsidR="0095375B" w:rsidRPr="00756088" w:rsidRDefault="0095375B" w:rsidP="004F52F1">
      <w:pPr>
        <w:jc w:val="center"/>
        <w:rPr>
          <w:b/>
          <w:bCs/>
          <w:sz w:val="24"/>
          <w:szCs w:val="24"/>
          <w:u w:val="single"/>
        </w:rPr>
      </w:pPr>
    </w:p>
    <w:p w:rsidR="004F52F1" w:rsidRPr="00756088" w:rsidRDefault="004F52F1" w:rsidP="00DF01C6">
      <w:pPr>
        <w:rPr>
          <w:b/>
          <w:bCs/>
          <w:sz w:val="24"/>
          <w:szCs w:val="24"/>
          <w:u w:val="single"/>
        </w:rPr>
      </w:pPr>
    </w:p>
    <w:p w:rsidR="0095375B" w:rsidRPr="00756088" w:rsidRDefault="0095375B" w:rsidP="004F52F1">
      <w:pPr>
        <w:jc w:val="center"/>
        <w:rPr>
          <w:b/>
          <w:bCs/>
          <w:sz w:val="24"/>
          <w:szCs w:val="24"/>
          <w:u w:val="single"/>
        </w:rPr>
      </w:pPr>
      <w:r w:rsidRPr="00756088">
        <w:rPr>
          <w:b/>
          <w:bCs/>
          <w:sz w:val="24"/>
          <w:szCs w:val="24"/>
          <w:u w:val="single"/>
        </w:rPr>
        <w:t>AVIZĂM FAVORABIL</w:t>
      </w:r>
    </w:p>
    <w:p w:rsidR="0095375B" w:rsidRPr="00756088" w:rsidRDefault="0095375B" w:rsidP="005533C1">
      <w:pPr>
        <w:rPr>
          <w:b/>
          <w:bCs/>
          <w:sz w:val="24"/>
          <w:szCs w:val="24"/>
          <w:u w:val="single"/>
        </w:rPr>
      </w:pPr>
    </w:p>
    <w:p w:rsidR="004F52F1" w:rsidRPr="00756088" w:rsidRDefault="004F52F1" w:rsidP="004F52F1">
      <w:pPr>
        <w:rPr>
          <w:b/>
          <w:bCs/>
          <w:sz w:val="24"/>
          <w:szCs w:val="24"/>
          <w:u w:val="single"/>
        </w:rPr>
      </w:pPr>
      <w:r w:rsidRPr="00756088">
        <w:rPr>
          <w:b/>
          <w:sz w:val="24"/>
          <w:szCs w:val="24"/>
        </w:rPr>
        <w:t xml:space="preserve">  </w:t>
      </w:r>
    </w:p>
    <w:p w:rsidR="0095375B" w:rsidRPr="00756088" w:rsidRDefault="0095375B" w:rsidP="004F52F1">
      <w:pPr>
        <w:jc w:val="center"/>
        <w:rPr>
          <w:b/>
          <w:bCs/>
          <w:sz w:val="24"/>
          <w:szCs w:val="24"/>
          <w:u w:val="single"/>
        </w:rPr>
      </w:pPr>
    </w:p>
    <w:p w:rsidR="0095375B" w:rsidRPr="00756088" w:rsidRDefault="0095375B" w:rsidP="004F52F1">
      <w:pPr>
        <w:jc w:val="center"/>
        <w:rPr>
          <w:b/>
          <w:bCs/>
          <w:sz w:val="24"/>
          <w:szCs w:val="24"/>
        </w:rPr>
      </w:pPr>
      <w:r w:rsidRPr="00756088">
        <w:rPr>
          <w:b/>
          <w:bCs/>
          <w:sz w:val="24"/>
          <w:szCs w:val="24"/>
        </w:rPr>
        <w:t>MINISTRUL AFACERILOR EXTERNE</w:t>
      </w:r>
    </w:p>
    <w:p w:rsidR="0095375B" w:rsidRPr="00756088" w:rsidRDefault="0095375B" w:rsidP="004F52F1">
      <w:pPr>
        <w:jc w:val="center"/>
        <w:rPr>
          <w:b/>
          <w:bCs/>
          <w:sz w:val="24"/>
          <w:szCs w:val="24"/>
          <w:u w:val="single"/>
        </w:rPr>
      </w:pPr>
      <w:r w:rsidRPr="00756088">
        <w:rPr>
          <w:b/>
          <w:sz w:val="24"/>
          <w:szCs w:val="24"/>
        </w:rPr>
        <w:t>TITUS CORLĂŢEAN</w:t>
      </w:r>
    </w:p>
    <w:p w:rsidR="0095375B" w:rsidRPr="00756088" w:rsidRDefault="0095375B" w:rsidP="004F52F1">
      <w:pPr>
        <w:jc w:val="center"/>
        <w:rPr>
          <w:b/>
          <w:bCs/>
          <w:sz w:val="24"/>
          <w:szCs w:val="24"/>
          <w:u w:val="single"/>
        </w:rPr>
      </w:pPr>
    </w:p>
    <w:p w:rsidR="004F52F1" w:rsidRPr="00756088" w:rsidRDefault="004F52F1" w:rsidP="004F52F1">
      <w:pPr>
        <w:jc w:val="center"/>
        <w:rPr>
          <w:b/>
          <w:bCs/>
          <w:sz w:val="24"/>
          <w:szCs w:val="24"/>
          <w:u w:val="single"/>
        </w:rPr>
      </w:pPr>
    </w:p>
    <w:p w:rsidR="0095375B" w:rsidRPr="00756088" w:rsidRDefault="0095375B" w:rsidP="004F52F1">
      <w:pPr>
        <w:jc w:val="center"/>
        <w:rPr>
          <w:b/>
          <w:bCs/>
          <w:sz w:val="24"/>
          <w:szCs w:val="24"/>
        </w:rPr>
      </w:pPr>
      <w:r w:rsidRPr="00756088">
        <w:rPr>
          <w:b/>
          <w:bCs/>
          <w:sz w:val="24"/>
          <w:szCs w:val="24"/>
        </w:rPr>
        <w:t>MINISTRUL JUSTIŢIEI</w:t>
      </w:r>
    </w:p>
    <w:p w:rsidR="0095375B" w:rsidRPr="00756088" w:rsidRDefault="0095375B" w:rsidP="004F52F1">
      <w:pPr>
        <w:jc w:val="center"/>
        <w:rPr>
          <w:b/>
          <w:sz w:val="24"/>
          <w:szCs w:val="24"/>
        </w:rPr>
      </w:pPr>
      <w:r w:rsidRPr="00756088">
        <w:rPr>
          <w:b/>
          <w:sz w:val="24"/>
          <w:szCs w:val="24"/>
        </w:rPr>
        <w:t>ROBERT</w:t>
      </w:r>
      <w:r w:rsidR="00A213D0" w:rsidRPr="00756088">
        <w:rPr>
          <w:b/>
          <w:sz w:val="24"/>
          <w:szCs w:val="24"/>
        </w:rPr>
        <w:t>-</w:t>
      </w:r>
      <w:r w:rsidRPr="00756088">
        <w:rPr>
          <w:b/>
          <w:sz w:val="24"/>
          <w:szCs w:val="24"/>
        </w:rPr>
        <w:t>MARIUS CAZANCIUC</w:t>
      </w:r>
    </w:p>
    <w:p w:rsidR="000A0541" w:rsidRPr="00756088" w:rsidRDefault="000A0541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Pr="00756088" w:rsidRDefault="00D60D18"/>
    <w:p w:rsidR="00D60D18" w:rsidRDefault="00D60D18"/>
    <w:p w:rsidR="00617094" w:rsidRDefault="00617094"/>
    <w:p w:rsidR="00617094" w:rsidRDefault="00617094"/>
    <w:p w:rsidR="00617094" w:rsidRDefault="00617094"/>
    <w:p w:rsidR="00617094" w:rsidRDefault="00617094"/>
    <w:p w:rsidR="00617094" w:rsidRDefault="00617094"/>
    <w:p w:rsidR="00576022" w:rsidRDefault="00576022"/>
    <w:p w:rsidR="00576022" w:rsidRDefault="00576022"/>
    <w:p w:rsidR="00576022" w:rsidRDefault="00576022"/>
    <w:p w:rsidR="00576022" w:rsidRDefault="00576022"/>
    <w:p w:rsidR="00576022" w:rsidRDefault="00576022"/>
    <w:p w:rsidR="00576022" w:rsidRDefault="00576022"/>
    <w:p w:rsidR="00576022" w:rsidRDefault="00576022"/>
    <w:p w:rsidR="00576022" w:rsidRDefault="00576022"/>
    <w:p w:rsidR="00617094" w:rsidRPr="00756088" w:rsidRDefault="00617094"/>
    <w:p w:rsidR="00D60D18" w:rsidRPr="00756088" w:rsidRDefault="00D60D18"/>
    <w:p w:rsidR="00D60D18" w:rsidRPr="00756088" w:rsidRDefault="00D60D18"/>
    <w:tbl>
      <w:tblPr>
        <w:tblStyle w:val="TableGrid"/>
        <w:tblW w:w="0" w:type="auto"/>
        <w:tblLook w:val="01E0"/>
      </w:tblPr>
      <w:tblGrid>
        <w:gridCol w:w="6539"/>
        <w:gridCol w:w="3598"/>
      </w:tblGrid>
      <w:tr w:rsidR="00D60D18" w:rsidRPr="00756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pt-BR"/>
              </w:rPr>
              <w:lastRenderedPageBreak/>
              <w:t xml:space="preserve">    </w:t>
            </w:r>
          </w:p>
          <w:p w:rsidR="00D60D18" w:rsidRPr="00756088" w:rsidRDefault="00BD48EF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MINIST</w:t>
            </w:r>
            <w:r w:rsidR="00D60D18" w:rsidRPr="00756088">
              <w:rPr>
                <w:b/>
                <w:szCs w:val="24"/>
                <w:lang w:val="ro-RO"/>
              </w:rPr>
              <w:t xml:space="preserve">RUL </w:t>
            </w:r>
          </w:p>
          <w:p w:rsidR="00D60D18" w:rsidRPr="00756088" w:rsidRDefault="00D60D18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 xml:space="preserve">FINANŢELOR PUBLICE </w:t>
            </w:r>
          </w:p>
          <w:p w:rsidR="00BD48EF" w:rsidRPr="00756088" w:rsidRDefault="00BD48EF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</w:p>
          <w:p w:rsidR="00BD48EF" w:rsidRPr="00756088" w:rsidRDefault="00617094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bCs/>
                <w:szCs w:val="24"/>
              </w:rPr>
              <w:t>Ioana-Maria</w:t>
            </w:r>
            <w:r w:rsidR="00BD48EF" w:rsidRPr="00756088">
              <w:rPr>
                <w:b/>
                <w:bCs/>
                <w:szCs w:val="24"/>
              </w:rPr>
              <w:t xml:space="preserve"> PETRESCU                                    </w:t>
            </w:r>
          </w:p>
          <w:p w:rsidR="00D60D18" w:rsidRPr="00756088" w:rsidRDefault="00D60D18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</w:p>
          <w:p w:rsidR="00D60D18" w:rsidRPr="00756088" w:rsidRDefault="00D60D18" w:rsidP="00DD2BC0">
            <w:pPr>
              <w:pStyle w:val="DefaultText1"/>
              <w:jc w:val="center"/>
              <w:rPr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DD2BC0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</w:p>
          <w:p w:rsidR="00D60D18" w:rsidRPr="00756088" w:rsidRDefault="00BD48EF" w:rsidP="00DD2BC0">
            <w:pPr>
              <w:pStyle w:val="DefaultText1"/>
              <w:jc w:val="center"/>
              <w:rPr>
                <w:szCs w:val="24"/>
                <w:lang w:val="ro-RO"/>
              </w:rPr>
            </w:pPr>
            <w:r w:rsidRPr="00756088">
              <w:rPr>
                <w:b/>
                <w:szCs w:val="24"/>
              </w:rPr>
              <w:t>MINISTRUL DELEGAT PENTRU BUGET</w:t>
            </w:r>
            <w:r w:rsidRPr="00756088">
              <w:rPr>
                <w:szCs w:val="24"/>
                <w:lang w:val="ro-RO"/>
              </w:rPr>
              <w:t xml:space="preserve"> </w:t>
            </w:r>
          </w:p>
          <w:p w:rsidR="00BD48EF" w:rsidRPr="00756088" w:rsidRDefault="00BD48EF" w:rsidP="00DD2BC0">
            <w:pPr>
              <w:pStyle w:val="DefaultText1"/>
              <w:jc w:val="center"/>
              <w:rPr>
                <w:szCs w:val="24"/>
                <w:lang w:val="ro-RO"/>
              </w:rPr>
            </w:pPr>
          </w:p>
          <w:p w:rsidR="00BD48EF" w:rsidRPr="00756088" w:rsidRDefault="00617094" w:rsidP="00DD2BC0">
            <w:pPr>
              <w:pStyle w:val="DefaultText1"/>
              <w:jc w:val="center"/>
              <w:rPr>
                <w:szCs w:val="24"/>
                <w:lang w:val="ro-RO"/>
              </w:rPr>
            </w:pPr>
            <w:r>
              <w:rPr>
                <w:b/>
                <w:szCs w:val="24"/>
              </w:rPr>
              <w:t>Liviu</w:t>
            </w:r>
            <w:r w:rsidR="00BD48EF" w:rsidRPr="00756088">
              <w:rPr>
                <w:b/>
                <w:szCs w:val="24"/>
              </w:rPr>
              <w:t xml:space="preserve"> VOINEA</w:t>
            </w:r>
          </w:p>
        </w:tc>
      </w:tr>
      <w:tr w:rsidR="00D60D18" w:rsidRPr="00756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DD2BC0">
            <w:pPr>
              <w:pStyle w:val="DefaultText1"/>
              <w:spacing w:before="120"/>
              <w:ind w:right="-275"/>
              <w:jc w:val="both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 xml:space="preserve">SECRETAR DE STAT         </w:t>
            </w:r>
            <w:r w:rsidR="00EE5DFA">
              <w:rPr>
                <w:b/>
                <w:szCs w:val="24"/>
                <w:lang w:val="ro-RO"/>
              </w:rPr>
              <w:t xml:space="preserve">      </w:t>
            </w:r>
            <w:r w:rsidRPr="00756088">
              <w:rPr>
                <w:b/>
                <w:szCs w:val="24"/>
                <w:lang w:val="ro-RO"/>
              </w:rPr>
              <w:t>SECRETAR DE STAT</w:t>
            </w:r>
          </w:p>
          <w:p w:rsidR="00D60D18" w:rsidRPr="00756088" w:rsidRDefault="00617094" w:rsidP="00DD2BC0">
            <w:pPr>
              <w:pStyle w:val="DefaultText1"/>
              <w:spacing w:before="120"/>
              <w:jc w:val="both"/>
              <w:rPr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Dan MANOLESCU   </w:t>
            </w:r>
            <w:r w:rsidR="00EE5DFA">
              <w:rPr>
                <w:b/>
                <w:szCs w:val="24"/>
                <w:lang w:val="ro-RO"/>
              </w:rPr>
              <w:t xml:space="preserve">               </w:t>
            </w:r>
            <w:r>
              <w:rPr>
                <w:b/>
                <w:szCs w:val="24"/>
                <w:lang w:val="ro-RO"/>
              </w:rPr>
              <w:t>Gheorghe</w:t>
            </w:r>
            <w:r w:rsidR="00D60D18" w:rsidRPr="00756088">
              <w:rPr>
                <w:b/>
                <w:szCs w:val="24"/>
                <w:lang w:val="ro-RO"/>
              </w:rPr>
              <w:t xml:space="preserve"> GHERGHINA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DD2BC0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PREŞEDINTE</w:t>
            </w:r>
            <w:r w:rsidR="00136FD9">
              <w:rPr>
                <w:b/>
                <w:szCs w:val="24"/>
                <w:lang w:val="ro-RO"/>
              </w:rPr>
              <w:t xml:space="preserve"> ANAF</w:t>
            </w:r>
            <w:r w:rsidRPr="00756088">
              <w:rPr>
                <w:b/>
                <w:szCs w:val="24"/>
                <w:lang w:val="ro-RO"/>
              </w:rPr>
              <w:t>,</w:t>
            </w:r>
          </w:p>
          <w:p w:rsidR="00D60D18" w:rsidRPr="00756088" w:rsidRDefault="00617094" w:rsidP="00DD2BC0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Gelu Ştefan</w:t>
            </w:r>
            <w:r w:rsidR="00D60D18" w:rsidRPr="00756088">
              <w:rPr>
                <w:b/>
                <w:szCs w:val="24"/>
                <w:lang w:val="ro-RO"/>
              </w:rPr>
              <w:t xml:space="preserve"> DIACONU</w:t>
            </w:r>
          </w:p>
          <w:p w:rsidR="00D60D18" w:rsidRPr="00756088" w:rsidRDefault="00D60D18" w:rsidP="00DD2BC0">
            <w:pPr>
              <w:pStyle w:val="DefaultText1"/>
              <w:jc w:val="center"/>
              <w:rPr>
                <w:szCs w:val="24"/>
                <w:lang w:val="ro-RO"/>
              </w:rPr>
            </w:pPr>
          </w:p>
        </w:tc>
      </w:tr>
      <w:tr w:rsidR="00D60D18" w:rsidRPr="00756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C52B93">
            <w:pPr>
              <w:pStyle w:val="DefaultText1"/>
              <w:rPr>
                <w:szCs w:val="24"/>
                <w:lang w:val="ro-RO"/>
              </w:rPr>
            </w:pPr>
          </w:p>
          <w:p w:rsidR="00D60D18" w:rsidRPr="00756088" w:rsidRDefault="00D60D18" w:rsidP="00DD2BC0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SECRETAR GENERAL</w:t>
            </w:r>
          </w:p>
          <w:p w:rsidR="00D60D18" w:rsidRPr="00756088" w:rsidRDefault="00617094" w:rsidP="00DD2BC0">
            <w:pPr>
              <w:pStyle w:val="DefaultText1"/>
              <w:spacing w:before="120"/>
              <w:jc w:val="center"/>
              <w:rPr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Ciprian</w:t>
            </w:r>
            <w:r w:rsidR="00D60D18" w:rsidRPr="00756088">
              <w:rPr>
                <w:b/>
                <w:szCs w:val="24"/>
                <w:lang w:val="ro-RO"/>
              </w:rPr>
              <w:t xml:space="preserve"> BADEA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2B93" w:rsidRPr="00756088" w:rsidRDefault="00C52B93" w:rsidP="00C52B93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 xml:space="preserve">               </w:t>
            </w:r>
          </w:p>
          <w:p w:rsidR="00C52B93" w:rsidRPr="00756088" w:rsidRDefault="00D60D18" w:rsidP="00C52B93">
            <w:pPr>
              <w:pStyle w:val="DefaultText1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VICEPREŞEDINTE</w:t>
            </w:r>
            <w:r w:rsidR="00136FD9">
              <w:rPr>
                <w:b/>
                <w:szCs w:val="24"/>
                <w:lang w:val="ro-RO"/>
              </w:rPr>
              <w:t xml:space="preserve"> ANAF</w:t>
            </w:r>
          </w:p>
          <w:p w:rsidR="00D60D18" w:rsidRPr="00756088" w:rsidRDefault="00617094" w:rsidP="00C52B93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Constantin</w:t>
            </w:r>
            <w:r w:rsidR="00D60D18" w:rsidRPr="00756088">
              <w:rPr>
                <w:b/>
                <w:szCs w:val="24"/>
                <w:lang w:val="ro-RO"/>
              </w:rPr>
              <w:t xml:space="preserve"> MIHAIL</w:t>
            </w:r>
          </w:p>
        </w:tc>
      </w:tr>
      <w:tr w:rsidR="00D60D18" w:rsidRPr="00756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7094" w:rsidRPr="00756088" w:rsidRDefault="00617094" w:rsidP="00DD2BC0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</w:p>
          <w:p w:rsidR="00756088" w:rsidRDefault="00D60D18" w:rsidP="009B7F55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 xml:space="preserve">Direcţia generală  </w:t>
            </w:r>
            <w:r w:rsidR="009B7F55">
              <w:rPr>
                <w:b/>
                <w:szCs w:val="24"/>
                <w:lang w:val="ro-RO"/>
              </w:rPr>
              <w:t>de legislaţie Cod fiscal ş</w:t>
            </w:r>
            <w:r w:rsidR="00756088">
              <w:rPr>
                <w:b/>
                <w:szCs w:val="24"/>
                <w:lang w:val="ro-RO"/>
              </w:rPr>
              <w:t xml:space="preserve">i </w:t>
            </w:r>
            <w:r w:rsidR="009B7F55">
              <w:rPr>
                <w:b/>
                <w:szCs w:val="24"/>
                <w:lang w:val="ro-RO"/>
              </w:rPr>
              <w:t xml:space="preserve">                                                                       </w:t>
            </w:r>
            <w:r w:rsidR="00756088">
              <w:rPr>
                <w:b/>
                <w:szCs w:val="24"/>
                <w:lang w:val="ro-RO"/>
              </w:rPr>
              <w:t>reglementări vamale</w:t>
            </w:r>
          </w:p>
          <w:p w:rsidR="00D60D18" w:rsidRPr="00756088" w:rsidRDefault="00D60D18" w:rsidP="009B7F55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D</w:t>
            </w:r>
            <w:r w:rsidR="00617094">
              <w:rPr>
                <w:b/>
                <w:szCs w:val="24"/>
                <w:lang w:val="ro-RO"/>
              </w:rPr>
              <w:t>irector general</w:t>
            </w:r>
            <w:r w:rsidRPr="00756088">
              <w:rPr>
                <w:b/>
                <w:szCs w:val="24"/>
                <w:lang w:val="ro-RO"/>
              </w:rPr>
              <w:t>,</w:t>
            </w:r>
          </w:p>
          <w:p w:rsidR="00136FD9" w:rsidRDefault="00D60D18" w:rsidP="009B7F55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B</w:t>
            </w:r>
            <w:r w:rsidR="00617094">
              <w:rPr>
                <w:b/>
                <w:szCs w:val="24"/>
                <w:lang w:val="ro-RO"/>
              </w:rPr>
              <w:t>ogdan Huţucă</w:t>
            </w:r>
          </w:p>
          <w:p w:rsidR="00136FD9" w:rsidRDefault="00136FD9" w:rsidP="00DD2BC0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</w:p>
          <w:p w:rsidR="00136FD9" w:rsidRDefault="00136FD9" w:rsidP="009B7F55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Director general adjunct</w:t>
            </w:r>
          </w:p>
          <w:p w:rsidR="00136FD9" w:rsidRDefault="00136FD9" w:rsidP="009B7F55">
            <w:pPr>
              <w:pStyle w:val="DefaultText1"/>
              <w:spacing w:before="12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Mariana Vizoli</w:t>
            </w:r>
          </w:p>
          <w:p w:rsidR="00C52B93" w:rsidRPr="00756088" w:rsidRDefault="00136FD9" w:rsidP="00617094">
            <w:pPr>
              <w:pStyle w:val="DefaultText1"/>
              <w:spacing w:before="120"/>
              <w:rPr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0D18" w:rsidRPr="00756088" w:rsidRDefault="00D60D18" w:rsidP="009B7F55">
            <w:pPr>
              <w:pStyle w:val="DefaultText1"/>
              <w:spacing w:before="120"/>
              <w:jc w:val="center"/>
              <w:rPr>
                <w:szCs w:val="24"/>
                <w:lang w:val="ro-RO"/>
              </w:rPr>
            </w:pPr>
          </w:p>
        </w:tc>
      </w:tr>
      <w:tr w:rsidR="00D60D18" w:rsidRPr="007560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FA" w:rsidRDefault="00EE5DFA" w:rsidP="00EE5DFA">
            <w:pPr>
              <w:pStyle w:val="DefaultText1"/>
              <w:jc w:val="center"/>
              <w:rPr>
                <w:b/>
                <w:szCs w:val="24"/>
                <w:u w:val="single"/>
                <w:lang w:val="ro-RO"/>
              </w:rPr>
            </w:pPr>
            <w:r w:rsidRPr="00756088">
              <w:rPr>
                <w:b/>
                <w:szCs w:val="24"/>
                <w:u w:val="single"/>
                <w:lang w:val="ro-RO"/>
              </w:rPr>
              <w:t>AVIZAT</w:t>
            </w:r>
          </w:p>
          <w:p w:rsidR="00D60D18" w:rsidRPr="00EE5DFA" w:rsidRDefault="009B7F55" w:rsidP="009B7F55">
            <w:pPr>
              <w:pStyle w:val="DefaultText1"/>
              <w:rPr>
                <w:b/>
                <w:szCs w:val="24"/>
                <w:lang w:val="ro-RO"/>
              </w:rPr>
            </w:pPr>
            <w:r w:rsidRPr="00EE5DFA">
              <w:rPr>
                <w:b/>
                <w:szCs w:val="24"/>
                <w:u w:val="single"/>
                <w:lang w:val="ro-RO"/>
              </w:rPr>
              <w:t xml:space="preserve">MFP  </w:t>
            </w:r>
            <w:r w:rsidRPr="00EE5DFA">
              <w:rPr>
                <w:b/>
                <w:szCs w:val="24"/>
                <w:lang w:val="ro-RO"/>
              </w:rPr>
              <w:t xml:space="preserve">                                                                                                           </w:t>
            </w:r>
            <w:r w:rsidRPr="00EE5DFA">
              <w:rPr>
                <w:b/>
                <w:szCs w:val="24"/>
                <w:u w:val="single"/>
                <w:lang w:val="ro-RO"/>
              </w:rPr>
              <w:t xml:space="preserve"> ANAF</w:t>
            </w:r>
          </w:p>
          <w:p w:rsidR="00D60D18" w:rsidRPr="00756088" w:rsidRDefault="00D60D18" w:rsidP="00EE5DFA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D</w:t>
            </w:r>
            <w:r w:rsidR="00136FD9">
              <w:rPr>
                <w:b/>
                <w:szCs w:val="24"/>
                <w:lang w:val="ro-RO"/>
              </w:rPr>
              <w:t xml:space="preserve">irecţia generală juridică </w:t>
            </w:r>
            <w:r w:rsidR="009B7F55">
              <w:rPr>
                <w:b/>
                <w:szCs w:val="24"/>
                <w:lang w:val="ro-RO"/>
              </w:rPr>
              <w:t xml:space="preserve">                                                                   Direcţia generală  juridică</w:t>
            </w:r>
          </w:p>
          <w:p w:rsidR="009B7F55" w:rsidRPr="00756088" w:rsidRDefault="009B7F55" w:rsidP="00EE5DFA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</w:t>
            </w:r>
            <w:r w:rsidR="00D60D18" w:rsidRPr="00756088">
              <w:rPr>
                <w:b/>
                <w:szCs w:val="24"/>
                <w:lang w:val="ro-RO"/>
              </w:rPr>
              <w:t>D</w:t>
            </w:r>
            <w:r w:rsidR="00136FD9">
              <w:rPr>
                <w:b/>
                <w:szCs w:val="24"/>
                <w:lang w:val="ro-RO"/>
              </w:rPr>
              <w:t>irector general</w:t>
            </w:r>
            <w:r w:rsidR="00D60D18" w:rsidRPr="00756088">
              <w:rPr>
                <w:b/>
                <w:szCs w:val="24"/>
                <w:lang w:val="ro-RO"/>
              </w:rPr>
              <w:t>,</w:t>
            </w:r>
            <w:r>
              <w:rPr>
                <w:b/>
                <w:szCs w:val="24"/>
                <w:lang w:val="ro-RO"/>
              </w:rPr>
              <w:t xml:space="preserve">                                                                                     </w:t>
            </w:r>
            <w:r w:rsidRPr="00756088">
              <w:rPr>
                <w:b/>
                <w:szCs w:val="24"/>
                <w:lang w:val="ro-RO"/>
              </w:rPr>
              <w:t>D</w:t>
            </w:r>
            <w:r>
              <w:rPr>
                <w:b/>
                <w:szCs w:val="24"/>
                <w:lang w:val="ro-RO"/>
              </w:rPr>
              <w:t>irector general</w:t>
            </w:r>
            <w:r w:rsidRPr="00756088">
              <w:rPr>
                <w:b/>
                <w:szCs w:val="24"/>
                <w:lang w:val="ro-RO"/>
              </w:rPr>
              <w:t>,</w:t>
            </w:r>
          </w:p>
          <w:p w:rsidR="00D60D18" w:rsidRDefault="00D60D18" w:rsidP="00EE5DFA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 w:rsidRPr="00756088">
              <w:rPr>
                <w:b/>
                <w:szCs w:val="24"/>
                <w:lang w:val="ro-RO"/>
              </w:rPr>
              <w:t>M</w:t>
            </w:r>
            <w:r w:rsidR="00136FD9">
              <w:rPr>
                <w:b/>
                <w:szCs w:val="24"/>
                <w:lang w:val="ro-RO"/>
              </w:rPr>
              <w:t>ădălina Gheorghe</w:t>
            </w:r>
            <w:r w:rsidR="009B7F55">
              <w:rPr>
                <w:b/>
                <w:szCs w:val="24"/>
                <w:lang w:val="ro-RO"/>
              </w:rPr>
              <w:t xml:space="preserve">                                                                                   Toma Costreie</w:t>
            </w:r>
          </w:p>
          <w:p w:rsidR="00EE5DFA" w:rsidRDefault="00EE5DFA" w:rsidP="00EE5DFA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</w:p>
          <w:p w:rsidR="009B7F55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Direcţia generală de sinteză a                                                         Direcţia generală  de servicii</w:t>
            </w:r>
          </w:p>
          <w:p w:rsidR="009B7F55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Politicilor bugetare                                                                           pentru contribuabili</w:t>
            </w:r>
          </w:p>
          <w:p w:rsidR="009B7F55" w:rsidRPr="00756088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 </w:t>
            </w:r>
            <w:r w:rsidRPr="00756088">
              <w:rPr>
                <w:b/>
                <w:szCs w:val="24"/>
                <w:lang w:val="ro-RO"/>
              </w:rPr>
              <w:t>D</w:t>
            </w:r>
            <w:r>
              <w:rPr>
                <w:b/>
                <w:szCs w:val="24"/>
                <w:lang w:val="ro-RO"/>
              </w:rPr>
              <w:t>irector general</w:t>
            </w:r>
            <w:r w:rsidRPr="00756088">
              <w:rPr>
                <w:b/>
                <w:szCs w:val="24"/>
                <w:lang w:val="ro-RO"/>
              </w:rPr>
              <w:t xml:space="preserve">, </w:t>
            </w:r>
            <w:r>
              <w:rPr>
                <w:b/>
                <w:szCs w:val="24"/>
                <w:lang w:val="ro-RO"/>
              </w:rPr>
              <w:t xml:space="preserve">                                                                              </w:t>
            </w:r>
            <w:r w:rsidRPr="00756088">
              <w:rPr>
                <w:b/>
                <w:szCs w:val="24"/>
                <w:lang w:val="ro-RO"/>
              </w:rPr>
              <w:t>D</w:t>
            </w:r>
            <w:r>
              <w:rPr>
                <w:b/>
                <w:szCs w:val="24"/>
                <w:lang w:val="ro-RO"/>
              </w:rPr>
              <w:t>irector general</w:t>
            </w:r>
          </w:p>
          <w:p w:rsidR="009B7F55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  Ioana Burlă                                                                                        Ion Busuioc</w:t>
            </w:r>
          </w:p>
          <w:p w:rsidR="00EE5DFA" w:rsidRDefault="00EE5DFA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</w:p>
          <w:p w:rsidR="009B7F55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</w:t>
            </w:r>
            <w:r w:rsidRPr="00756088">
              <w:rPr>
                <w:b/>
                <w:szCs w:val="24"/>
                <w:lang w:val="ro-RO"/>
              </w:rPr>
              <w:t xml:space="preserve">Direcţia </w:t>
            </w:r>
            <w:r>
              <w:rPr>
                <w:b/>
                <w:szCs w:val="24"/>
                <w:lang w:val="ro-RO"/>
              </w:rPr>
              <w:t>de politici şi analiză macroeconomică</w:t>
            </w:r>
            <w:r w:rsidRPr="00756088">
              <w:rPr>
                <w:b/>
                <w:szCs w:val="24"/>
                <w:lang w:val="ro-RO"/>
              </w:rPr>
              <w:t xml:space="preserve">    </w:t>
            </w:r>
          </w:p>
          <w:p w:rsidR="009B7F55" w:rsidRDefault="009B7F55" w:rsidP="009B7F55">
            <w:pPr>
              <w:pStyle w:val="DefaultText1"/>
              <w:spacing w:before="12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    </w:t>
            </w:r>
            <w:r w:rsidRPr="00756088">
              <w:rPr>
                <w:b/>
                <w:szCs w:val="24"/>
                <w:lang w:val="ro-RO"/>
              </w:rPr>
              <w:t>D</w:t>
            </w:r>
            <w:r>
              <w:rPr>
                <w:b/>
                <w:szCs w:val="24"/>
                <w:lang w:val="ro-RO"/>
              </w:rPr>
              <w:t>irector</w:t>
            </w:r>
          </w:p>
          <w:p w:rsidR="00136FD9" w:rsidRPr="00756088" w:rsidRDefault="009B7F55" w:rsidP="009B7F55">
            <w:pPr>
              <w:pStyle w:val="DefaultText1"/>
              <w:spacing w:before="120"/>
              <w:rPr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 Alexandra Cojocaru</w:t>
            </w:r>
          </w:p>
        </w:tc>
      </w:tr>
    </w:tbl>
    <w:p w:rsidR="00D60D18" w:rsidRPr="00756088" w:rsidRDefault="00D60D18" w:rsidP="00D60D18">
      <w:pPr>
        <w:pStyle w:val="DefaultText1"/>
        <w:jc w:val="center"/>
        <w:rPr>
          <w:szCs w:val="24"/>
          <w:lang w:val="ro-RO"/>
        </w:rPr>
      </w:pPr>
    </w:p>
    <w:p w:rsidR="00D60D18" w:rsidRPr="00756088" w:rsidRDefault="00D60D18" w:rsidP="00D60D18">
      <w:pPr>
        <w:pStyle w:val="DefaultText1"/>
        <w:jc w:val="center"/>
        <w:rPr>
          <w:b/>
          <w:szCs w:val="24"/>
          <w:lang w:val="ro-RO"/>
        </w:rPr>
      </w:pPr>
    </w:p>
    <w:p w:rsidR="00D60D18" w:rsidRPr="00756088" w:rsidRDefault="00D60D18"/>
    <w:sectPr w:rsidR="00D60D18" w:rsidRPr="00756088" w:rsidSect="0095375B">
      <w:headerReference w:type="even" r:id="rId7"/>
      <w:footerReference w:type="even" r:id="rId8"/>
      <w:footerReference w:type="default" r:id="rId9"/>
      <w:pgSz w:w="11906" w:h="16838" w:code="9"/>
      <w:pgMar w:top="907" w:right="851" w:bottom="816" w:left="1134" w:header="709" w:footer="709" w:gutter="0"/>
      <w:cols w:space="708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CD" w:rsidRDefault="00E277CD">
      <w:r>
        <w:separator/>
      </w:r>
    </w:p>
  </w:endnote>
  <w:endnote w:type="continuationSeparator" w:id="1">
    <w:p w:rsidR="00E277CD" w:rsidRDefault="00E2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42" w:rsidRDefault="00C84842" w:rsidP="00953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842" w:rsidRDefault="00C84842" w:rsidP="009537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42" w:rsidRDefault="00C84842" w:rsidP="009537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CD" w:rsidRDefault="00E277CD">
      <w:r>
        <w:separator/>
      </w:r>
    </w:p>
  </w:footnote>
  <w:footnote w:type="continuationSeparator" w:id="1">
    <w:p w:rsidR="00E277CD" w:rsidRDefault="00E2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42" w:rsidRDefault="00C84842" w:rsidP="00953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842" w:rsidRDefault="00C84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13"/>
    <w:multiLevelType w:val="hybridMultilevel"/>
    <w:tmpl w:val="B62C32E6"/>
    <w:lvl w:ilvl="0" w:tplc="47084C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FC2"/>
    <w:multiLevelType w:val="hybridMultilevel"/>
    <w:tmpl w:val="4E92A5D0"/>
    <w:lvl w:ilvl="0" w:tplc="47084C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D3EDE"/>
    <w:multiLevelType w:val="hybridMultilevel"/>
    <w:tmpl w:val="2FDEBE34"/>
    <w:lvl w:ilvl="0" w:tplc="7BC6B8DA">
      <w:start w:val="1"/>
      <w:numFmt w:val="bullet"/>
      <w:lvlText w:val=""/>
      <w:lvlJc w:val="left"/>
      <w:pPr>
        <w:tabs>
          <w:tab w:val="num" w:pos="374"/>
        </w:tabs>
        <w:ind w:left="0" w:firstLine="376"/>
      </w:pPr>
      <w:rPr>
        <w:rFonts w:ascii="Wingdings" w:hAnsi="Wingdings" w:hint="default"/>
      </w:rPr>
    </w:lvl>
    <w:lvl w:ilvl="1" w:tplc="A72A9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BD6CEB"/>
    <w:multiLevelType w:val="hybridMultilevel"/>
    <w:tmpl w:val="42B218E8"/>
    <w:lvl w:ilvl="0" w:tplc="0409000B">
      <w:start w:val="1"/>
      <w:numFmt w:val="bullet"/>
      <w:lvlText w:val="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4">
    <w:nsid w:val="2E1340D6"/>
    <w:multiLevelType w:val="hybridMultilevel"/>
    <w:tmpl w:val="1722CDB6"/>
    <w:lvl w:ilvl="0" w:tplc="0D90D188">
      <w:start w:val="2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33730577"/>
    <w:multiLevelType w:val="hybridMultilevel"/>
    <w:tmpl w:val="A3463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676B9"/>
    <w:multiLevelType w:val="hybridMultilevel"/>
    <w:tmpl w:val="5D724234"/>
    <w:lvl w:ilvl="0" w:tplc="8040B1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45687"/>
    <w:multiLevelType w:val="hybridMultilevel"/>
    <w:tmpl w:val="33A46A92"/>
    <w:lvl w:ilvl="0" w:tplc="DB7E13F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/>
      </w:rPr>
    </w:lvl>
    <w:lvl w:ilvl="1" w:tplc="0D90D188">
      <w:start w:val="2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Arial Narrow" w:eastAsia="Times New Roman" w:hAnsi="Arial Narrow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56C874CE"/>
    <w:multiLevelType w:val="hybridMultilevel"/>
    <w:tmpl w:val="A6185304"/>
    <w:lvl w:ilvl="0" w:tplc="47084C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617442"/>
    <w:multiLevelType w:val="hybridMultilevel"/>
    <w:tmpl w:val="75FCC148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F086031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7A4F7EE1"/>
    <w:multiLevelType w:val="hybridMultilevel"/>
    <w:tmpl w:val="9B48937A"/>
    <w:lvl w:ilvl="0" w:tplc="0D90D188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7C9706CF"/>
    <w:multiLevelType w:val="hybridMultilevel"/>
    <w:tmpl w:val="B67438C4"/>
    <w:lvl w:ilvl="0" w:tplc="47084C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75B"/>
    <w:rsid w:val="00015B87"/>
    <w:rsid w:val="00026542"/>
    <w:rsid w:val="00044A1D"/>
    <w:rsid w:val="0007312B"/>
    <w:rsid w:val="000A0541"/>
    <w:rsid w:val="000A08F9"/>
    <w:rsid w:val="000A48EE"/>
    <w:rsid w:val="000D3860"/>
    <w:rsid w:val="00107D2A"/>
    <w:rsid w:val="00136FD9"/>
    <w:rsid w:val="00152651"/>
    <w:rsid w:val="0016425C"/>
    <w:rsid w:val="001A4540"/>
    <w:rsid w:val="001C1038"/>
    <w:rsid w:val="001D654D"/>
    <w:rsid w:val="001E22C9"/>
    <w:rsid w:val="00207238"/>
    <w:rsid w:val="00212D78"/>
    <w:rsid w:val="00224088"/>
    <w:rsid w:val="00235801"/>
    <w:rsid w:val="00271CEC"/>
    <w:rsid w:val="00290BD7"/>
    <w:rsid w:val="00296872"/>
    <w:rsid w:val="002E4372"/>
    <w:rsid w:val="003048DD"/>
    <w:rsid w:val="00365E73"/>
    <w:rsid w:val="00365FC1"/>
    <w:rsid w:val="00375066"/>
    <w:rsid w:val="0038112A"/>
    <w:rsid w:val="003B0CA5"/>
    <w:rsid w:val="003B6B50"/>
    <w:rsid w:val="003D2DF5"/>
    <w:rsid w:val="003F5B42"/>
    <w:rsid w:val="004124B2"/>
    <w:rsid w:val="0044385F"/>
    <w:rsid w:val="004469C2"/>
    <w:rsid w:val="004972C1"/>
    <w:rsid w:val="004A06D0"/>
    <w:rsid w:val="004B02CA"/>
    <w:rsid w:val="004D288E"/>
    <w:rsid w:val="004D6BA9"/>
    <w:rsid w:val="004F011A"/>
    <w:rsid w:val="004F52B8"/>
    <w:rsid w:val="004F52F1"/>
    <w:rsid w:val="0055033F"/>
    <w:rsid w:val="005533C1"/>
    <w:rsid w:val="00576022"/>
    <w:rsid w:val="005B4B68"/>
    <w:rsid w:val="005C01D4"/>
    <w:rsid w:val="005D1FF6"/>
    <w:rsid w:val="00613975"/>
    <w:rsid w:val="00617094"/>
    <w:rsid w:val="00656266"/>
    <w:rsid w:val="006C0EE0"/>
    <w:rsid w:val="00700F5D"/>
    <w:rsid w:val="0070456A"/>
    <w:rsid w:val="00724560"/>
    <w:rsid w:val="00756088"/>
    <w:rsid w:val="007742F7"/>
    <w:rsid w:val="007C4D0E"/>
    <w:rsid w:val="008221EE"/>
    <w:rsid w:val="00840083"/>
    <w:rsid w:val="00880CD8"/>
    <w:rsid w:val="008812B1"/>
    <w:rsid w:val="008C3710"/>
    <w:rsid w:val="008E342D"/>
    <w:rsid w:val="008F60C1"/>
    <w:rsid w:val="009101C4"/>
    <w:rsid w:val="00925D50"/>
    <w:rsid w:val="0092618E"/>
    <w:rsid w:val="00930F9C"/>
    <w:rsid w:val="0095375B"/>
    <w:rsid w:val="00955BF8"/>
    <w:rsid w:val="009905F7"/>
    <w:rsid w:val="0099556A"/>
    <w:rsid w:val="009B7F55"/>
    <w:rsid w:val="009C6100"/>
    <w:rsid w:val="009D3681"/>
    <w:rsid w:val="009E16AB"/>
    <w:rsid w:val="009E3518"/>
    <w:rsid w:val="00A05F55"/>
    <w:rsid w:val="00A16914"/>
    <w:rsid w:val="00A213D0"/>
    <w:rsid w:val="00A23A4A"/>
    <w:rsid w:val="00A31F0D"/>
    <w:rsid w:val="00A464C7"/>
    <w:rsid w:val="00A51F66"/>
    <w:rsid w:val="00A5679B"/>
    <w:rsid w:val="00AA7247"/>
    <w:rsid w:val="00AB30F4"/>
    <w:rsid w:val="00AB50E7"/>
    <w:rsid w:val="00AC3D41"/>
    <w:rsid w:val="00AF0AA4"/>
    <w:rsid w:val="00B22E72"/>
    <w:rsid w:val="00B2307D"/>
    <w:rsid w:val="00B23582"/>
    <w:rsid w:val="00B31BBE"/>
    <w:rsid w:val="00B361FB"/>
    <w:rsid w:val="00B41A20"/>
    <w:rsid w:val="00B52289"/>
    <w:rsid w:val="00B608C5"/>
    <w:rsid w:val="00B6576F"/>
    <w:rsid w:val="00B86B53"/>
    <w:rsid w:val="00B87D0D"/>
    <w:rsid w:val="00BA39E7"/>
    <w:rsid w:val="00BA6F70"/>
    <w:rsid w:val="00BD48EF"/>
    <w:rsid w:val="00C109F1"/>
    <w:rsid w:val="00C52B93"/>
    <w:rsid w:val="00C75A05"/>
    <w:rsid w:val="00C84842"/>
    <w:rsid w:val="00C92590"/>
    <w:rsid w:val="00D018C9"/>
    <w:rsid w:val="00D203FA"/>
    <w:rsid w:val="00D206ED"/>
    <w:rsid w:val="00D278AB"/>
    <w:rsid w:val="00D37FCB"/>
    <w:rsid w:val="00D55DB6"/>
    <w:rsid w:val="00D60271"/>
    <w:rsid w:val="00D60D18"/>
    <w:rsid w:val="00D73916"/>
    <w:rsid w:val="00D77A45"/>
    <w:rsid w:val="00DA43B6"/>
    <w:rsid w:val="00DB3D05"/>
    <w:rsid w:val="00DB726D"/>
    <w:rsid w:val="00DC67F4"/>
    <w:rsid w:val="00DD25F9"/>
    <w:rsid w:val="00DD2BC0"/>
    <w:rsid w:val="00DD70D4"/>
    <w:rsid w:val="00DF01C6"/>
    <w:rsid w:val="00E03994"/>
    <w:rsid w:val="00E277CD"/>
    <w:rsid w:val="00E461A4"/>
    <w:rsid w:val="00E6465C"/>
    <w:rsid w:val="00E66841"/>
    <w:rsid w:val="00E90BAA"/>
    <w:rsid w:val="00EE5DFA"/>
    <w:rsid w:val="00F04475"/>
    <w:rsid w:val="00F07254"/>
    <w:rsid w:val="00F359BA"/>
    <w:rsid w:val="00F42852"/>
    <w:rsid w:val="00F53535"/>
    <w:rsid w:val="00F97231"/>
    <w:rsid w:val="00FC12D2"/>
    <w:rsid w:val="00FD6079"/>
    <w:rsid w:val="00FF0BD8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75B"/>
    <w:rPr>
      <w:rFonts w:eastAsia="Times New Roman"/>
      <w:sz w:val="28"/>
      <w:szCs w:val="28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37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375B"/>
  </w:style>
  <w:style w:type="paragraph" w:styleId="Footer">
    <w:name w:val="footer"/>
    <w:basedOn w:val="Normal"/>
    <w:rsid w:val="0095375B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rsid w:val="0095375B"/>
    <w:pPr>
      <w:widowControl w:val="0"/>
      <w:autoSpaceDE w:val="0"/>
      <w:autoSpaceDN w:val="0"/>
      <w:adjustRightInd w:val="0"/>
      <w:jc w:val="righ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aracter"/>
    <w:rsid w:val="0095375B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DefaultTextCaracter">
    <w:name w:val="Default Text Caracter"/>
    <w:basedOn w:val="DefaultParagraphFont"/>
    <w:link w:val="DefaultText"/>
    <w:locked/>
    <w:rsid w:val="0095375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95375B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95375B"/>
  </w:style>
  <w:style w:type="paragraph" w:customStyle="1" w:styleId="CaracterCaracterCharCharCaracterCaracterCharCharCaracterCaracterCaracterCaracterCaracterCharCharCaracterCaracter">
    <w:name w:val=" Caracter Caracter Char Char Caracter Caracter Char Char Caracter Caracter Caracter Caracter Caracter Char Char Caracter Caracter"/>
    <w:basedOn w:val="Normal"/>
    <w:rsid w:val="009537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aracterCaracter">
    <w:name w:val=" Caracter Caracter"/>
    <w:basedOn w:val="Normal"/>
    <w:rsid w:val="00E66841"/>
    <w:rPr>
      <w:sz w:val="24"/>
      <w:szCs w:val="24"/>
      <w:lang w:val="pl-PL" w:eastAsia="pl-PL"/>
    </w:rPr>
  </w:style>
  <w:style w:type="paragraph" w:styleId="Title">
    <w:name w:val="Title"/>
    <w:basedOn w:val="Normal"/>
    <w:qFormat/>
    <w:rsid w:val="0016425C"/>
    <w:pPr>
      <w:widowControl w:val="0"/>
      <w:autoSpaceDE w:val="0"/>
      <w:autoSpaceDN w:val="0"/>
      <w:adjustRightInd w:val="0"/>
      <w:spacing w:after="240"/>
      <w:jc w:val="center"/>
    </w:pPr>
    <w:rPr>
      <w:rFonts w:ascii="Arial Black" w:hAnsi="Arial Black" w:cs="Arial Black"/>
      <w:sz w:val="48"/>
      <w:szCs w:val="48"/>
      <w:lang w:val="en-US" w:eastAsia="en-US"/>
    </w:rPr>
  </w:style>
  <w:style w:type="paragraph" w:customStyle="1" w:styleId="DefaultText1">
    <w:name w:val="Default Text:1"/>
    <w:basedOn w:val="Normal"/>
    <w:rsid w:val="00D60D1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US" w:eastAsia="en-US"/>
    </w:rPr>
  </w:style>
  <w:style w:type="table" w:styleId="TableGrid">
    <w:name w:val="Table Grid"/>
    <w:basedOn w:val="TableNormal"/>
    <w:rsid w:val="00D60D1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Normal"/>
    <w:rsid w:val="00AC3D41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365FC1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365FC1"/>
    <w:rPr>
      <w:rFonts w:eastAsia="Calibri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mfp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Ioana</dc:creator>
  <cp:lastModifiedBy>lorena</cp:lastModifiedBy>
  <cp:revision>2</cp:revision>
  <cp:lastPrinted>2014-03-31T09:52:00Z</cp:lastPrinted>
  <dcterms:created xsi:type="dcterms:W3CDTF">2014-03-31T11:51:00Z</dcterms:created>
  <dcterms:modified xsi:type="dcterms:W3CDTF">2014-03-31T11:51:00Z</dcterms:modified>
</cp:coreProperties>
</file>