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BC" w:rsidRDefault="00DF5D79" w:rsidP="0026233A">
      <w:pPr>
        <w:jc w:val="center"/>
        <w:rPr>
          <w:bCs/>
          <w:spacing w:val="20"/>
          <w:sz w:val="24"/>
          <w:szCs w:val="24"/>
        </w:rPr>
      </w:pPr>
      <w:r>
        <w:rPr>
          <w:bCs/>
          <w:spacing w:val="20"/>
          <w:sz w:val="24"/>
          <w:szCs w:val="24"/>
        </w:rPr>
        <w:t>EXPUNERE DE MOTIVE</w:t>
      </w:r>
    </w:p>
    <w:p w:rsidR="00445AAE" w:rsidRPr="00BD05BD" w:rsidRDefault="00445AAE" w:rsidP="00445AAE"/>
    <w:tbl>
      <w:tblPr>
        <w:tblW w:w="10095" w:type="dxa"/>
        <w:tblInd w:w="93" w:type="dxa"/>
        <w:tblLayout w:type="fixed"/>
        <w:tblLook w:val="0000"/>
      </w:tblPr>
      <w:tblGrid>
        <w:gridCol w:w="2494"/>
        <w:gridCol w:w="402"/>
        <w:gridCol w:w="67"/>
        <w:gridCol w:w="112"/>
        <w:gridCol w:w="1529"/>
        <w:gridCol w:w="890"/>
        <w:gridCol w:w="906"/>
        <w:gridCol w:w="900"/>
        <w:gridCol w:w="806"/>
        <w:gridCol w:w="10"/>
        <w:gridCol w:w="1979"/>
      </w:tblGrid>
      <w:tr w:rsidR="00445AAE" w:rsidRPr="00BD05BD">
        <w:trPr>
          <w:trHeight w:val="640"/>
        </w:trPr>
        <w:tc>
          <w:tcPr>
            <w:tcW w:w="10095" w:type="dxa"/>
            <w:gridSpan w:val="11"/>
            <w:tcBorders>
              <w:top w:val="single" w:sz="4" w:space="0" w:color="auto"/>
              <w:left w:val="single" w:sz="4" w:space="0" w:color="auto"/>
              <w:right w:val="single" w:sz="4" w:space="0" w:color="auto"/>
            </w:tcBorders>
            <w:shd w:val="clear" w:color="auto" w:fill="auto"/>
            <w:vAlign w:val="center"/>
          </w:tcPr>
          <w:p w:rsidR="00445AAE" w:rsidRPr="00BD05BD" w:rsidRDefault="00445AAE" w:rsidP="00445AAE">
            <w:pPr>
              <w:adjustRightInd w:val="0"/>
              <w:jc w:val="center"/>
              <w:rPr>
                <w:b/>
                <w:bCs/>
                <w:sz w:val="24"/>
                <w:szCs w:val="24"/>
              </w:rPr>
            </w:pPr>
            <w:r w:rsidRPr="00BD05BD">
              <w:rPr>
                <w:b/>
                <w:bCs/>
                <w:sz w:val="24"/>
                <w:szCs w:val="24"/>
              </w:rPr>
              <w:t>Secţiunea 1</w:t>
            </w:r>
          </w:p>
          <w:p w:rsidR="00E366EF" w:rsidRPr="00BD05BD" w:rsidRDefault="00445AAE" w:rsidP="0026233A">
            <w:pPr>
              <w:adjustRightInd w:val="0"/>
              <w:jc w:val="center"/>
              <w:rPr>
                <w:b/>
                <w:bCs/>
                <w:sz w:val="24"/>
                <w:szCs w:val="24"/>
              </w:rPr>
            </w:pPr>
            <w:r w:rsidRPr="00BD05BD">
              <w:rPr>
                <w:b/>
                <w:bCs/>
                <w:sz w:val="24"/>
                <w:szCs w:val="24"/>
              </w:rPr>
              <w:t>Titlul proiectului de act normativ</w:t>
            </w:r>
          </w:p>
        </w:tc>
      </w:tr>
      <w:tr w:rsidR="00445AAE" w:rsidRPr="00BD05BD">
        <w:trPr>
          <w:trHeight w:val="960"/>
        </w:trPr>
        <w:tc>
          <w:tcPr>
            <w:tcW w:w="10095" w:type="dxa"/>
            <w:gridSpan w:val="11"/>
            <w:tcBorders>
              <w:top w:val="nil"/>
              <w:left w:val="single" w:sz="4" w:space="0" w:color="auto"/>
              <w:bottom w:val="nil"/>
              <w:right w:val="single" w:sz="4" w:space="0" w:color="auto"/>
            </w:tcBorders>
            <w:shd w:val="clear" w:color="auto" w:fill="auto"/>
            <w:vAlign w:val="center"/>
          </w:tcPr>
          <w:p w:rsidR="00A309BC" w:rsidRDefault="00A309BC" w:rsidP="00445AAE">
            <w:pPr>
              <w:adjustRightInd w:val="0"/>
              <w:jc w:val="center"/>
              <w:outlineLvl w:val="0"/>
              <w:rPr>
                <w:b/>
                <w:sz w:val="24"/>
                <w:szCs w:val="24"/>
              </w:rPr>
            </w:pPr>
          </w:p>
          <w:p w:rsidR="00273097" w:rsidRDefault="00273097" w:rsidP="00977CAB">
            <w:pPr>
              <w:adjustRightInd w:val="0"/>
              <w:jc w:val="center"/>
              <w:outlineLvl w:val="0"/>
              <w:rPr>
                <w:b/>
                <w:sz w:val="24"/>
                <w:szCs w:val="24"/>
              </w:rPr>
            </w:pPr>
          </w:p>
          <w:p w:rsidR="00445AAE" w:rsidRPr="00BD05BD" w:rsidRDefault="00DF5D79" w:rsidP="00977CAB">
            <w:pPr>
              <w:adjustRightInd w:val="0"/>
              <w:jc w:val="center"/>
              <w:outlineLvl w:val="0"/>
              <w:rPr>
                <w:b/>
                <w:sz w:val="24"/>
                <w:szCs w:val="24"/>
                <w:shd w:val="clear" w:color="auto" w:fill="FFFFFF"/>
              </w:rPr>
            </w:pPr>
            <w:r>
              <w:rPr>
                <w:b/>
                <w:sz w:val="24"/>
                <w:szCs w:val="24"/>
              </w:rPr>
              <w:t>LEGE</w:t>
            </w:r>
          </w:p>
          <w:p w:rsidR="00097244" w:rsidRDefault="00445AAE" w:rsidP="00977CAB">
            <w:pPr>
              <w:autoSpaceDE w:val="0"/>
              <w:autoSpaceDN w:val="0"/>
              <w:adjustRightInd w:val="0"/>
              <w:jc w:val="center"/>
              <w:rPr>
                <w:sz w:val="24"/>
                <w:szCs w:val="24"/>
              </w:rPr>
            </w:pPr>
            <w:r w:rsidRPr="00BD05BD">
              <w:rPr>
                <w:b/>
                <w:sz w:val="24"/>
                <w:szCs w:val="24"/>
                <w:shd w:val="clear" w:color="auto" w:fill="FFFFFF"/>
              </w:rPr>
              <w:t xml:space="preserve"> </w:t>
            </w:r>
            <w:r w:rsidR="004C5A7E" w:rsidRPr="004C5A7E">
              <w:rPr>
                <w:sz w:val="24"/>
                <w:szCs w:val="24"/>
                <w:shd w:val="clear" w:color="auto" w:fill="FFFFFF"/>
              </w:rPr>
              <w:t>pentru</w:t>
            </w:r>
            <w:r w:rsidR="004C5A7E">
              <w:rPr>
                <w:b/>
                <w:sz w:val="24"/>
                <w:szCs w:val="24"/>
                <w:shd w:val="clear" w:color="auto" w:fill="FFFFFF"/>
              </w:rPr>
              <w:t xml:space="preserve"> </w:t>
            </w:r>
            <w:r w:rsidR="00097244" w:rsidRPr="00097244">
              <w:rPr>
                <w:sz w:val="24"/>
                <w:szCs w:val="24"/>
                <w:shd w:val="clear" w:color="auto" w:fill="FFFFFF"/>
              </w:rPr>
              <w:t>întărirea disciplinei financiare privind operaţiunile de încasări şi plăţi în numerar</w:t>
            </w:r>
            <w:r w:rsidR="00097244" w:rsidRPr="0010785F">
              <w:rPr>
                <w:sz w:val="24"/>
                <w:szCs w:val="24"/>
              </w:rPr>
              <w:t xml:space="preserve"> </w:t>
            </w:r>
            <w:r w:rsidR="00097244">
              <w:rPr>
                <w:sz w:val="24"/>
                <w:szCs w:val="24"/>
              </w:rPr>
              <w:t xml:space="preserve">şi </w:t>
            </w:r>
          </w:p>
          <w:p w:rsidR="00735683" w:rsidRPr="00735683" w:rsidRDefault="00735683" w:rsidP="00977CAB">
            <w:pPr>
              <w:autoSpaceDE w:val="0"/>
              <w:autoSpaceDN w:val="0"/>
              <w:adjustRightInd w:val="0"/>
              <w:jc w:val="center"/>
              <w:rPr>
                <w:sz w:val="24"/>
                <w:szCs w:val="24"/>
              </w:rPr>
            </w:pPr>
            <w:r w:rsidRPr="00735683">
              <w:rPr>
                <w:sz w:val="24"/>
                <w:szCs w:val="24"/>
              </w:rPr>
              <w:t xml:space="preserve">pentru </w:t>
            </w:r>
            <w:r w:rsidR="00FB2CC3">
              <w:rPr>
                <w:sz w:val="24"/>
                <w:szCs w:val="24"/>
              </w:rPr>
              <w:t xml:space="preserve">modificarea şi </w:t>
            </w:r>
            <w:r w:rsidRPr="00735683">
              <w:rPr>
                <w:sz w:val="24"/>
                <w:szCs w:val="24"/>
              </w:rPr>
              <w:t>completarea Ordonanţei de urgenţă a Guvernului nr.193/2002 privind introducerea sistemelor moderne de plată</w:t>
            </w:r>
          </w:p>
          <w:p w:rsidR="007E63B8" w:rsidRPr="00BA5F2D" w:rsidRDefault="007E63B8" w:rsidP="00445AAE">
            <w:pPr>
              <w:adjustRightInd w:val="0"/>
              <w:jc w:val="center"/>
              <w:rPr>
                <w:b/>
                <w:sz w:val="24"/>
                <w:szCs w:val="24"/>
              </w:rPr>
            </w:pPr>
          </w:p>
        </w:tc>
      </w:tr>
      <w:tr w:rsidR="00445AAE" w:rsidRPr="00BD05BD">
        <w:trPr>
          <w:trHeight w:val="536"/>
        </w:trPr>
        <w:tc>
          <w:tcPr>
            <w:tcW w:w="10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AE" w:rsidRDefault="00C91EA0" w:rsidP="00445AAE">
            <w:pPr>
              <w:jc w:val="center"/>
              <w:rPr>
                <w:b/>
                <w:bCs/>
                <w:sz w:val="24"/>
                <w:szCs w:val="24"/>
              </w:rPr>
            </w:pPr>
            <w:r>
              <w:rPr>
                <w:b/>
                <w:bCs/>
                <w:sz w:val="24"/>
                <w:szCs w:val="24"/>
              </w:rPr>
              <w:t>S</w:t>
            </w:r>
            <w:r w:rsidR="00445AAE" w:rsidRPr="00BD05BD">
              <w:rPr>
                <w:b/>
                <w:bCs/>
                <w:sz w:val="24"/>
                <w:szCs w:val="24"/>
              </w:rPr>
              <w:t>ecţiunea a 2-a</w:t>
            </w:r>
          </w:p>
          <w:p w:rsidR="00445AAE" w:rsidRDefault="00445AAE" w:rsidP="00445AAE">
            <w:pPr>
              <w:jc w:val="center"/>
              <w:rPr>
                <w:b/>
                <w:bCs/>
                <w:sz w:val="24"/>
                <w:szCs w:val="24"/>
              </w:rPr>
            </w:pPr>
            <w:r w:rsidRPr="00BD05BD">
              <w:rPr>
                <w:b/>
                <w:bCs/>
                <w:sz w:val="24"/>
                <w:szCs w:val="24"/>
              </w:rPr>
              <w:t>Motivul emiterii actului normativ</w:t>
            </w:r>
          </w:p>
          <w:p w:rsidR="00CC08DD" w:rsidRDefault="00CC08DD" w:rsidP="00445AAE">
            <w:pPr>
              <w:jc w:val="center"/>
              <w:rPr>
                <w:b/>
                <w:bCs/>
                <w:sz w:val="24"/>
                <w:szCs w:val="24"/>
              </w:rPr>
            </w:pPr>
          </w:p>
          <w:p w:rsidR="00445AAE" w:rsidRDefault="00445AAE" w:rsidP="00445AAE">
            <w:pPr>
              <w:ind w:firstLine="376"/>
              <w:jc w:val="both"/>
              <w:rPr>
                <w:sz w:val="24"/>
                <w:szCs w:val="24"/>
              </w:rPr>
            </w:pPr>
            <w:r w:rsidRPr="00BD05BD">
              <w:rPr>
                <w:sz w:val="24"/>
                <w:szCs w:val="24"/>
              </w:rPr>
              <w:t>Promovarea acest</w:t>
            </w:r>
            <w:r w:rsidR="00DF5D79">
              <w:rPr>
                <w:sz w:val="24"/>
                <w:szCs w:val="24"/>
              </w:rPr>
              <w:t>ei legi</w:t>
            </w:r>
            <w:r w:rsidRPr="00BD05BD">
              <w:rPr>
                <w:sz w:val="24"/>
                <w:szCs w:val="24"/>
              </w:rPr>
              <w:t xml:space="preserve"> este determinată de:</w:t>
            </w:r>
          </w:p>
          <w:p w:rsidR="007C0298" w:rsidRDefault="007C0298" w:rsidP="007C0298">
            <w:pPr>
              <w:numPr>
                <w:ilvl w:val="0"/>
                <w:numId w:val="2"/>
              </w:numPr>
              <w:tabs>
                <w:tab w:val="left" w:pos="807"/>
                <w:tab w:val="left" w:pos="2160"/>
                <w:tab w:val="left" w:pos="2880"/>
                <w:tab w:val="left" w:pos="3600"/>
                <w:tab w:val="left" w:pos="4320"/>
                <w:tab w:val="left" w:pos="5040"/>
                <w:tab w:val="left" w:pos="5760"/>
                <w:tab w:val="left" w:pos="7890"/>
              </w:tabs>
              <w:jc w:val="both"/>
              <w:rPr>
                <w:sz w:val="24"/>
                <w:szCs w:val="24"/>
              </w:rPr>
            </w:pPr>
            <w:r w:rsidRPr="00C12AF1">
              <w:rPr>
                <w:sz w:val="24"/>
                <w:szCs w:val="24"/>
              </w:rPr>
              <w:t xml:space="preserve">necesitatea întăririi disciplinei financiare, </w:t>
            </w:r>
            <w:r w:rsidRPr="00C12AF1">
              <w:rPr>
                <w:noProof/>
                <w:sz w:val="24"/>
                <w:szCs w:val="24"/>
              </w:rPr>
              <w:t>eficientizării administrării fiscale</w:t>
            </w:r>
            <w:r w:rsidRPr="00C12AF1">
              <w:rPr>
                <w:sz w:val="24"/>
                <w:szCs w:val="24"/>
              </w:rPr>
              <w:t xml:space="preserve"> şi combaterii evaziunii fiscale</w:t>
            </w:r>
            <w:r>
              <w:rPr>
                <w:sz w:val="24"/>
                <w:szCs w:val="24"/>
              </w:rPr>
              <w:t xml:space="preserve"> şi a acţiunilor de spălare a banilor</w:t>
            </w:r>
            <w:r w:rsidRPr="00C12AF1">
              <w:rPr>
                <w:sz w:val="24"/>
                <w:szCs w:val="24"/>
              </w:rPr>
              <w:t>;</w:t>
            </w:r>
          </w:p>
          <w:p w:rsidR="007C0298" w:rsidRDefault="007C0298" w:rsidP="007C0298">
            <w:pPr>
              <w:numPr>
                <w:ilvl w:val="0"/>
                <w:numId w:val="2"/>
              </w:numPr>
              <w:tabs>
                <w:tab w:val="left" w:pos="807"/>
                <w:tab w:val="left" w:pos="2160"/>
                <w:tab w:val="left" w:pos="2880"/>
                <w:tab w:val="left" w:pos="3600"/>
                <w:tab w:val="left" w:pos="4320"/>
                <w:tab w:val="left" w:pos="5040"/>
                <w:tab w:val="left" w:pos="5760"/>
                <w:tab w:val="left" w:pos="7890"/>
              </w:tabs>
              <w:jc w:val="both"/>
              <w:rPr>
                <w:sz w:val="24"/>
                <w:szCs w:val="24"/>
              </w:rPr>
            </w:pPr>
            <w:r w:rsidRPr="00C12AF1">
              <w:rPr>
                <w:noProof/>
                <w:sz w:val="24"/>
                <w:szCs w:val="24"/>
              </w:rPr>
              <w:t>recomandările Comisiei Europeane privind l</w:t>
            </w:r>
            <w:r w:rsidRPr="00C12AF1">
              <w:rPr>
                <w:sz w:val="24"/>
                <w:szCs w:val="24"/>
              </w:rPr>
              <w:t xml:space="preserve">imitarea utilizării plăţilor în numerar şi </w:t>
            </w:r>
            <w:r w:rsidRPr="00C12AF1">
              <w:rPr>
                <w:noProof/>
                <w:sz w:val="24"/>
                <w:szCs w:val="24"/>
              </w:rPr>
              <w:t xml:space="preserve">înăsprirea </w:t>
            </w:r>
            <w:r w:rsidRPr="00C12AF1">
              <w:rPr>
                <w:sz w:val="24"/>
                <w:szCs w:val="24"/>
              </w:rPr>
              <w:t>sancţiunilor pentru persoanele care fac plăţi în numerar depăşind plafoanele stabilite de lege,</w:t>
            </w:r>
            <w:r w:rsidRPr="00C12AF1">
              <w:rPr>
                <w:noProof/>
                <w:sz w:val="24"/>
                <w:szCs w:val="24"/>
              </w:rPr>
              <w:t xml:space="preserve"> în contextul îmbunătăţirii gradului de conformare a agenţilor economici privind respectarea prevederilor legislative;</w:t>
            </w:r>
          </w:p>
          <w:p w:rsidR="007E63B8" w:rsidRDefault="00767525" w:rsidP="00EE7C53">
            <w:pPr>
              <w:numPr>
                <w:ilvl w:val="1"/>
                <w:numId w:val="2"/>
              </w:numPr>
              <w:tabs>
                <w:tab w:val="clear" w:pos="2160"/>
                <w:tab w:val="num" w:pos="711"/>
              </w:tabs>
              <w:autoSpaceDE w:val="0"/>
              <w:autoSpaceDN w:val="0"/>
              <w:adjustRightInd w:val="0"/>
              <w:ind w:left="-26" w:firstLine="402"/>
              <w:jc w:val="both"/>
              <w:rPr>
                <w:sz w:val="24"/>
                <w:szCs w:val="24"/>
              </w:rPr>
            </w:pPr>
            <w:r w:rsidRPr="009E319B">
              <w:rPr>
                <w:sz w:val="24"/>
                <w:szCs w:val="24"/>
              </w:rPr>
              <w:t xml:space="preserve">necesitatea reducerii evaziunii fiscale și a economiei subterane prin creşterea gradului  de utilizare a cardurilor, în detrimentul numerarului </w:t>
            </w:r>
          </w:p>
          <w:p w:rsidR="006D147B" w:rsidRPr="00FA71AE" w:rsidRDefault="00FA46C0" w:rsidP="00EE7C53">
            <w:pPr>
              <w:numPr>
                <w:ilvl w:val="1"/>
                <w:numId w:val="2"/>
              </w:numPr>
              <w:tabs>
                <w:tab w:val="clear" w:pos="2160"/>
                <w:tab w:val="num" w:pos="711"/>
              </w:tabs>
              <w:autoSpaceDE w:val="0"/>
              <w:autoSpaceDN w:val="0"/>
              <w:adjustRightInd w:val="0"/>
              <w:ind w:left="-26" w:firstLine="402"/>
              <w:jc w:val="both"/>
              <w:rPr>
                <w:sz w:val="24"/>
                <w:szCs w:val="24"/>
              </w:rPr>
            </w:pPr>
            <w:r>
              <w:rPr>
                <w:sz w:val="24"/>
                <w:szCs w:val="24"/>
              </w:rPr>
              <w:t xml:space="preserve">necesitatea </w:t>
            </w:r>
            <w:r w:rsidR="006D147B">
              <w:rPr>
                <w:sz w:val="24"/>
                <w:szCs w:val="24"/>
              </w:rPr>
              <w:t>utiliz</w:t>
            </w:r>
            <w:r>
              <w:rPr>
                <w:sz w:val="24"/>
                <w:szCs w:val="24"/>
              </w:rPr>
              <w:t>ării</w:t>
            </w:r>
            <w:r w:rsidR="006D147B">
              <w:rPr>
                <w:sz w:val="24"/>
                <w:szCs w:val="24"/>
              </w:rPr>
              <w:t xml:space="preserve"> pe o scară largă a instrumentelor de plată fără numerar atât de către persoanele juridice, cât şi de către persoanele fizice </w:t>
            </w:r>
            <w:r>
              <w:rPr>
                <w:sz w:val="24"/>
                <w:szCs w:val="24"/>
              </w:rPr>
              <w:t>ca</w:t>
            </w:r>
            <w:r w:rsidR="006D147B">
              <w:rPr>
                <w:sz w:val="24"/>
                <w:szCs w:val="24"/>
              </w:rPr>
              <w:t xml:space="preserve"> </w:t>
            </w:r>
            <w:r>
              <w:rPr>
                <w:sz w:val="24"/>
                <w:szCs w:val="24"/>
              </w:rPr>
              <w:t>mijloc de asigurare a</w:t>
            </w:r>
            <w:r w:rsidR="006D147B">
              <w:rPr>
                <w:sz w:val="24"/>
                <w:szCs w:val="24"/>
              </w:rPr>
              <w:t xml:space="preserve"> </w:t>
            </w:r>
            <w:r>
              <w:rPr>
                <w:sz w:val="24"/>
                <w:szCs w:val="24"/>
              </w:rPr>
              <w:t>unei</w:t>
            </w:r>
            <w:r w:rsidR="006D147B">
              <w:rPr>
                <w:sz w:val="24"/>
                <w:szCs w:val="24"/>
              </w:rPr>
              <w:t xml:space="preserve"> eficacit</w:t>
            </w:r>
            <w:r>
              <w:rPr>
                <w:sz w:val="24"/>
                <w:szCs w:val="24"/>
              </w:rPr>
              <w:t>ăţi</w:t>
            </w:r>
            <w:r w:rsidR="006D147B">
              <w:rPr>
                <w:sz w:val="24"/>
                <w:szCs w:val="24"/>
              </w:rPr>
              <w:t xml:space="preserve"> sporit</w:t>
            </w:r>
            <w:r>
              <w:rPr>
                <w:sz w:val="24"/>
                <w:szCs w:val="24"/>
              </w:rPr>
              <w:t>e</w:t>
            </w:r>
            <w:r w:rsidR="006D147B">
              <w:rPr>
                <w:sz w:val="24"/>
                <w:szCs w:val="24"/>
              </w:rPr>
              <w:t xml:space="preserve"> în diminuarea evaziunii fiscale şi, implicit, în creşterea veniturilor fiscale colectate la bugetul public</w:t>
            </w:r>
            <w:r>
              <w:rPr>
                <w:sz w:val="24"/>
                <w:szCs w:val="24"/>
              </w:rPr>
              <w:t>,</w:t>
            </w:r>
            <w:r w:rsidR="006D147B">
              <w:rPr>
                <w:sz w:val="24"/>
                <w:szCs w:val="24"/>
              </w:rPr>
              <w:t xml:space="preserve"> </w:t>
            </w:r>
            <w:r>
              <w:rPr>
                <w:sz w:val="24"/>
                <w:szCs w:val="24"/>
              </w:rPr>
              <w:t>a</w:t>
            </w:r>
            <w:r w:rsidR="006D147B">
              <w:rPr>
                <w:sz w:val="24"/>
                <w:szCs w:val="24"/>
              </w:rPr>
              <w:t>sigur</w:t>
            </w:r>
            <w:r>
              <w:rPr>
                <w:sz w:val="24"/>
                <w:szCs w:val="24"/>
              </w:rPr>
              <w:t>ându-se</w:t>
            </w:r>
            <w:r w:rsidR="006D147B">
              <w:rPr>
                <w:sz w:val="24"/>
                <w:szCs w:val="24"/>
              </w:rPr>
              <w:t xml:space="preserve"> în acest mod </w:t>
            </w:r>
            <w:r w:rsidR="003D040D">
              <w:rPr>
                <w:sz w:val="24"/>
                <w:szCs w:val="24"/>
              </w:rPr>
              <w:t>sumel</w:t>
            </w:r>
            <w:r>
              <w:rPr>
                <w:sz w:val="24"/>
                <w:szCs w:val="24"/>
              </w:rPr>
              <w:t>e</w:t>
            </w:r>
            <w:r w:rsidR="006D147B">
              <w:rPr>
                <w:sz w:val="24"/>
                <w:szCs w:val="24"/>
              </w:rPr>
              <w:t xml:space="preserve"> corespunzătoare a</w:t>
            </w:r>
            <w:r w:rsidR="003D040D">
              <w:rPr>
                <w:sz w:val="24"/>
                <w:szCs w:val="24"/>
              </w:rPr>
              <w:t>coperirii</w:t>
            </w:r>
            <w:r w:rsidR="006D147B">
              <w:rPr>
                <w:sz w:val="24"/>
                <w:szCs w:val="24"/>
              </w:rPr>
              <w:t xml:space="preserve"> cheltuielilor publice</w:t>
            </w:r>
            <w:r>
              <w:rPr>
                <w:sz w:val="24"/>
                <w:szCs w:val="24"/>
              </w:rPr>
              <w:t>, ceea ce</w:t>
            </w:r>
            <w:r w:rsidR="006D147B">
              <w:rPr>
                <w:sz w:val="24"/>
                <w:szCs w:val="24"/>
              </w:rPr>
              <w:t xml:space="preserve"> reprezintă un interes general al societăţii care trebuie protejat</w:t>
            </w:r>
          </w:p>
        </w:tc>
      </w:tr>
      <w:tr w:rsidR="00445AAE" w:rsidRPr="00BD05BD">
        <w:trPr>
          <w:trHeight w:val="680"/>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rPr>
                <w:b/>
                <w:bCs/>
                <w:sz w:val="24"/>
                <w:szCs w:val="24"/>
              </w:rPr>
            </w:pPr>
            <w:r w:rsidRPr="00BD05BD">
              <w:rPr>
                <w:b/>
                <w:bCs/>
                <w:sz w:val="24"/>
                <w:szCs w:val="24"/>
              </w:rPr>
              <w:t>1. Descrierea situaţiei actuale</w:t>
            </w:r>
          </w:p>
        </w:tc>
        <w:tc>
          <w:tcPr>
            <w:tcW w:w="7199" w:type="dxa"/>
            <w:gridSpan w:val="9"/>
            <w:tcBorders>
              <w:top w:val="single" w:sz="4" w:space="0" w:color="auto"/>
              <w:left w:val="nil"/>
              <w:bottom w:val="single" w:sz="4" w:space="0" w:color="auto"/>
              <w:right w:val="single" w:sz="4" w:space="0" w:color="auto"/>
            </w:tcBorders>
            <w:shd w:val="clear" w:color="auto" w:fill="auto"/>
            <w:vAlign w:val="center"/>
          </w:tcPr>
          <w:p w:rsidR="00097244" w:rsidRPr="009C7A66" w:rsidRDefault="00097244" w:rsidP="00097244">
            <w:pPr>
              <w:autoSpaceDE w:val="0"/>
              <w:autoSpaceDN w:val="0"/>
              <w:adjustRightInd w:val="0"/>
              <w:ind w:firstLine="251"/>
              <w:rPr>
                <w:sz w:val="24"/>
                <w:szCs w:val="24"/>
              </w:rPr>
            </w:pPr>
            <w:r w:rsidRPr="009C7A66">
              <w:rPr>
                <w:sz w:val="24"/>
                <w:szCs w:val="24"/>
              </w:rPr>
              <w:t xml:space="preserve">În prezent, plafoanele zilnice pentru plăţile în numerar  între persoanele juridice sunt  instituite prin Ordonanţa Guvernului nr. 15/1996  </w:t>
            </w:r>
            <w:r w:rsidRPr="009C7A66">
              <w:rPr>
                <w:sz w:val="24"/>
                <w:szCs w:val="24"/>
                <w:lang w:eastAsia="en-US"/>
              </w:rPr>
              <w:t xml:space="preserve">privind întărirea disciplinei financiar-valutare, cu modificările şi completările ulterioare  şi </w:t>
            </w:r>
            <w:r w:rsidRPr="009C7A66">
              <w:rPr>
                <w:sz w:val="24"/>
                <w:szCs w:val="24"/>
              </w:rPr>
              <w:t>sunt stabilite astfel:</w:t>
            </w:r>
          </w:p>
          <w:p w:rsidR="00097244" w:rsidRPr="005C7734" w:rsidRDefault="00097244" w:rsidP="00097244">
            <w:pPr>
              <w:numPr>
                <w:ilvl w:val="0"/>
                <w:numId w:val="18"/>
              </w:numPr>
              <w:jc w:val="both"/>
              <w:rPr>
                <w:sz w:val="24"/>
                <w:szCs w:val="24"/>
              </w:rPr>
            </w:pPr>
            <w:r w:rsidRPr="005C7734">
              <w:rPr>
                <w:sz w:val="24"/>
                <w:szCs w:val="24"/>
              </w:rPr>
              <w:t>10.000 lei/zi - plafonul de plăţi în numerar către persoane juridice;</w:t>
            </w:r>
          </w:p>
          <w:p w:rsidR="00097244" w:rsidRDefault="00097244" w:rsidP="00097244">
            <w:pPr>
              <w:numPr>
                <w:ilvl w:val="0"/>
                <w:numId w:val="18"/>
              </w:numPr>
              <w:jc w:val="both"/>
              <w:rPr>
                <w:sz w:val="24"/>
                <w:szCs w:val="24"/>
              </w:rPr>
            </w:pPr>
            <w:r w:rsidRPr="005C7734">
              <w:rPr>
                <w:sz w:val="24"/>
                <w:szCs w:val="24"/>
              </w:rPr>
              <w:t>5.000 lei/zi - plafonul de plată în numerar către acelaşi furnizor.</w:t>
            </w:r>
          </w:p>
          <w:p w:rsidR="00097244" w:rsidRPr="004110BD" w:rsidRDefault="00097244" w:rsidP="00097244">
            <w:pPr>
              <w:numPr>
                <w:ilvl w:val="0"/>
                <w:numId w:val="18"/>
              </w:numPr>
              <w:jc w:val="both"/>
              <w:rPr>
                <w:sz w:val="24"/>
                <w:szCs w:val="24"/>
              </w:rPr>
            </w:pPr>
            <w:r>
              <w:rPr>
                <w:sz w:val="24"/>
                <w:szCs w:val="24"/>
              </w:rPr>
              <w:t xml:space="preserve">10.000 lei/zi – plafonul </w:t>
            </w:r>
            <w:r w:rsidRPr="005C7734">
              <w:rPr>
                <w:sz w:val="24"/>
                <w:szCs w:val="24"/>
              </w:rPr>
              <w:t xml:space="preserve">de plată în numerar </w:t>
            </w:r>
            <w:r w:rsidRPr="00546A5A">
              <w:rPr>
                <w:iCs/>
                <w:sz w:val="24"/>
                <w:szCs w:val="24"/>
                <w:lang w:eastAsia="en-US"/>
              </w:rPr>
              <w:t xml:space="preserve"> în cazul plăţilor către reţelele de magazine de tipul Cash&amp;Carry, care sunt organizate şi funcţionează în baza legislaţiei în vigoare</w:t>
            </w:r>
          </w:p>
          <w:p w:rsidR="00097244" w:rsidRPr="003C3A75" w:rsidRDefault="00097244" w:rsidP="00097244">
            <w:pPr>
              <w:ind w:left="360"/>
              <w:jc w:val="both"/>
              <w:rPr>
                <w:bCs/>
                <w:iCs/>
                <w:sz w:val="24"/>
                <w:szCs w:val="24"/>
              </w:rPr>
            </w:pPr>
            <w:r w:rsidRPr="003C3A75">
              <w:rPr>
                <w:bCs/>
                <w:iCs/>
                <w:sz w:val="24"/>
                <w:szCs w:val="24"/>
              </w:rPr>
              <w:t>Nu există limitări legale pentru următoarele operaţiuni cu numerar:</w:t>
            </w:r>
          </w:p>
          <w:p w:rsidR="00097244" w:rsidRPr="003C3A75" w:rsidRDefault="00097244" w:rsidP="009C7A66">
            <w:pPr>
              <w:numPr>
                <w:ilvl w:val="0"/>
                <w:numId w:val="20"/>
              </w:numPr>
              <w:tabs>
                <w:tab w:val="clear" w:pos="1590"/>
                <w:tab w:val="num" w:pos="0"/>
                <w:tab w:val="num" w:pos="791"/>
              </w:tabs>
              <w:ind w:left="791"/>
              <w:jc w:val="both"/>
              <w:rPr>
                <w:bCs/>
                <w:iCs/>
                <w:sz w:val="24"/>
                <w:szCs w:val="24"/>
              </w:rPr>
            </w:pPr>
            <w:r w:rsidRPr="003C3A75">
              <w:rPr>
                <w:bCs/>
                <w:iCs/>
                <w:sz w:val="24"/>
                <w:szCs w:val="24"/>
              </w:rPr>
              <w:t>încasări şi plăţi efectuate de alţi operatori economici decât persoanele juridice, respectiv: liber profesionişti, persoane fizice autorizate, întreprinderi familiale, întreprinderi individuale şi alte entităţi fără personalitate juridică;</w:t>
            </w:r>
          </w:p>
          <w:p w:rsidR="00097244" w:rsidRPr="003C3A75" w:rsidRDefault="00097244" w:rsidP="009C7A66">
            <w:pPr>
              <w:numPr>
                <w:ilvl w:val="0"/>
                <w:numId w:val="19"/>
              </w:numPr>
              <w:tabs>
                <w:tab w:val="clear" w:pos="1590"/>
                <w:tab w:val="num" w:pos="0"/>
                <w:tab w:val="num" w:pos="791"/>
              </w:tabs>
              <w:ind w:left="791"/>
              <w:jc w:val="both"/>
              <w:rPr>
                <w:b/>
                <w:bCs/>
                <w:iCs/>
                <w:sz w:val="24"/>
                <w:szCs w:val="24"/>
              </w:rPr>
            </w:pPr>
            <w:r w:rsidRPr="003C3A75">
              <w:rPr>
                <w:bCs/>
                <w:iCs/>
                <w:sz w:val="24"/>
                <w:szCs w:val="24"/>
              </w:rPr>
              <w:t>încasări şi plăţi derulate între operatorii economici şi persoanele fizice, reprezentând contravaloarea livrării de bunuri şi prestării de servicii, dividende, cesiuni de creanţe, împrumuturi şi alte</w:t>
            </w:r>
            <w:r w:rsidRPr="003C3A75">
              <w:rPr>
                <w:b/>
                <w:bCs/>
                <w:iCs/>
                <w:sz w:val="24"/>
                <w:szCs w:val="24"/>
              </w:rPr>
              <w:t xml:space="preserve"> </w:t>
            </w:r>
            <w:r w:rsidRPr="003C3A75">
              <w:rPr>
                <w:bCs/>
                <w:iCs/>
                <w:sz w:val="24"/>
                <w:szCs w:val="24"/>
              </w:rPr>
              <w:t>forme de finanţare;</w:t>
            </w:r>
          </w:p>
          <w:p w:rsidR="00097244" w:rsidRPr="003C3A75" w:rsidRDefault="00097244" w:rsidP="009C7A66">
            <w:pPr>
              <w:numPr>
                <w:ilvl w:val="0"/>
                <w:numId w:val="19"/>
              </w:numPr>
              <w:tabs>
                <w:tab w:val="clear" w:pos="1590"/>
                <w:tab w:val="num" w:pos="0"/>
                <w:tab w:val="num" w:pos="791"/>
              </w:tabs>
              <w:ind w:left="791"/>
              <w:jc w:val="both"/>
              <w:rPr>
                <w:bCs/>
                <w:iCs/>
                <w:sz w:val="24"/>
                <w:szCs w:val="24"/>
              </w:rPr>
            </w:pPr>
            <w:r w:rsidRPr="003C3A75">
              <w:rPr>
                <w:bCs/>
                <w:iCs/>
                <w:sz w:val="24"/>
                <w:szCs w:val="24"/>
              </w:rPr>
              <w:t>încasări şi plăţi derulate între persoanele fizice, reprezentând contravaloarea vânzării de bunuri sau drepturi, împrumuturi, etc.</w:t>
            </w:r>
          </w:p>
          <w:p w:rsidR="00097244" w:rsidRPr="000D08EF" w:rsidRDefault="00097244" w:rsidP="00585AA3">
            <w:pPr>
              <w:ind w:firstLine="251"/>
              <w:jc w:val="both"/>
              <w:rPr>
                <w:sz w:val="24"/>
                <w:szCs w:val="24"/>
              </w:rPr>
            </w:pPr>
            <w:r w:rsidRPr="005C7734">
              <w:rPr>
                <w:sz w:val="24"/>
                <w:szCs w:val="24"/>
              </w:rPr>
              <w:t xml:space="preserve">Ordonanţa Guvernului nr. 15/1996 stabileşte amenzi contravenţionale de la 5.000 la 10.000 lei în cazul în care o persoană juridică plăteşte </w:t>
            </w:r>
            <w:r>
              <w:rPr>
                <w:sz w:val="24"/>
                <w:szCs w:val="24"/>
              </w:rPr>
              <w:t xml:space="preserve">în numerar </w:t>
            </w:r>
            <w:r w:rsidRPr="005C7734">
              <w:rPr>
                <w:sz w:val="24"/>
                <w:szCs w:val="24"/>
              </w:rPr>
              <w:t xml:space="preserve">altei persoane juridice sume ce depăşesc plafonul de 5.000 lei/zi, sau depăşeşte plafonul total </w:t>
            </w:r>
            <w:r>
              <w:rPr>
                <w:sz w:val="24"/>
                <w:szCs w:val="24"/>
              </w:rPr>
              <w:t xml:space="preserve">de </w:t>
            </w:r>
            <w:r w:rsidRPr="005C7734">
              <w:rPr>
                <w:sz w:val="24"/>
                <w:szCs w:val="24"/>
              </w:rPr>
              <w:t xml:space="preserve">plăţi zilnice către persoane juridice de 10.000 lei. </w:t>
            </w:r>
          </w:p>
          <w:p w:rsidR="00097244" w:rsidRDefault="00097244" w:rsidP="00097244">
            <w:pPr>
              <w:tabs>
                <w:tab w:val="left" w:pos="1440"/>
                <w:tab w:val="left" w:pos="2160"/>
                <w:tab w:val="left" w:pos="2880"/>
                <w:tab w:val="left" w:pos="3600"/>
                <w:tab w:val="left" w:pos="4320"/>
                <w:tab w:val="left" w:pos="5040"/>
                <w:tab w:val="left" w:pos="5760"/>
                <w:tab w:val="left" w:pos="7890"/>
              </w:tabs>
              <w:ind w:firstLine="251"/>
              <w:jc w:val="both"/>
              <w:rPr>
                <w:sz w:val="24"/>
                <w:szCs w:val="24"/>
              </w:rPr>
            </w:pPr>
            <w:r>
              <w:rPr>
                <w:sz w:val="24"/>
                <w:szCs w:val="24"/>
              </w:rPr>
              <w:lastRenderedPageBreak/>
              <w:t>Totuşi, o parte din prevederile ordonanţei sunt caduce, actualul context economic fiind diferit faţă de cel existent la momentul publicării acesteia şi, respectiv la momentul ultimei modificări, operate în anul 2004.</w:t>
            </w:r>
          </w:p>
          <w:p w:rsidR="00097244" w:rsidRDefault="00097244" w:rsidP="00097244">
            <w:pPr>
              <w:tabs>
                <w:tab w:val="left" w:pos="1440"/>
                <w:tab w:val="left" w:pos="2160"/>
                <w:tab w:val="left" w:pos="2880"/>
                <w:tab w:val="left" w:pos="3600"/>
                <w:tab w:val="left" w:pos="4320"/>
                <w:tab w:val="left" w:pos="5040"/>
                <w:tab w:val="left" w:pos="5760"/>
                <w:tab w:val="left" w:pos="7890"/>
              </w:tabs>
              <w:ind w:firstLine="251"/>
              <w:jc w:val="both"/>
              <w:rPr>
                <w:sz w:val="24"/>
                <w:szCs w:val="24"/>
              </w:rPr>
            </w:pPr>
            <w:r>
              <w:rPr>
                <w:sz w:val="24"/>
                <w:szCs w:val="24"/>
              </w:rPr>
              <w:t>Astfel:</w:t>
            </w:r>
          </w:p>
          <w:p w:rsidR="00097244" w:rsidRPr="00EA08C1" w:rsidRDefault="00097244" w:rsidP="00097244">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r>
              <w:rPr>
                <w:sz w:val="24"/>
                <w:szCs w:val="24"/>
              </w:rPr>
              <w:t>-</w:t>
            </w:r>
            <w:r w:rsidRPr="00EA08C1">
              <w:rPr>
                <w:sz w:val="24"/>
                <w:szCs w:val="24"/>
              </w:rPr>
              <w:t xml:space="preserve"> schimbarea valutei</w:t>
            </w:r>
            <w:r>
              <w:rPr>
                <w:sz w:val="24"/>
                <w:szCs w:val="24"/>
              </w:rPr>
              <w:t>, prevăzută la art.1,</w:t>
            </w:r>
            <w:r w:rsidRPr="00EA08C1">
              <w:rPr>
                <w:sz w:val="24"/>
                <w:szCs w:val="24"/>
              </w:rPr>
              <w:t xml:space="preserve"> era necesară pentru crearea de disponibilităţi în lei pentru achitarea datoriilor către  furnizorii de utilităţi, care la acea dată erau</w:t>
            </w:r>
            <w:r>
              <w:rPr>
                <w:sz w:val="24"/>
                <w:szCs w:val="24"/>
              </w:rPr>
              <w:t xml:space="preserve"> companii de stat. În prezent</w:t>
            </w:r>
            <w:r w:rsidR="00673678">
              <w:rPr>
                <w:sz w:val="24"/>
                <w:szCs w:val="24"/>
              </w:rPr>
              <w:t>,</w:t>
            </w:r>
            <w:r>
              <w:rPr>
                <w:sz w:val="24"/>
                <w:szCs w:val="24"/>
              </w:rPr>
              <w:t xml:space="preserve"> furnizorii de utilităţi fiind în marea lor majoritate companii private, menţinerea acestei măsuri ar favoriza acesti operatori economici în defavoarea altor operatori care livrează alte bunuri/servicii</w:t>
            </w:r>
            <w:r w:rsidRPr="00EA08C1">
              <w:rPr>
                <w:sz w:val="24"/>
                <w:szCs w:val="24"/>
              </w:rPr>
              <w:t>;</w:t>
            </w:r>
          </w:p>
          <w:p w:rsidR="00097244" w:rsidRDefault="00097244" w:rsidP="00097244">
            <w:pPr>
              <w:tabs>
                <w:tab w:val="left" w:pos="1440"/>
                <w:tab w:val="left" w:pos="2160"/>
                <w:tab w:val="left" w:pos="2880"/>
                <w:tab w:val="left" w:pos="3600"/>
                <w:tab w:val="left" w:pos="4320"/>
                <w:tab w:val="left" w:pos="5040"/>
                <w:tab w:val="left" w:pos="5760"/>
                <w:tab w:val="left" w:pos="7890"/>
              </w:tabs>
              <w:ind w:left="251" w:firstLine="251"/>
              <w:jc w:val="both"/>
              <w:rPr>
                <w:sz w:val="24"/>
                <w:szCs w:val="24"/>
              </w:rPr>
            </w:pPr>
            <w:r>
              <w:rPr>
                <w:sz w:val="24"/>
                <w:szCs w:val="24"/>
              </w:rPr>
              <w:t>-c</w:t>
            </w:r>
            <w:r w:rsidRPr="00EA08C1">
              <w:rPr>
                <w:sz w:val="24"/>
                <w:szCs w:val="24"/>
              </w:rPr>
              <w:t>ondiţiile impuse de art. 2</w:t>
            </w:r>
            <w:r>
              <w:rPr>
                <w:sz w:val="24"/>
                <w:szCs w:val="24"/>
              </w:rPr>
              <w:t xml:space="preserve"> din Ordonanţa Guvernului nr.15/1996</w:t>
            </w:r>
            <w:r w:rsidRPr="00EA08C1">
              <w:rPr>
                <w:sz w:val="24"/>
                <w:szCs w:val="24"/>
              </w:rPr>
              <w:t xml:space="preserve">, respectiv de a depune la bancă situaţii privind disponibilităţile în valută existente şi </w:t>
            </w:r>
            <w:r w:rsidRPr="00546A5A">
              <w:rPr>
                <w:sz w:val="24"/>
                <w:szCs w:val="24"/>
              </w:rPr>
              <w:t>la alte bănci, sau a datoriilor mai vechi de 60 zile, catre furnizorii de energie electrică, termică şi gaze naturale nu mai sunt aplicabile în prezent;</w:t>
            </w:r>
          </w:p>
          <w:p w:rsidR="00097244" w:rsidRPr="00D31C7C" w:rsidRDefault="00097244" w:rsidP="00097244">
            <w:pPr>
              <w:tabs>
                <w:tab w:val="left" w:pos="1440"/>
                <w:tab w:val="left" w:pos="2160"/>
                <w:tab w:val="left" w:pos="2880"/>
                <w:tab w:val="left" w:pos="3600"/>
                <w:tab w:val="left" w:pos="4320"/>
                <w:tab w:val="left" w:pos="5040"/>
                <w:tab w:val="left" w:pos="5760"/>
                <w:tab w:val="left" w:pos="7890"/>
              </w:tabs>
              <w:ind w:left="251" w:firstLine="251"/>
              <w:jc w:val="both"/>
              <w:rPr>
                <w:color w:val="000000"/>
                <w:sz w:val="24"/>
                <w:szCs w:val="24"/>
              </w:rPr>
            </w:pPr>
            <w:r w:rsidRPr="00D31C7C">
              <w:rPr>
                <w:color w:val="000000"/>
                <w:sz w:val="24"/>
                <w:szCs w:val="24"/>
              </w:rPr>
              <w:t>-</w:t>
            </w:r>
            <w:r>
              <w:rPr>
                <w:color w:val="000000"/>
                <w:sz w:val="24"/>
                <w:szCs w:val="24"/>
              </w:rPr>
              <w:t xml:space="preserve"> </w:t>
            </w:r>
            <w:r w:rsidRPr="00D31C7C">
              <w:rPr>
                <w:color w:val="000000"/>
                <w:sz w:val="24"/>
                <w:szCs w:val="24"/>
              </w:rPr>
              <w:t>prevederile  art. 4 din Ordonanţa Guvernului nr. 15/1996 nu mai sunt de actualitate întrucât prin OUG nr. 146/2005 au fost abrogate prevederile din Legea nr. 96/2000 privind organizarea şi funcţionarea Băncii de Export – Import a României EximBank S.A., referitoare la acordarea de către EximBank, în numele şi în contul statului, a bonificaţiilor de dobândă;</w:t>
            </w:r>
          </w:p>
          <w:p w:rsidR="00097244" w:rsidRPr="00546A5A" w:rsidRDefault="00097244" w:rsidP="00097244">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r>
              <w:rPr>
                <w:sz w:val="24"/>
                <w:szCs w:val="24"/>
              </w:rPr>
              <w:t>- prevederile</w:t>
            </w:r>
            <w:r w:rsidRPr="00546A5A">
              <w:rPr>
                <w:sz w:val="24"/>
                <w:szCs w:val="24"/>
              </w:rPr>
              <w:t xml:space="preserve"> art. 9 din Ordonanţa Guvernului nr. 15/1996</w:t>
            </w:r>
            <w:r>
              <w:rPr>
                <w:sz w:val="24"/>
                <w:szCs w:val="24"/>
              </w:rPr>
              <w:t xml:space="preserve"> privitoare la organizarea şi conducerea evidenţei contabile şi păstrarea documentelor justificative şi a registrelor contabile conduc la</w:t>
            </w:r>
            <w:r w:rsidRPr="00546A5A">
              <w:rPr>
                <w:sz w:val="24"/>
                <w:szCs w:val="24"/>
              </w:rPr>
              <w:t xml:space="preserve"> contradicţii/paralelisme cu prevederile Legii contabilităţii nr. 82/1991, republicată, cu modificările şi completările ulterioare şi ale</w:t>
            </w:r>
            <w:r w:rsidRPr="00546A5A">
              <w:rPr>
                <w:rFonts w:eastAsia="MS Mincho"/>
                <w:sz w:val="24"/>
                <w:szCs w:val="24"/>
                <w:lang w:eastAsia="ja-JP"/>
              </w:rPr>
              <w:t xml:space="preserve"> Ordonanţei Guvernului nr. 92/2003 privind Codul de procedură fiscală, republicată, cu modificările şi completările ulterioare</w:t>
            </w:r>
            <w:r w:rsidRPr="00546A5A">
              <w:rPr>
                <w:sz w:val="24"/>
                <w:szCs w:val="24"/>
              </w:rPr>
              <w:t>;</w:t>
            </w:r>
          </w:p>
          <w:p w:rsidR="00AF4F78" w:rsidRDefault="00097244" w:rsidP="00097244">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r>
              <w:rPr>
                <w:sz w:val="24"/>
                <w:szCs w:val="24"/>
              </w:rPr>
              <w:t>- prevederile</w:t>
            </w:r>
            <w:r w:rsidRPr="00546A5A">
              <w:rPr>
                <w:sz w:val="24"/>
                <w:szCs w:val="24"/>
              </w:rPr>
              <w:t xml:space="preserve"> art. 11 din Ordonanţa Guvernului nr. 15/1996</w:t>
            </w:r>
            <w:r>
              <w:rPr>
                <w:sz w:val="24"/>
                <w:szCs w:val="24"/>
              </w:rPr>
              <w:t xml:space="preserve"> sunt perimate</w:t>
            </w:r>
            <w:r w:rsidRPr="00546A5A">
              <w:rPr>
                <w:sz w:val="24"/>
                <w:szCs w:val="24"/>
              </w:rPr>
              <w:t>,  având în vedere că actualul context economic diferă semnificativ de cel existent la momentul publicării acestei ordonanţe, respectiv furnizorii de utilităţi sunt companii private</w:t>
            </w:r>
            <w:r w:rsidR="00585AA3">
              <w:rPr>
                <w:sz w:val="24"/>
                <w:szCs w:val="24"/>
              </w:rPr>
              <w:t xml:space="preserve"> sau de drept privat</w:t>
            </w:r>
            <w:r w:rsidR="00B02D78">
              <w:rPr>
                <w:sz w:val="24"/>
                <w:szCs w:val="24"/>
              </w:rPr>
              <w:t>.</w:t>
            </w:r>
          </w:p>
          <w:p w:rsidR="00AF4F78" w:rsidRDefault="00AF4F78" w:rsidP="00097244">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r>
              <w:rPr>
                <w:sz w:val="24"/>
                <w:szCs w:val="24"/>
              </w:rPr>
              <w:t>La nivelul ţărilor europene se înregistrează tendinţa de limitare continuă a încasărilor şi plăţilor în numerar, întrucât s-a constatat că utilizarea numerarului favorizează evaziunea fiscală şi apariţia activităţilor de spălare a banilor.</w:t>
            </w:r>
          </w:p>
          <w:p w:rsidR="001A1666" w:rsidRPr="001A1666" w:rsidRDefault="001A1666" w:rsidP="001A1666">
            <w:pPr>
              <w:tabs>
                <w:tab w:val="left" w:pos="1440"/>
                <w:tab w:val="left" w:pos="2160"/>
                <w:tab w:val="left" w:pos="2880"/>
                <w:tab w:val="left" w:pos="3600"/>
                <w:tab w:val="left" w:pos="4320"/>
                <w:tab w:val="left" w:pos="5040"/>
                <w:tab w:val="left" w:pos="5760"/>
                <w:tab w:val="left" w:pos="7890"/>
              </w:tabs>
              <w:ind w:left="251" w:firstLine="180"/>
              <w:jc w:val="both"/>
              <w:rPr>
                <w:bCs/>
                <w:sz w:val="24"/>
                <w:szCs w:val="24"/>
              </w:rPr>
            </w:pPr>
            <w:r>
              <w:rPr>
                <w:bCs/>
                <w:sz w:val="24"/>
                <w:szCs w:val="24"/>
              </w:rPr>
              <w:t xml:space="preserve">Astfel, Italia, </w:t>
            </w:r>
            <w:r w:rsidRPr="001A1666">
              <w:rPr>
                <w:bCs/>
                <w:sz w:val="24"/>
                <w:szCs w:val="24"/>
              </w:rPr>
              <w:t xml:space="preserve">prin aşa zisele „măsuri Monti”, adoptate prin Decretul-lege nr.201/2011, în vigoare din 6 decembrie 2011, nu numai că a limitat plăţile în numerar la pragul de 1.000 euro, ci impune restricţii şi cu privire la eliberarea de numerar, cecuri la purtător sau cecuri poştale. Astfel, pentru sume mai mari de 999,99 de euro, băncile sau oficiile poştale au obligaţia să înregistreze numele beneficiarului şi să înscrie pe cec clauza că nu este transferabil. </w:t>
            </w:r>
          </w:p>
          <w:p w:rsidR="001A1666" w:rsidRDefault="001A1666" w:rsidP="001A1666">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r w:rsidRPr="001A1666">
              <w:rPr>
                <w:bCs/>
                <w:sz w:val="24"/>
                <w:szCs w:val="24"/>
              </w:rPr>
              <w:t>De asemenea, amenzile aplicate pentru încălcarea limitelor impuse de lege sunt stabilite între 1% şi 40% din suma totală plătită sau transferată (şi nu din cea care depăşeşte plafonul), iar minimul amenzii este stabilit la 3.000 de euro</w:t>
            </w:r>
            <w:r>
              <w:rPr>
                <w:bCs/>
                <w:sz w:val="24"/>
                <w:szCs w:val="24"/>
              </w:rPr>
              <w:t>.</w:t>
            </w:r>
          </w:p>
          <w:p w:rsidR="00E66A5F" w:rsidRDefault="001A1666" w:rsidP="00097244">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r>
              <w:rPr>
                <w:sz w:val="24"/>
                <w:szCs w:val="24"/>
              </w:rPr>
              <w:t>Totodată</w:t>
            </w:r>
            <w:r w:rsidR="00AF4F78">
              <w:rPr>
                <w:sz w:val="24"/>
                <w:szCs w:val="24"/>
              </w:rPr>
              <w:t>, în anul 2013 Banca Centrală Europeană a acordat mai multe avize</w:t>
            </w:r>
            <w:r w:rsidR="00F619F0">
              <w:rPr>
                <w:sz w:val="24"/>
                <w:szCs w:val="24"/>
              </w:rPr>
              <w:t xml:space="preserve"> cu privire la </w:t>
            </w:r>
            <w:r w:rsidR="00AF4F78">
              <w:rPr>
                <w:sz w:val="24"/>
                <w:szCs w:val="24"/>
              </w:rPr>
              <w:t xml:space="preserve"> </w:t>
            </w:r>
            <w:r w:rsidR="00F619F0">
              <w:rPr>
                <w:sz w:val="24"/>
                <w:szCs w:val="24"/>
              </w:rPr>
              <w:t xml:space="preserve">proiectele de legi iniţiate de diverse ţări europene, care vizează limitarea plăţilor în numerar. Cu titlu de exemplu, </w:t>
            </w:r>
            <w:r w:rsidR="00AF4F78">
              <w:rPr>
                <w:sz w:val="24"/>
                <w:szCs w:val="24"/>
              </w:rPr>
              <w:t xml:space="preserve"> Finlanda </w:t>
            </w:r>
            <w:r w:rsidR="00F619F0">
              <w:rPr>
                <w:sz w:val="24"/>
                <w:szCs w:val="24"/>
              </w:rPr>
              <w:t xml:space="preserve">a iniţiat un proiect de lege care prevede că salariile ar trebui, ca regulă generală, să fie plătite într-un cont bancar desemnat de către angajat. Scopul este de a reduce utilizarea de </w:t>
            </w:r>
            <w:r w:rsidR="00F619F0">
              <w:rPr>
                <w:sz w:val="24"/>
                <w:szCs w:val="24"/>
              </w:rPr>
              <w:lastRenderedPageBreak/>
              <w:t>numerar şi, prin urmare, să facă mai dificil pentru angajatori efectuarea de plăţi de salarii fără documente justificative</w:t>
            </w:r>
            <w:r w:rsidR="00E66A5F">
              <w:rPr>
                <w:sz w:val="24"/>
                <w:szCs w:val="24"/>
              </w:rPr>
              <w:t>.</w:t>
            </w:r>
          </w:p>
          <w:p w:rsidR="00097244" w:rsidRDefault="00E66A5F" w:rsidP="00097244">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r>
              <w:rPr>
                <w:sz w:val="24"/>
                <w:szCs w:val="24"/>
              </w:rPr>
              <w:t xml:space="preserve"> De asemenea, Belgia a iniţiat un proiect de lege conţinând măsuri </w:t>
            </w:r>
            <w:r w:rsidR="000A6769">
              <w:rPr>
                <w:sz w:val="24"/>
                <w:szCs w:val="24"/>
              </w:rPr>
              <w:t>u</w:t>
            </w:r>
            <w:r>
              <w:rPr>
                <w:sz w:val="24"/>
                <w:szCs w:val="24"/>
              </w:rPr>
              <w:t xml:space="preserve">rgente de luptă împotriva fraudei, </w:t>
            </w:r>
            <w:r w:rsidR="000A6769">
              <w:rPr>
                <w:sz w:val="24"/>
                <w:szCs w:val="24"/>
              </w:rPr>
              <w:t xml:space="preserve">care include, printre altele,  prevederi privind limitarea plăţilor în numerar de la 5.000 de euro la 3.000 de euro începând cu anul 2014, </w:t>
            </w:r>
            <w:r w:rsidR="00F7144C">
              <w:rPr>
                <w:sz w:val="24"/>
                <w:szCs w:val="24"/>
              </w:rPr>
              <w:t xml:space="preserve">precum şi amenzi </w:t>
            </w:r>
            <w:r w:rsidR="00B93A88">
              <w:rPr>
                <w:sz w:val="24"/>
                <w:szCs w:val="24"/>
              </w:rPr>
              <w:t xml:space="preserve">pentru încălcarea limitărilor cuprinse </w:t>
            </w:r>
            <w:r w:rsidR="00F7144C">
              <w:rPr>
                <w:sz w:val="24"/>
                <w:szCs w:val="24"/>
              </w:rPr>
              <w:t>între 250 euro şi 225.000 euro</w:t>
            </w:r>
            <w:r w:rsidR="00B93A88">
              <w:rPr>
                <w:sz w:val="24"/>
                <w:szCs w:val="24"/>
              </w:rPr>
              <w:t>, dar nu mai mult de 10%  din preţul plătit pe nedrept în numerar.</w:t>
            </w:r>
          </w:p>
          <w:p w:rsidR="00610C64" w:rsidRDefault="00610C64" w:rsidP="00097244">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r>
              <w:rPr>
                <w:sz w:val="24"/>
                <w:szCs w:val="24"/>
              </w:rPr>
              <w:t>În anul 2012, Danemarca a iniţiat, la rândul său, un proiect de lege prin care se pun în aplicare o serie de măsuri care vizează combaterea evaziunii fiscale, una din acestea fiind înăsprirea normelor privind plăţile în numerar</w:t>
            </w:r>
            <w:r w:rsidR="009F38CD">
              <w:rPr>
                <w:sz w:val="24"/>
                <w:szCs w:val="24"/>
              </w:rPr>
              <w:t>. Astfel, în cazul efectuării de plăţi peste plafonul stabilit cumpărătorul răspunde solidar cu vânzătorul pentru orice impozit sau taxă neplătite de către acesta din urmă</w:t>
            </w:r>
          </w:p>
          <w:p w:rsidR="00CC08DD" w:rsidRPr="00546A5A" w:rsidRDefault="00CC08DD" w:rsidP="00097244">
            <w:pPr>
              <w:tabs>
                <w:tab w:val="left" w:pos="1440"/>
                <w:tab w:val="left" w:pos="2160"/>
                <w:tab w:val="left" w:pos="2880"/>
                <w:tab w:val="left" w:pos="3600"/>
                <w:tab w:val="left" w:pos="4320"/>
                <w:tab w:val="left" w:pos="5040"/>
                <w:tab w:val="left" w:pos="5760"/>
                <w:tab w:val="left" w:pos="7890"/>
              </w:tabs>
              <w:ind w:left="251" w:firstLine="180"/>
              <w:jc w:val="both"/>
              <w:rPr>
                <w:sz w:val="24"/>
                <w:szCs w:val="24"/>
              </w:rPr>
            </w:pPr>
          </w:p>
          <w:p w:rsidR="00DE3DAC" w:rsidRPr="009E319B" w:rsidRDefault="00097244" w:rsidP="009F0419">
            <w:pPr>
              <w:autoSpaceDE w:val="0"/>
              <w:autoSpaceDN w:val="0"/>
              <w:adjustRightInd w:val="0"/>
              <w:ind w:firstLine="540"/>
              <w:jc w:val="both"/>
              <w:rPr>
                <w:rFonts w:ascii="Times New (W1)" w:hAnsi="Times New (W1)" w:cs="Arial"/>
                <w:b/>
                <w:sz w:val="24"/>
                <w:szCs w:val="24"/>
              </w:rPr>
            </w:pPr>
            <w:r>
              <w:rPr>
                <w:sz w:val="24"/>
                <w:szCs w:val="24"/>
              </w:rPr>
              <w:t xml:space="preserve"> </w:t>
            </w:r>
            <w:r w:rsidR="00DE3DAC" w:rsidRPr="009E319B">
              <w:rPr>
                <w:rFonts w:ascii="Times New (W1)" w:hAnsi="Times New (W1)" w:cs="Arial"/>
                <w:b/>
                <w:sz w:val="24"/>
                <w:szCs w:val="24"/>
              </w:rPr>
              <w:t>Ordonanţa de urgenţă a Guvernului nr.193/2002</w:t>
            </w:r>
            <w:r w:rsidR="00DE3DAC" w:rsidRPr="009E319B">
              <w:rPr>
                <w:rFonts w:ascii="Times New (W1)" w:hAnsi="Times New (W1)" w:cs="Arial"/>
                <w:b/>
              </w:rPr>
              <w:t xml:space="preserve"> </w:t>
            </w:r>
            <w:r w:rsidR="00DE3DAC" w:rsidRPr="009E319B">
              <w:rPr>
                <w:rFonts w:ascii="Times New (W1)" w:hAnsi="Times New (W1)" w:cs="Arial"/>
                <w:b/>
                <w:sz w:val="24"/>
                <w:szCs w:val="24"/>
              </w:rPr>
              <w:t>privind introducerea sistemelor moderne de plată</w:t>
            </w:r>
          </w:p>
          <w:p w:rsidR="00DE3DAC" w:rsidRPr="009E319B" w:rsidRDefault="00DE3DAC" w:rsidP="00786335">
            <w:pPr>
              <w:ind w:firstLine="251"/>
              <w:jc w:val="both"/>
              <w:rPr>
                <w:sz w:val="24"/>
                <w:szCs w:val="24"/>
              </w:rPr>
            </w:pPr>
            <w:r w:rsidRPr="009E319B">
              <w:rPr>
                <w:sz w:val="24"/>
                <w:szCs w:val="24"/>
              </w:rPr>
              <w:t xml:space="preserve">Comisioanele interbancare sunt plăţile realizate între băncile acceptante şi băncile emitente pentru tranzacţiile care presupun utilizarea cardurilor de plată. În cazul tranzacţiilor la POS, comisionul interbancar este plătit de banca acceptantă (care deţine POS-ul aflat la comerciant) către banca emitentă a cardului.  </w:t>
            </w:r>
          </w:p>
          <w:p w:rsidR="00DE3DAC" w:rsidRPr="009E319B" w:rsidRDefault="00DE3DAC" w:rsidP="00786335">
            <w:pPr>
              <w:jc w:val="both"/>
              <w:rPr>
                <w:sz w:val="24"/>
                <w:szCs w:val="24"/>
                <w:lang w:eastAsia="sv-SE"/>
              </w:rPr>
            </w:pPr>
            <w:r w:rsidRPr="009E319B">
              <w:rPr>
                <w:sz w:val="24"/>
                <w:szCs w:val="24"/>
              </w:rPr>
              <w:t xml:space="preserve">Pentru fiecare tranzacție comerciantul plăteşte băncii sale (banca acceptantă) o taxă numită taxă de serviciu, formată din comisionul interbancar, precum şi alte costuri aferente serviciilor oferite de către bancă. </w:t>
            </w:r>
          </w:p>
          <w:p w:rsidR="00DE3DAC" w:rsidRPr="009E319B" w:rsidRDefault="00DE3DAC" w:rsidP="00786335">
            <w:pPr>
              <w:ind w:firstLine="251"/>
              <w:jc w:val="both"/>
              <w:rPr>
                <w:sz w:val="24"/>
                <w:szCs w:val="24"/>
                <w:lang w:eastAsia="sv-SE"/>
              </w:rPr>
            </w:pPr>
            <w:r w:rsidRPr="009E319B">
              <w:rPr>
                <w:sz w:val="24"/>
                <w:szCs w:val="24"/>
              </w:rPr>
              <w:t>Comisioanele interbancare acționează ca un preţ minim, determinând într-o mare măsură (70-80%) prețul plătit de comercianți pentru acceptarea cardului</w:t>
            </w:r>
            <w:r w:rsidRPr="009E319B">
              <w:rPr>
                <w:rFonts w:ascii="Arial" w:hAnsi="Arial" w:cs="Arial"/>
                <w:sz w:val="24"/>
                <w:szCs w:val="24"/>
              </w:rPr>
              <w:t xml:space="preserve"> </w:t>
            </w:r>
            <w:r w:rsidRPr="009E319B">
              <w:rPr>
                <w:sz w:val="24"/>
                <w:szCs w:val="24"/>
              </w:rPr>
              <w:t xml:space="preserve">care, la rândul lor, îl transferă către consumatori. </w:t>
            </w:r>
          </w:p>
          <w:p w:rsidR="00DE3DAC" w:rsidRPr="009E319B" w:rsidRDefault="006945BB" w:rsidP="00786335">
            <w:pPr>
              <w:ind w:firstLine="251"/>
              <w:jc w:val="both"/>
              <w:rPr>
                <w:bCs/>
                <w:noProof/>
                <w:sz w:val="24"/>
                <w:szCs w:val="24"/>
              </w:rPr>
            </w:pPr>
            <w:r w:rsidRPr="009E319B">
              <w:rPr>
                <w:bCs/>
                <w:noProof/>
                <w:sz w:val="24"/>
                <w:szCs w:val="24"/>
              </w:rPr>
              <w:t xml:space="preserve">În </w:t>
            </w:r>
            <w:r w:rsidR="00DE3DAC" w:rsidRPr="009E319B">
              <w:rPr>
                <w:bCs/>
                <w:noProof/>
                <w:sz w:val="24"/>
                <w:szCs w:val="24"/>
              </w:rPr>
              <w:t>România</w:t>
            </w:r>
            <w:r w:rsidR="008F731E" w:rsidRPr="009E319B">
              <w:rPr>
                <w:sz w:val="24"/>
                <w:szCs w:val="24"/>
                <w:lang w:eastAsia="en-GB"/>
              </w:rPr>
              <w:t xml:space="preserve"> </w:t>
            </w:r>
            <w:r w:rsidR="00DE3DAC" w:rsidRPr="009E319B">
              <w:rPr>
                <w:bCs/>
                <w:noProof/>
                <w:sz w:val="24"/>
                <w:szCs w:val="24"/>
              </w:rPr>
              <w:t>nivelul comisioanelor interbancare a rămas neschimbat o perioadă îndelungată de timp în pofida modificărilor condiţiilor de piaţă</w:t>
            </w:r>
            <w:r w:rsidR="008F731E" w:rsidRPr="009E319B">
              <w:t>.</w:t>
            </w:r>
            <w:r w:rsidR="008F731E" w:rsidRPr="009E319B">
              <w:rPr>
                <w:sz w:val="24"/>
                <w:szCs w:val="24"/>
                <w:lang w:eastAsia="en-GB"/>
              </w:rPr>
              <w:t xml:space="preserve"> </w:t>
            </w:r>
            <w:r w:rsidR="00DE3DAC" w:rsidRPr="009E319B">
              <w:rPr>
                <w:bCs/>
                <w:noProof/>
                <w:sz w:val="24"/>
                <w:szCs w:val="24"/>
              </w:rPr>
              <w:t xml:space="preserve">Aceste niveluri ale comisioanelor interbancare au fost comune ambelor sisteme de carduri, Visa şi Mastercard, precum şi ambelor tipuri de carduri, deşi cardurile de credit sunt mai scumpe decât cele de debit. </w:t>
            </w:r>
          </w:p>
          <w:p w:rsidR="006945BB" w:rsidRPr="009E319B" w:rsidRDefault="006945BB" w:rsidP="00786335">
            <w:pPr>
              <w:ind w:firstLine="251"/>
              <w:jc w:val="both"/>
              <w:rPr>
                <w:sz w:val="24"/>
                <w:szCs w:val="24"/>
                <w:lang w:eastAsia="en-GB"/>
              </w:rPr>
            </w:pPr>
            <w:r w:rsidRPr="009E319B">
              <w:rPr>
                <w:sz w:val="24"/>
                <w:szCs w:val="24"/>
                <w:lang w:eastAsia="en-GB"/>
              </w:rPr>
              <w:t>În cazul Rom</w:t>
            </w:r>
            <w:r w:rsidR="00301F0F" w:rsidRPr="009E319B">
              <w:rPr>
                <w:sz w:val="24"/>
                <w:szCs w:val="24"/>
                <w:lang w:eastAsia="en-GB"/>
              </w:rPr>
              <w:t>â</w:t>
            </w:r>
            <w:r w:rsidRPr="009E319B">
              <w:rPr>
                <w:sz w:val="24"/>
                <w:szCs w:val="24"/>
                <w:lang w:eastAsia="en-GB"/>
              </w:rPr>
              <w:t xml:space="preserve">niei, </w:t>
            </w:r>
            <w:r w:rsidR="00301F0F" w:rsidRPr="009E319B">
              <w:rPr>
                <w:sz w:val="24"/>
                <w:szCs w:val="24"/>
                <w:lang w:eastAsia="en-GB"/>
              </w:rPr>
              <w:t>î</w:t>
            </w:r>
            <w:r w:rsidRPr="009E319B">
              <w:rPr>
                <w:sz w:val="24"/>
                <w:szCs w:val="24"/>
                <w:lang w:eastAsia="en-GB"/>
              </w:rPr>
              <w:t xml:space="preserve">n concordanţă cu regulile celor două sisteme de carduri, nivelul comisionului interbancar aplicabil pe piaţa naţională a plăţilor cu carduri este rezultatul unui acord multilateral </w:t>
            </w:r>
            <w:r w:rsidR="00301F0F" w:rsidRPr="009E319B">
              <w:rPr>
                <w:sz w:val="24"/>
                <w:szCs w:val="24"/>
                <w:lang w:eastAsia="en-GB"/>
              </w:rPr>
              <w:t>î</w:t>
            </w:r>
            <w:r w:rsidRPr="009E319B">
              <w:rPr>
                <w:sz w:val="24"/>
                <w:szCs w:val="24"/>
                <w:lang w:eastAsia="en-GB"/>
              </w:rPr>
              <w:t xml:space="preserve">ntre băncile care deţineau circa 98% din piaţa internă a cardurilor, şi prezintă următoarele valori: 0,5% + 2,50 lei (0,58 euro) pentru tranzacţiile ATM, </w:t>
            </w:r>
            <w:r w:rsidR="00301F0F" w:rsidRPr="009E319B">
              <w:rPr>
                <w:sz w:val="24"/>
                <w:szCs w:val="24"/>
                <w:lang w:eastAsia="en-GB"/>
              </w:rPr>
              <w:t>î</w:t>
            </w:r>
            <w:r w:rsidRPr="009E319B">
              <w:rPr>
                <w:sz w:val="24"/>
                <w:szCs w:val="24"/>
                <w:lang w:eastAsia="en-GB"/>
              </w:rPr>
              <w:t xml:space="preserve">n care comisionul este plătit de banca emitentă băncii achizitoare (proprietara ATM-ului), şi 1,00 % (standard), 1,50 % (e-commerce) şi 0,7% (petrol) pentru tranzacţiile POS, </w:t>
            </w:r>
            <w:r w:rsidR="00DD2B2E">
              <w:rPr>
                <w:sz w:val="24"/>
                <w:szCs w:val="24"/>
                <w:lang w:eastAsia="en-GB"/>
              </w:rPr>
              <w:t>î</w:t>
            </w:r>
            <w:r w:rsidRPr="009E319B">
              <w:rPr>
                <w:sz w:val="24"/>
                <w:szCs w:val="24"/>
                <w:lang w:eastAsia="en-GB"/>
              </w:rPr>
              <w:t xml:space="preserve">n care comisionul este plătit de banca </w:t>
            </w:r>
            <w:r w:rsidR="009B031F">
              <w:rPr>
                <w:sz w:val="24"/>
                <w:szCs w:val="24"/>
                <w:lang w:eastAsia="en-GB"/>
              </w:rPr>
              <w:t>acceptantă</w:t>
            </w:r>
            <w:r w:rsidR="009B031F" w:rsidRPr="009E319B">
              <w:rPr>
                <w:sz w:val="24"/>
                <w:szCs w:val="24"/>
                <w:lang w:eastAsia="en-GB"/>
              </w:rPr>
              <w:t xml:space="preserve"> </w:t>
            </w:r>
            <w:r w:rsidRPr="009E319B">
              <w:rPr>
                <w:sz w:val="24"/>
                <w:szCs w:val="24"/>
                <w:lang w:eastAsia="en-GB"/>
              </w:rPr>
              <w:t>băncii emitente).</w:t>
            </w:r>
          </w:p>
          <w:p w:rsidR="006945BB" w:rsidRPr="009E319B" w:rsidRDefault="006945BB" w:rsidP="00786335">
            <w:pPr>
              <w:ind w:firstLine="251"/>
              <w:jc w:val="both"/>
              <w:rPr>
                <w:sz w:val="24"/>
                <w:szCs w:val="24"/>
                <w:lang w:eastAsia="en-GB"/>
              </w:rPr>
            </w:pPr>
            <w:r w:rsidRPr="009E319B">
              <w:rPr>
                <w:sz w:val="24"/>
                <w:szCs w:val="24"/>
                <w:lang w:eastAsia="en-GB"/>
              </w:rPr>
              <w:t>Nivelul comisioanelor interbancare a rămas neschimbat o perioadă îndelungată de timp (1996-31.12.2011) în pofida modificărilor condiţiilor de piaţă. Aceste niveluri ale comisioanelor de interbancare sunt comune ambelor sistemele de carduri, Visa şi MasterCard, precum şi ambelor tipuri de carduri, deşi cardurile de credit sunt mai scumpe decât cele de debit.</w:t>
            </w:r>
          </w:p>
          <w:p w:rsidR="006945BB" w:rsidRPr="009E319B" w:rsidRDefault="006945BB" w:rsidP="00786335">
            <w:pPr>
              <w:spacing w:line="276" w:lineRule="auto"/>
              <w:ind w:firstLine="251"/>
              <w:jc w:val="both"/>
              <w:rPr>
                <w:sz w:val="24"/>
                <w:szCs w:val="24"/>
                <w:lang w:eastAsia="en-GB"/>
              </w:rPr>
            </w:pPr>
            <w:r w:rsidRPr="009E319B">
              <w:rPr>
                <w:sz w:val="24"/>
                <w:szCs w:val="24"/>
                <w:lang w:eastAsia="en-GB"/>
              </w:rPr>
              <w:t>Practica băncilor de stabilire, în mod uniform, a nivelului comisioanelor interbancare pentru ambele sisteme de carduri (Visa şi MasterCard), poate conduce la o posibilă restrângere a concurenţei atât între cele două sisteme de carduri cât şi între băncile a</w:t>
            </w:r>
            <w:r w:rsidR="009B031F">
              <w:rPr>
                <w:sz w:val="24"/>
                <w:szCs w:val="24"/>
                <w:lang w:eastAsia="en-GB"/>
              </w:rPr>
              <w:t>cceptante</w:t>
            </w:r>
            <w:r w:rsidRPr="009E319B">
              <w:rPr>
                <w:sz w:val="24"/>
                <w:szCs w:val="24"/>
                <w:lang w:eastAsia="en-GB"/>
              </w:rPr>
              <w:t xml:space="preserve">, comisionul interbancar fiind o componentă importantă a comsioanelor </w:t>
            </w:r>
            <w:r w:rsidRPr="009E319B">
              <w:rPr>
                <w:sz w:val="24"/>
                <w:szCs w:val="24"/>
                <w:lang w:eastAsia="en-GB"/>
              </w:rPr>
              <w:lastRenderedPageBreak/>
              <w:t xml:space="preserve">de servicii la comercianţi. Această concluzie are </w:t>
            </w:r>
            <w:r w:rsidR="00301F0F" w:rsidRPr="009E319B">
              <w:rPr>
                <w:sz w:val="24"/>
                <w:szCs w:val="24"/>
                <w:lang w:eastAsia="en-GB"/>
              </w:rPr>
              <w:t>î</w:t>
            </w:r>
            <w:r w:rsidRPr="009E319B">
              <w:rPr>
                <w:sz w:val="24"/>
                <w:szCs w:val="24"/>
                <w:lang w:eastAsia="en-GB"/>
              </w:rPr>
              <w:t xml:space="preserve">n vedere şi faptul că, </w:t>
            </w:r>
            <w:r w:rsidR="00301F0F" w:rsidRPr="009E319B">
              <w:rPr>
                <w:sz w:val="24"/>
                <w:szCs w:val="24"/>
                <w:lang w:eastAsia="en-GB"/>
              </w:rPr>
              <w:t>î</w:t>
            </w:r>
            <w:r w:rsidRPr="009E319B">
              <w:rPr>
                <w:sz w:val="24"/>
                <w:szCs w:val="24"/>
                <w:lang w:eastAsia="en-GB"/>
              </w:rPr>
              <w:t>ncep</w:t>
            </w:r>
            <w:r w:rsidR="00301F0F" w:rsidRPr="009E319B">
              <w:rPr>
                <w:sz w:val="24"/>
                <w:szCs w:val="24"/>
                <w:lang w:eastAsia="en-GB"/>
              </w:rPr>
              <w:t>â</w:t>
            </w:r>
            <w:r w:rsidRPr="009E319B">
              <w:rPr>
                <w:sz w:val="24"/>
                <w:szCs w:val="24"/>
                <w:lang w:eastAsia="en-GB"/>
              </w:rPr>
              <w:t xml:space="preserve">nd cu anul 2012, după ce MasterCard a majorat nivelul comisioanelor interbancare aplicabil tranzacţiilor naţionale, băncile au transferat această majorare </w:t>
            </w:r>
            <w:r w:rsidR="00DD2B2E">
              <w:rPr>
                <w:sz w:val="24"/>
                <w:szCs w:val="24"/>
                <w:lang w:eastAsia="en-GB"/>
              </w:rPr>
              <w:t>î</w:t>
            </w:r>
            <w:r w:rsidRPr="009E319B">
              <w:rPr>
                <w:sz w:val="24"/>
                <w:szCs w:val="24"/>
                <w:lang w:eastAsia="en-GB"/>
              </w:rPr>
              <w:t>n comisioanele percepute comercianţilor.</w:t>
            </w:r>
          </w:p>
          <w:p w:rsidR="006945BB" w:rsidRPr="009E319B" w:rsidRDefault="006945BB" w:rsidP="00786335">
            <w:pPr>
              <w:spacing w:line="276" w:lineRule="auto"/>
              <w:ind w:firstLine="251"/>
              <w:jc w:val="both"/>
              <w:rPr>
                <w:sz w:val="24"/>
                <w:szCs w:val="24"/>
                <w:lang w:eastAsia="en-GB"/>
              </w:rPr>
            </w:pPr>
            <w:r w:rsidRPr="009E319B">
              <w:rPr>
                <w:sz w:val="24"/>
                <w:szCs w:val="24"/>
                <w:lang w:eastAsia="en-GB"/>
              </w:rPr>
              <w:t>Prin urmare, stabilirea comisioanelor interbancare constituie un acord între întreprinderi sau o decizie a unei asociaţii de întreprinderi, care are ca obiect o posibilă restr</w:t>
            </w:r>
            <w:r w:rsidR="00301F0F" w:rsidRPr="009E319B">
              <w:rPr>
                <w:sz w:val="24"/>
                <w:szCs w:val="24"/>
                <w:lang w:eastAsia="en-GB"/>
              </w:rPr>
              <w:t>â</w:t>
            </w:r>
            <w:r w:rsidRPr="009E319B">
              <w:rPr>
                <w:sz w:val="24"/>
                <w:szCs w:val="24"/>
                <w:lang w:eastAsia="en-GB"/>
              </w:rPr>
              <w:t>ngere a concurenţei, at</w:t>
            </w:r>
            <w:r w:rsidR="00301F0F" w:rsidRPr="009E319B">
              <w:rPr>
                <w:sz w:val="24"/>
                <w:szCs w:val="24"/>
                <w:lang w:eastAsia="en-GB"/>
              </w:rPr>
              <w:t>â</w:t>
            </w:r>
            <w:r w:rsidRPr="009E319B">
              <w:rPr>
                <w:sz w:val="24"/>
                <w:szCs w:val="24"/>
                <w:lang w:eastAsia="en-GB"/>
              </w:rPr>
              <w:t>t pe piaţa emiterii c</w:t>
            </w:r>
            <w:r w:rsidR="00301F0F" w:rsidRPr="009E319B">
              <w:rPr>
                <w:sz w:val="24"/>
                <w:szCs w:val="24"/>
                <w:lang w:eastAsia="en-GB"/>
              </w:rPr>
              <w:t>â</w:t>
            </w:r>
            <w:r w:rsidRPr="009E319B">
              <w:rPr>
                <w:sz w:val="24"/>
                <w:szCs w:val="24"/>
                <w:lang w:eastAsia="en-GB"/>
              </w:rPr>
              <w:t>t şi pe cea a ac</w:t>
            </w:r>
            <w:r w:rsidR="009B031F">
              <w:rPr>
                <w:sz w:val="24"/>
                <w:szCs w:val="24"/>
                <w:lang w:eastAsia="en-GB"/>
              </w:rPr>
              <w:t>ceptării</w:t>
            </w:r>
            <w:r w:rsidRPr="009E319B">
              <w:rPr>
                <w:sz w:val="24"/>
                <w:szCs w:val="24"/>
                <w:lang w:eastAsia="en-GB"/>
              </w:rPr>
              <w:t xml:space="preserve"> cardurilor de plată, în principal prin tratamentul comun al băncilor în ceea ce priveşte cele două sisteme de carduri. De altfel, regulile celor două sisteme de carduri au permis băncilor stabilirea unor comisioane interbancare uniforme.</w:t>
            </w:r>
          </w:p>
          <w:p w:rsidR="00DE3DAC" w:rsidRPr="009E319B" w:rsidRDefault="00DE3DAC" w:rsidP="00786335">
            <w:pPr>
              <w:ind w:firstLine="251"/>
              <w:jc w:val="both"/>
              <w:rPr>
                <w:bCs/>
                <w:noProof/>
                <w:sz w:val="24"/>
                <w:szCs w:val="24"/>
              </w:rPr>
            </w:pPr>
            <w:r w:rsidRPr="009E319B">
              <w:rPr>
                <w:bCs/>
                <w:noProof/>
                <w:sz w:val="24"/>
                <w:szCs w:val="24"/>
              </w:rPr>
              <w:t xml:space="preserve">Începând cu anul 2012, nivelul comisionului interbancar aplicabil tranzacţiilor naţionale efectuate cu carduri emise sub sigla MasterCard, este stabilit de către MasterCard şi aplicat de băncile membre. În ceea ce priveşte comisionul interbancar în sistemul Visa, aplicabil în România, acesta este stabilit la nivel naţional de către băncile membre Visa. </w:t>
            </w:r>
          </w:p>
          <w:p w:rsidR="00DE3DAC" w:rsidRPr="009E319B" w:rsidRDefault="00DE3DAC" w:rsidP="00786335">
            <w:pPr>
              <w:ind w:firstLine="251"/>
              <w:jc w:val="both"/>
              <w:rPr>
                <w:bCs/>
                <w:noProof/>
                <w:sz w:val="24"/>
                <w:szCs w:val="24"/>
              </w:rPr>
            </w:pPr>
            <w:r w:rsidRPr="009E319B">
              <w:rPr>
                <w:bCs/>
                <w:noProof/>
                <w:sz w:val="24"/>
                <w:szCs w:val="24"/>
              </w:rPr>
              <w:t>In România comisioanele interbancare stabilite în sistemele Visa şi MasterCard sunt printre cele mai mari din Europa.</w:t>
            </w:r>
          </w:p>
          <w:p w:rsidR="00DE3DAC" w:rsidRPr="009E319B" w:rsidRDefault="00786335" w:rsidP="00786335">
            <w:pPr>
              <w:autoSpaceDE w:val="0"/>
              <w:autoSpaceDN w:val="0"/>
              <w:adjustRightInd w:val="0"/>
              <w:jc w:val="both"/>
              <w:rPr>
                <w:bCs/>
                <w:noProof/>
                <w:sz w:val="24"/>
                <w:szCs w:val="24"/>
              </w:rPr>
            </w:pPr>
            <w:r>
              <w:rPr>
                <w:bCs/>
                <w:noProof/>
                <w:sz w:val="24"/>
                <w:szCs w:val="24"/>
              </w:rPr>
              <w:t xml:space="preserve">    </w:t>
            </w:r>
            <w:r w:rsidR="00DE3DAC" w:rsidRPr="009E319B">
              <w:rPr>
                <w:bCs/>
                <w:noProof/>
                <w:sz w:val="24"/>
                <w:szCs w:val="24"/>
              </w:rPr>
              <w:t xml:space="preserve">În prezent există diferenţe între comisioanele interbancare practicate de Visa şi MasterCard. Ca o consecinţă, în această situaţie, băncile emitente ar putea prefera să îşi transfere clienţii de la Visa la MasterCard în vederea obţinerii unor comisioane mai mari de la băncile </w:t>
            </w:r>
            <w:r w:rsidR="00DE3DAC" w:rsidRPr="009E319B">
              <w:rPr>
                <w:sz w:val="24"/>
                <w:szCs w:val="24"/>
              </w:rPr>
              <w:t>acceptante</w:t>
            </w:r>
            <w:r w:rsidR="00DE3DAC" w:rsidRPr="009E319B">
              <w:rPr>
                <w:bCs/>
                <w:noProof/>
                <w:sz w:val="24"/>
                <w:szCs w:val="24"/>
              </w:rPr>
              <w:t xml:space="preserve">. </w:t>
            </w:r>
          </w:p>
          <w:p w:rsidR="00DE3DAC" w:rsidRPr="009E319B" w:rsidRDefault="00DE3DAC" w:rsidP="00786335">
            <w:pPr>
              <w:tabs>
                <w:tab w:val="left" w:pos="426"/>
              </w:tabs>
              <w:ind w:left="22" w:firstLine="229"/>
              <w:jc w:val="both"/>
              <w:rPr>
                <w:bCs/>
                <w:noProof/>
                <w:sz w:val="24"/>
                <w:szCs w:val="24"/>
              </w:rPr>
            </w:pPr>
            <w:r w:rsidRPr="009E319B">
              <w:rPr>
                <w:bCs/>
                <w:noProof/>
                <w:sz w:val="24"/>
                <w:szCs w:val="24"/>
              </w:rPr>
              <w:t>Această situaţie a apărut în cazul Ungariei. În anul 2009, MasterCard şi-a luat angajamentul în faţa Comisiei Europene să îşi reducă comisionul interbancar la cardurile de debit de consum la 0,2% pentru tranzacţiile transfrontaliere. Totuşi, MasterCard nu şi-a luat acest angajament şi pentru Ungaria, fapt ce a făcut ca aceste comisioane aplicabile cardurilor de debit să fie mult mai mari de 0,2% (aproximativ 0,6%). Ca urmare, cele mai mari bănci au transferat clienţii lor de la Visa (care prin angajamente îşi asumase plafonarea comisioanelor interbancare la 0,2% pentru cardurile de debit) la MasterCard, iar Visa a pierdut aproape toată cota de piaţă şi chiar ia în considerare ieşirea de pe piaţa din Ungaria.</w:t>
            </w:r>
          </w:p>
          <w:p w:rsidR="00DE3DAC" w:rsidRPr="009E319B" w:rsidRDefault="00DE3DAC" w:rsidP="00786335">
            <w:pPr>
              <w:autoSpaceDE w:val="0"/>
              <w:autoSpaceDN w:val="0"/>
              <w:adjustRightInd w:val="0"/>
              <w:ind w:firstLine="229"/>
              <w:jc w:val="both"/>
              <w:rPr>
                <w:bCs/>
                <w:noProof/>
                <w:sz w:val="24"/>
                <w:szCs w:val="24"/>
              </w:rPr>
            </w:pPr>
            <w:r w:rsidRPr="009E319B">
              <w:rPr>
                <w:bCs/>
                <w:noProof/>
                <w:sz w:val="24"/>
                <w:szCs w:val="24"/>
              </w:rPr>
              <w:t>Acest caz este o ilustrare perfectă de stimulente greşite oferite de către sistemul comisioanelor interbancare, adică băncile promovează cel mai scump card de credit şi de debit, şi sugerează că problemele de concurenţă pe piaţa de plăţi cu cardul pot fi abordate numai prin legislaţie, care va acoperi toţi actorii şi aspectele relevante pentru a nu denatura concurenţa şi pentru a crea condiţii de concurenţă echitabile.</w:t>
            </w:r>
          </w:p>
          <w:p w:rsidR="00DE3DAC" w:rsidRPr="00C20D09" w:rsidRDefault="00DE3DAC" w:rsidP="00786335">
            <w:pPr>
              <w:ind w:firstLine="229"/>
              <w:contextualSpacing/>
              <w:jc w:val="both"/>
              <w:rPr>
                <w:sz w:val="24"/>
                <w:szCs w:val="24"/>
                <w:lang w:val="it-IT"/>
              </w:rPr>
            </w:pPr>
            <w:r w:rsidRPr="00C20D09">
              <w:rPr>
                <w:sz w:val="24"/>
                <w:szCs w:val="24"/>
                <w:lang w:val="it-IT"/>
              </w:rPr>
              <w:t xml:space="preserve">În Polonia, nivelul ridicat al comisionului interbancar a impus adoptarea unei reglementări </w:t>
            </w:r>
            <w:r w:rsidRPr="009E319B">
              <w:rPr>
                <w:sz w:val="24"/>
                <w:szCs w:val="24"/>
              </w:rPr>
              <w:t xml:space="preserve">care prevede un nivel maxim al comisionului de 0,5% pentru toate tipurile de carduri. Reglementarea va intra în vigoare la 1 ianuarie 2014, şi se va aplica după o perioadă de tranziţie de 6 luni. </w:t>
            </w:r>
          </w:p>
          <w:p w:rsidR="00DE3DAC" w:rsidRPr="00C20D09" w:rsidRDefault="00DE3DAC" w:rsidP="00786335">
            <w:pPr>
              <w:ind w:firstLine="229"/>
              <w:contextualSpacing/>
              <w:jc w:val="both"/>
              <w:rPr>
                <w:sz w:val="24"/>
                <w:szCs w:val="24"/>
                <w:lang w:val="it-IT"/>
              </w:rPr>
            </w:pPr>
            <w:r w:rsidRPr="00C20D09">
              <w:rPr>
                <w:sz w:val="24"/>
                <w:szCs w:val="24"/>
                <w:lang w:val="it-IT"/>
              </w:rPr>
              <w:t>În Ungaria</w:t>
            </w:r>
            <w:r w:rsidRPr="009E319B">
              <w:rPr>
                <w:sz w:val="24"/>
                <w:szCs w:val="24"/>
              </w:rPr>
              <w:t xml:space="preserve"> a fost adoptată legea care prevede plafonarea comisioanelor interbancare la 0,2% pentru cardurile de debit şi 0,3% pentru cardurile de credit. </w:t>
            </w:r>
          </w:p>
          <w:p w:rsidR="00AF7B13" w:rsidRPr="00AF7B13" w:rsidRDefault="00DE3DAC" w:rsidP="00AF7B13">
            <w:pPr>
              <w:autoSpaceDE w:val="0"/>
              <w:autoSpaceDN w:val="0"/>
              <w:adjustRightInd w:val="0"/>
              <w:jc w:val="both"/>
              <w:rPr>
                <w:b/>
                <w:sz w:val="24"/>
                <w:szCs w:val="24"/>
                <w:lang w:eastAsia="en-US"/>
              </w:rPr>
            </w:pPr>
            <w:r w:rsidRPr="00C20D09">
              <w:rPr>
                <w:bCs/>
                <w:sz w:val="24"/>
                <w:szCs w:val="24"/>
                <w:lang w:val="it-IT"/>
              </w:rPr>
              <w:t>Comisia Europeană</w:t>
            </w:r>
            <w:r w:rsidRPr="009E319B">
              <w:rPr>
                <w:sz w:val="24"/>
                <w:szCs w:val="24"/>
              </w:rPr>
              <w:t xml:space="preserve"> a elaborat Proiectul de </w:t>
            </w:r>
            <w:r w:rsidRPr="009E319B">
              <w:rPr>
                <w:i/>
                <w:sz w:val="24"/>
                <w:szCs w:val="24"/>
              </w:rPr>
              <w:t>Regulament privind comisioanele interbancare pentru operaţiunile de plată utilizând cardul</w:t>
            </w:r>
            <w:r w:rsidRPr="009E319B">
              <w:rPr>
                <w:sz w:val="24"/>
                <w:szCs w:val="24"/>
              </w:rPr>
              <w:t xml:space="preserve"> care </w:t>
            </w:r>
            <w:r w:rsidRPr="009E319B">
              <w:rPr>
                <w:bCs/>
                <w:sz w:val="24"/>
                <w:szCs w:val="24"/>
              </w:rPr>
              <w:t xml:space="preserve">prevede că, în prima fază, </w:t>
            </w:r>
            <w:r w:rsidRPr="009E319B">
              <w:rPr>
                <w:bCs/>
                <w:noProof/>
                <w:sz w:val="24"/>
                <w:szCs w:val="24"/>
              </w:rPr>
              <w:t xml:space="preserve">se vor plafona comisioanele interbancare pentru tranzacţii transfrontaliere la 0,2% din valoarea tranzacţiei, pentru cardurile de debit şi 0,3% pentru cele de credit, urmând ca </w:t>
            </w:r>
            <w:r w:rsidR="00191D04" w:rsidRPr="009E319B">
              <w:rPr>
                <w:sz w:val="24"/>
                <w:szCs w:val="24"/>
              </w:rPr>
              <w:t>î</w:t>
            </w:r>
            <w:r w:rsidRPr="009E319B">
              <w:rPr>
                <w:sz w:val="24"/>
                <w:szCs w:val="24"/>
              </w:rPr>
              <w:t xml:space="preserve">n cea de-a doua fază a reglementării (după 2 ani de la data intrării în vigoare a </w:t>
            </w:r>
            <w:r w:rsidRPr="009E319B">
              <w:rPr>
                <w:sz w:val="24"/>
                <w:szCs w:val="24"/>
              </w:rPr>
              <w:lastRenderedPageBreak/>
              <w:t>reglementării) plafonarea comisioanelor să se aplice şi operaţiunilor naţionale efectuate cu cardurile de debit, respectiv cele de credit.</w:t>
            </w:r>
          </w:p>
        </w:tc>
      </w:tr>
      <w:tr w:rsidR="00445AAE" w:rsidRPr="00BD05BD">
        <w:trPr>
          <w:trHeight w:val="445"/>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rPr>
                <w:b/>
                <w:bCs/>
                <w:sz w:val="24"/>
                <w:szCs w:val="24"/>
              </w:rPr>
            </w:pPr>
            <w:r w:rsidRPr="00BD05BD">
              <w:rPr>
                <w:b/>
                <w:bCs/>
                <w:sz w:val="24"/>
                <w:szCs w:val="24"/>
              </w:rPr>
              <w:lastRenderedPageBreak/>
              <w:t>2. Schimbări preconizate</w:t>
            </w:r>
          </w:p>
        </w:tc>
        <w:tc>
          <w:tcPr>
            <w:tcW w:w="7199" w:type="dxa"/>
            <w:gridSpan w:val="9"/>
            <w:tcBorders>
              <w:top w:val="single" w:sz="4" w:space="0" w:color="auto"/>
              <w:left w:val="nil"/>
              <w:bottom w:val="single" w:sz="4" w:space="0" w:color="auto"/>
              <w:right w:val="single" w:sz="4" w:space="0" w:color="auto"/>
            </w:tcBorders>
            <w:shd w:val="clear" w:color="auto" w:fill="auto"/>
            <w:vAlign w:val="center"/>
          </w:tcPr>
          <w:p w:rsidR="009A6022" w:rsidRDefault="009A6022" w:rsidP="009A6022">
            <w:pPr>
              <w:jc w:val="both"/>
              <w:rPr>
                <w:bCs/>
                <w:sz w:val="24"/>
                <w:szCs w:val="24"/>
              </w:rPr>
            </w:pPr>
            <w:r>
              <w:rPr>
                <w:sz w:val="24"/>
                <w:szCs w:val="24"/>
              </w:rPr>
              <w:t>Având în vedere că eforturile pentru combaterea evaziunii fiscale trebuie să fie susţinute, prezentul proiect de act normativ urmăreşte</w:t>
            </w:r>
            <w:r w:rsidRPr="00273EA6">
              <w:rPr>
                <w:rFonts w:ascii="Arial" w:hAnsi="Arial" w:cs="Arial"/>
                <w:bCs/>
                <w:lang w:eastAsia="en-US"/>
              </w:rPr>
              <w:t xml:space="preserve"> </w:t>
            </w:r>
            <w:r w:rsidRPr="00273EA6">
              <w:rPr>
                <w:rFonts w:ascii="Times New (W1)" w:hAnsi="Times New (W1)" w:cs="Arial"/>
                <w:bCs/>
                <w:sz w:val="24"/>
                <w:szCs w:val="24"/>
                <w:lang w:eastAsia="en-US"/>
              </w:rPr>
              <w:t>d</w:t>
            </w:r>
            <w:r w:rsidRPr="00273EA6">
              <w:rPr>
                <w:bCs/>
                <w:sz w:val="24"/>
                <w:szCs w:val="24"/>
              </w:rPr>
              <w:t>ezvoltarea instrumentelor de verificare a realităţii operaţiunilor economice, evidenţiate în documente de livrare/achiziţie, prin urmărirea fluxurilor băneşti</w:t>
            </w:r>
            <w:r>
              <w:rPr>
                <w:bCs/>
                <w:sz w:val="24"/>
                <w:szCs w:val="24"/>
              </w:rPr>
              <w:t>, precum şi î</w:t>
            </w:r>
            <w:r w:rsidRPr="00B076FA">
              <w:rPr>
                <w:bCs/>
                <w:sz w:val="24"/>
                <w:szCs w:val="24"/>
              </w:rPr>
              <w:t>ntărirea disciplinei financiare, ca important instrument de combatere a evaziunii fiscale şi a fraudei fiscale, prin stabilirea unei trasabilităţi a fluxurilor băneşti prin operaţiuni bancare</w:t>
            </w:r>
            <w:r>
              <w:rPr>
                <w:bCs/>
                <w:sz w:val="24"/>
                <w:szCs w:val="24"/>
              </w:rPr>
              <w:t>.</w:t>
            </w:r>
          </w:p>
          <w:p w:rsidR="009A6022" w:rsidRDefault="009A6022" w:rsidP="009A6022">
            <w:pPr>
              <w:jc w:val="both"/>
              <w:rPr>
                <w:sz w:val="24"/>
                <w:szCs w:val="24"/>
              </w:rPr>
            </w:pPr>
            <w:r>
              <w:rPr>
                <w:sz w:val="24"/>
                <w:szCs w:val="24"/>
              </w:rPr>
              <w:t xml:space="preserve"> În acest sens, se propune pe de o parte, </w:t>
            </w:r>
            <w:r w:rsidR="00634085">
              <w:rPr>
                <w:sz w:val="24"/>
                <w:szCs w:val="24"/>
              </w:rPr>
              <w:t>extinderea limitării</w:t>
            </w:r>
            <w:r>
              <w:rPr>
                <w:sz w:val="24"/>
                <w:szCs w:val="24"/>
              </w:rPr>
              <w:t xml:space="preserve"> încasăril</w:t>
            </w:r>
            <w:r w:rsidR="00634085">
              <w:rPr>
                <w:sz w:val="24"/>
                <w:szCs w:val="24"/>
              </w:rPr>
              <w:t>or</w:t>
            </w:r>
            <w:r>
              <w:rPr>
                <w:sz w:val="24"/>
                <w:szCs w:val="24"/>
              </w:rPr>
              <w:t xml:space="preserve"> şi plăţil</w:t>
            </w:r>
            <w:r w:rsidR="00634085">
              <w:rPr>
                <w:sz w:val="24"/>
                <w:szCs w:val="24"/>
              </w:rPr>
              <w:t>or</w:t>
            </w:r>
            <w:r>
              <w:rPr>
                <w:sz w:val="24"/>
                <w:szCs w:val="24"/>
              </w:rPr>
              <w:t xml:space="preserve"> în numerar</w:t>
            </w:r>
            <w:r w:rsidR="00634085">
              <w:rPr>
                <w:sz w:val="24"/>
                <w:szCs w:val="24"/>
              </w:rPr>
              <w:t xml:space="preserve"> pentru toţi operatorii economici</w:t>
            </w:r>
            <w:r>
              <w:rPr>
                <w:sz w:val="24"/>
                <w:szCs w:val="24"/>
              </w:rPr>
              <w:t xml:space="preserve">, inclusiv între persoanele fizice, stabilind sancţiuni drastice pentru persoanele care nu vor respecta interdicţia de a face plăţi în numerar sub un anumit plafon, iar pe de altă parte  abrogarea prevederilor Ordonanţei Guvernului nr.15/1996, întrucât, în mare parte, acestea nu mai au aplicabilitate în contextul economic actual. </w:t>
            </w:r>
          </w:p>
          <w:p w:rsidR="009A6022" w:rsidRDefault="009A6022" w:rsidP="009A6022">
            <w:pPr>
              <w:jc w:val="both"/>
              <w:rPr>
                <w:sz w:val="24"/>
                <w:szCs w:val="24"/>
              </w:rPr>
            </w:pPr>
            <w:r>
              <w:rPr>
                <w:sz w:val="24"/>
                <w:szCs w:val="24"/>
              </w:rPr>
              <w:t xml:space="preserve">Măsura privind </w:t>
            </w:r>
            <w:r w:rsidR="00E07D08">
              <w:rPr>
                <w:sz w:val="24"/>
                <w:szCs w:val="24"/>
              </w:rPr>
              <w:t xml:space="preserve">extinderea </w:t>
            </w:r>
            <w:r>
              <w:rPr>
                <w:sz w:val="24"/>
                <w:szCs w:val="24"/>
              </w:rPr>
              <w:t xml:space="preserve">plafoanelor pentru plăţile în numerar a fost luată ca urmare a constatării de către organele fiscale a faptului că în majoritatea schemelor fiscale evazioniste se fac plăţi în numerar, întrucât plăţile prin bancă prezintă o trasabilitate care este evitată de astfel de persoane. </w:t>
            </w:r>
          </w:p>
          <w:p w:rsidR="009A6022" w:rsidRPr="00215406" w:rsidRDefault="009A6022" w:rsidP="009A6022">
            <w:pPr>
              <w:jc w:val="both"/>
              <w:rPr>
                <w:sz w:val="24"/>
                <w:szCs w:val="24"/>
              </w:rPr>
            </w:pPr>
            <w:r>
              <w:rPr>
                <w:sz w:val="24"/>
                <w:szCs w:val="24"/>
              </w:rPr>
              <w:t>C</w:t>
            </w:r>
            <w:r w:rsidRPr="00873D5D">
              <w:rPr>
                <w:sz w:val="24"/>
                <w:szCs w:val="24"/>
              </w:rPr>
              <w:t>onform jurisprudenţei Curţii de Justiţie a Uniunii Europene, dreptul de deducere</w:t>
            </w:r>
            <w:r>
              <w:rPr>
                <w:sz w:val="24"/>
                <w:szCs w:val="24"/>
              </w:rPr>
              <w:t xml:space="preserve"> a TVA</w:t>
            </w:r>
            <w:r w:rsidRPr="00873D5D">
              <w:rPr>
                <w:sz w:val="24"/>
                <w:szCs w:val="24"/>
              </w:rPr>
              <w:t xml:space="preserve"> poate fi anulat numai în situaţia în care se poate face dovada că  beneficiarul a ştiut sau ar fi putut să ştie că furnizorul este implicat într-o fraudă fiscală în domeniul TVA</w:t>
            </w:r>
            <w:r>
              <w:rPr>
                <w:sz w:val="24"/>
                <w:szCs w:val="24"/>
              </w:rPr>
              <w:t>, sau dacă există o practică abuzivă menită să conducă la obţinerea de avantaje fiscale</w:t>
            </w:r>
            <w:r w:rsidRPr="00873D5D">
              <w:rPr>
                <w:sz w:val="24"/>
                <w:szCs w:val="24"/>
              </w:rPr>
              <w:t>. Întrucât procedura de aplicat în aceste condiţii este de lungă durată şi având în vedere că pentru combaterea fraudei fiscale sunt necesare măsuri care</w:t>
            </w:r>
            <w:r>
              <w:rPr>
                <w:sz w:val="24"/>
                <w:szCs w:val="24"/>
              </w:rPr>
              <w:t xml:space="preserve"> nu</w:t>
            </w:r>
            <w:r w:rsidRPr="00873D5D">
              <w:rPr>
                <w:sz w:val="24"/>
                <w:szCs w:val="24"/>
              </w:rPr>
              <w:t xml:space="preserve"> pot fi aplicate imediat de organele de inspecţie fiscală, considerăm că cea mai bună soluţie o constituie stabilirea </w:t>
            </w:r>
            <w:r>
              <w:rPr>
                <w:sz w:val="24"/>
                <w:szCs w:val="24"/>
              </w:rPr>
              <w:t xml:space="preserve">de </w:t>
            </w:r>
            <w:r w:rsidRPr="00873D5D">
              <w:rPr>
                <w:sz w:val="24"/>
                <w:szCs w:val="24"/>
              </w:rPr>
              <w:t xml:space="preserve">amenzi contravenţionale foarte mari pentru persoanele care depăşesc plafoanele stabilite de lege privind plăţile în numerar. </w:t>
            </w:r>
            <w:r w:rsidRPr="00215406">
              <w:rPr>
                <w:sz w:val="24"/>
                <w:szCs w:val="24"/>
              </w:rPr>
              <w:t xml:space="preserve">Stabilirea acestor amenzi nu contravine acquis-ului comunitar şi ar contracara efectele negative ale deducerii TVA pentru operaţiunile fictive, nivelul amenzilor propuse fiind foarte apropiat de nivelul cotei de TVA.  </w:t>
            </w:r>
          </w:p>
          <w:p w:rsidR="009A6022" w:rsidRPr="005C7734" w:rsidRDefault="009A6022" w:rsidP="009A6022">
            <w:pPr>
              <w:spacing w:after="120"/>
              <w:jc w:val="both"/>
              <w:rPr>
                <w:color w:val="000000"/>
                <w:sz w:val="24"/>
                <w:szCs w:val="24"/>
                <w:lang w:val="it-IT"/>
              </w:rPr>
            </w:pPr>
            <w:r w:rsidRPr="005C7734">
              <w:rPr>
                <w:sz w:val="24"/>
                <w:szCs w:val="24"/>
              </w:rPr>
              <w:t xml:space="preserve">În Raportul intern privind Administrarea TVA în România, din data de 6 decembrie 2010, al Direcţei generale de impozitare şi uniune vamală din cadrul Comisiei Europene, </w:t>
            </w:r>
            <w:r w:rsidRPr="005C7734">
              <w:rPr>
                <w:i/>
                <w:sz w:val="24"/>
                <w:szCs w:val="24"/>
              </w:rPr>
              <w:t>la punctul 5.6 Inspecţii</w:t>
            </w:r>
            <w:r w:rsidRPr="005C7734">
              <w:rPr>
                <w:sz w:val="24"/>
                <w:szCs w:val="24"/>
              </w:rPr>
              <w:t xml:space="preserve"> se menţionează că plăţile se fac deseori în numerar, chiar dacă există plafonul prevăzut de lege de 5.000 lei pentru plăţile în numerar. Există sancţiuni pentru plăţile în numerar care depăşesc acest plafon,  dar aceste sancţiuni se aplică rareori, iar dreptul de deducere al TVA nu poate fi refuzat numai datorită faptului că plata facturilor se realizează în numerar. Prin urmare, t</w:t>
            </w:r>
            <w:r w:rsidRPr="005C7734">
              <w:rPr>
                <w:sz w:val="24"/>
                <w:szCs w:val="24"/>
                <w:lang w:val="it-IT"/>
              </w:rPr>
              <w:t>rebuie să se interzică plăţile în numerar într-un mod mai eficient.</w:t>
            </w:r>
          </w:p>
          <w:p w:rsidR="009A6022" w:rsidRPr="005C7734" w:rsidRDefault="009A6022" w:rsidP="009A6022">
            <w:pPr>
              <w:spacing w:after="120"/>
              <w:jc w:val="both"/>
              <w:rPr>
                <w:sz w:val="24"/>
                <w:szCs w:val="24"/>
                <w:lang w:val="it-IT"/>
              </w:rPr>
            </w:pPr>
            <w:r w:rsidRPr="005C7734">
              <w:rPr>
                <w:i/>
                <w:color w:val="000000"/>
                <w:sz w:val="24"/>
                <w:szCs w:val="24"/>
                <w:lang w:val="it-IT"/>
              </w:rPr>
              <w:t>La punctul 6.1. Descrierea fraudei</w:t>
            </w:r>
            <w:r w:rsidRPr="005C7734">
              <w:rPr>
                <w:color w:val="000000"/>
                <w:sz w:val="24"/>
                <w:szCs w:val="24"/>
                <w:lang w:val="it-IT"/>
              </w:rPr>
              <w:t xml:space="preserve"> din </w:t>
            </w:r>
            <w:r w:rsidRPr="005C7734">
              <w:rPr>
                <w:sz w:val="24"/>
                <w:szCs w:val="24"/>
                <w:lang w:val="it-IT"/>
              </w:rPr>
              <w:t>acelaşi</w:t>
            </w:r>
            <w:r w:rsidRPr="005C7734">
              <w:rPr>
                <w:color w:val="000000"/>
                <w:sz w:val="24"/>
                <w:szCs w:val="24"/>
                <w:lang w:val="it-IT"/>
              </w:rPr>
              <w:t xml:space="preserve"> raport se precizează că România se confruntă cu fenomene evazioniste prin intermediul societăţilor fantomă.</w:t>
            </w:r>
            <w:r w:rsidRPr="005C7734">
              <w:rPr>
                <w:sz w:val="24"/>
                <w:szCs w:val="24"/>
                <w:lang w:val="it-IT"/>
              </w:rPr>
              <w:t xml:space="preserve"> </w:t>
            </w:r>
          </w:p>
          <w:p w:rsidR="009A6022" w:rsidRPr="00C20D09" w:rsidRDefault="009A6022" w:rsidP="009A6022">
            <w:pPr>
              <w:spacing w:after="120"/>
              <w:jc w:val="both"/>
              <w:rPr>
                <w:sz w:val="24"/>
                <w:szCs w:val="24"/>
                <w:lang w:val="pt-BR"/>
              </w:rPr>
            </w:pPr>
            <w:r w:rsidRPr="005C7734">
              <w:rPr>
                <w:i/>
                <w:sz w:val="24"/>
                <w:szCs w:val="24"/>
                <w:lang w:val="it-IT"/>
              </w:rPr>
              <w:t>La punctul  7.1.1.1. Plata în numerar</w:t>
            </w:r>
            <w:r w:rsidRPr="005C7734">
              <w:rPr>
                <w:sz w:val="24"/>
                <w:szCs w:val="24"/>
                <w:lang w:val="it-IT"/>
              </w:rPr>
              <w:t xml:space="preserve"> din raport, se menţionează că  deşi în ceea ce priveşte plata în numerar, legislaţia fiscală prevede un prag de 5.000 lei, sancţiunile pentru plăţile în numerar pentru sume ce depăşesc acest prag sunt foarte rar impuse. Atenţia ar trebui să se concentreze pe interzicerea într-un mod mai eficient a plăţilor în numerar, între altele, </w:t>
            </w:r>
            <w:r w:rsidRPr="005C7734">
              <w:rPr>
                <w:sz w:val="24"/>
                <w:szCs w:val="24"/>
                <w:lang w:val="it-IT"/>
              </w:rPr>
              <w:lastRenderedPageBreak/>
              <w:t xml:space="preserve">prin introducerea de sancţiuni în legislaţia fiscală şi prin aplicarea acestor sancţiuni în mod consecvent. Încălcarea pragului pentru plăţile în numerar face foarte dificil controlul şi, în consecinţă, favorizează frauda. </w:t>
            </w:r>
            <w:r w:rsidRPr="00C20D09">
              <w:rPr>
                <w:sz w:val="24"/>
                <w:szCs w:val="24"/>
                <w:lang w:val="pt-BR"/>
              </w:rPr>
              <w:t>În plus, politica de control ar trebui să se concentreze în mod specific pe punerea în aplicare a acestor obligaţii.</w:t>
            </w:r>
            <w:r w:rsidRPr="00C20D09">
              <w:rPr>
                <w:color w:val="000000"/>
                <w:sz w:val="24"/>
                <w:szCs w:val="24"/>
                <w:lang w:val="pt-BR"/>
              </w:rPr>
              <w:t xml:space="preserve"> </w:t>
            </w:r>
          </w:p>
          <w:p w:rsidR="009A6022" w:rsidRPr="00873D5D" w:rsidRDefault="009A6022" w:rsidP="009A6022">
            <w:pPr>
              <w:jc w:val="both"/>
              <w:rPr>
                <w:sz w:val="24"/>
                <w:szCs w:val="24"/>
              </w:rPr>
            </w:pPr>
            <w:r w:rsidRPr="00873D5D">
              <w:rPr>
                <w:sz w:val="24"/>
                <w:szCs w:val="24"/>
              </w:rPr>
              <w:t>Aşa cum rezultă şi din Raportul Comisiei Europene, Directiva 2006/112/CE privind sistemul comun al taxei pe valoarea adăugată, cu modificările şi completările ulterioare, nu permite anularea deducerii TVA numai datorită faptului că plăţil</w:t>
            </w:r>
            <w:r>
              <w:rPr>
                <w:sz w:val="24"/>
                <w:szCs w:val="24"/>
              </w:rPr>
              <w:t>e</w:t>
            </w:r>
            <w:r w:rsidRPr="00873D5D">
              <w:rPr>
                <w:sz w:val="24"/>
                <w:szCs w:val="24"/>
              </w:rPr>
              <w:t xml:space="preserve"> sunt efectuate în numerar. Prin urmare, instituirea unei măsuri contrare acquis-ului comunitar în materie de TVA ar conduce la declanşarea procedurii de infringement. </w:t>
            </w:r>
          </w:p>
          <w:p w:rsidR="009A6022" w:rsidRDefault="009A6022" w:rsidP="009A6022">
            <w:pPr>
              <w:jc w:val="both"/>
              <w:rPr>
                <w:sz w:val="24"/>
                <w:szCs w:val="24"/>
              </w:rPr>
            </w:pPr>
            <w:r>
              <w:rPr>
                <w:sz w:val="24"/>
                <w:szCs w:val="24"/>
              </w:rPr>
              <w:t xml:space="preserve">În contextul celor menţionate, </w:t>
            </w:r>
            <w:r w:rsidRPr="00215406">
              <w:rPr>
                <w:sz w:val="24"/>
                <w:szCs w:val="24"/>
              </w:rPr>
              <w:t xml:space="preserve">în scopul combaterii evaziunii fiscale </w:t>
            </w:r>
            <w:r>
              <w:rPr>
                <w:sz w:val="24"/>
                <w:szCs w:val="24"/>
              </w:rPr>
              <w:t xml:space="preserve">şi </w:t>
            </w:r>
            <w:r w:rsidRPr="00215406">
              <w:rPr>
                <w:sz w:val="24"/>
                <w:szCs w:val="24"/>
              </w:rPr>
              <w:t xml:space="preserve">întăririi disciplinei financiare </w:t>
            </w:r>
            <w:r>
              <w:rPr>
                <w:sz w:val="24"/>
                <w:szCs w:val="24"/>
              </w:rPr>
              <w:t>şi a</w:t>
            </w:r>
            <w:r w:rsidRPr="00215406">
              <w:rPr>
                <w:sz w:val="24"/>
                <w:szCs w:val="24"/>
              </w:rPr>
              <w:t xml:space="preserve">vând în vedere recomandările Comisiei Europene, </w:t>
            </w:r>
            <w:r w:rsidRPr="00FD1454">
              <w:rPr>
                <w:sz w:val="24"/>
                <w:szCs w:val="24"/>
              </w:rPr>
              <w:t xml:space="preserve">se impune </w:t>
            </w:r>
            <w:r w:rsidR="00051518">
              <w:rPr>
                <w:sz w:val="24"/>
                <w:szCs w:val="24"/>
              </w:rPr>
              <w:t xml:space="preserve">extinderea </w:t>
            </w:r>
            <w:r w:rsidRPr="00FD1454">
              <w:rPr>
                <w:sz w:val="24"/>
                <w:szCs w:val="24"/>
              </w:rPr>
              <w:t>limit</w:t>
            </w:r>
            <w:r w:rsidR="00051518">
              <w:rPr>
                <w:sz w:val="24"/>
                <w:szCs w:val="24"/>
              </w:rPr>
              <w:t>ării încasărilor şi</w:t>
            </w:r>
            <w:r w:rsidRPr="00FD1454">
              <w:rPr>
                <w:sz w:val="24"/>
                <w:szCs w:val="24"/>
              </w:rPr>
              <w:t xml:space="preserve"> plăţilor în numerar </w:t>
            </w:r>
            <w:r w:rsidR="00051518">
              <w:rPr>
                <w:sz w:val="24"/>
                <w:szCs w:val="24"/>
              </w:rPr>
              <w:t>atât la toţi operatorii economici</w:t>
            </w:r>
            <w:r>
              <w:rPr>
                <w:sz w:val="24"/>
                <w:szCs w:val="24"/>
              </w:rPr>
              <w:t>,</w:t>
            </w:r>
            <w:r w:rsidR="00051518">
              <w:rPr>
                <w:sz w:val="24"/>
                <w:szCs w:val="24"/>
              </w:rPr>
              <w:t xml:space="preserve"> cât şi între persoanele fizice,</w:t>
            </w:r>
            <w:r w:rsidRPr="00FD1454">
              <w:rPr>
                <w:sz w:val="24"/>
                <w:szCs w:val="24"/>
              </w:rPr>
              <w:t xml:space="preserve"> înăsprirea sancţiunilor pentru persoanele care fac plăţi în numerar depăşind plafoanele stabilite de lege</w:t>
            </w:r>
            <w:r>
              <w:rPr>
                <w:sz w:val="24"/>
                <w:szCs w:val="24"/>
              </w:rPr>
              <w:t xml:space="preserve"> şi aplicarea acestor sancţiuni în mod consecvent, precum şi abrogarea unor prev</w:t>
            </w:r>
            <w:r w:rsidR="009F0419">
              <w:rPr>
                <w:sz w:val="24"/>
                <w:szCs w:val="24"/>
              </w:rPr>
              <w:t>e</w:t>
            </w:r>
            <w:r>
              <w:rPr>
                <w:sz w:val="24"/>
                <w:szCs w:val="24"/>
              </w:rPr>
              <w:t>deri care nu mai sunt aplicabile</w:t>
            </w:r>
            <w:r w:rsidRPr="00FD1454">
              <w:rPr>
                <w:sz w:val="24"/>
                <w:szCs w:val="24"/>
              </w:rPr>
              <w:t xml:space="preserve">. </w:t>
            </w:r>
          </w:p>
          <w:p w:rsidR="009A6022" w:rsidRDefault="009A6022" w:rsidP="009A6022">
            <w:pPr>
              <w:jc w:val="both"/>
              <w:rPr>
                <w:sz w:val="24"/>
                <w:szCs w:val="24"/>
              </w:rPr>
            </w:pPr>
            <w:r>
              <w:rPr>
                <w:sz w:val="24"/>
                <w:szCs w:val="24"/>
              </w:rPr>
              <w:t xml:space="preserve">În acest sens, a fost elaborat prezentul proiect de </w:t>
            </w:r>
            <w:r w:rsidR="007D19B3">
              <w:rPr>
                <w:sz w:val="24"/>
                <w:szCs w:val="24"/>
              </w:rPr>
              <w:t>lege</w:t>
            </w:r>
            <w:r>
              <w:rPr>
                <w:sz w:val="24"/>
                <w:szCs w:val="24"/>
              </w:rPr>
              <w:t>, care vizează în principal următoarele aspecte:</w:t>
            </w:r>
          </w:p>
          <w:p w:rsidR="00543EFA" w:rsidRPr="00543EFA" w:rsidRDefault="00BC3F5F" w:rsidP="009A6022">
            <w:pPr>
              <w:numPr>
                <w:ilvl w:val="0"/>
                <w:numId w:val="21"/>
              </w:numPr>
              <w:jc w:val="both"/>
              <w:rPr>
                <w:sz w:val="24"/>
                <w:szCs w:val="24"/>
              </w:rPr>
            </w:pPr>
            <w:r>
              <w:rPr>
                <w:sz w:val="24"/>
                <w:szCs w:val="24"/>
              </w:rPr>
              <w:t xml:space="preserve">extinderea </w:t>
            </w:r>
            <w:r w:rsidR="009A6022" w:rsidRPr="00A36AFE">
              <w:rPr>
                <w:sz w:val="24"/>
                <w:szCs w:val="24"/>
              </w:rPr>
              <w:t>limit</w:t>
            </w:r>
            <w:r>
              <w:rPr>
                <w:sz w:val="24"/>
                <w:szCs w:val="24"/>
              </w:rPr>
              <w:t>ării</w:t>
            </w:r>
            <w:r w:rsidR="009A6022" w:rsidRPr="00A36AFE">
              <w:rPr>
                <w:sz w:val="24"/>
                <w:szCs w:val="24"/>
              </w:rPr>
              <w:t xml:space="preserve"> plăţilor în numerar </w:t>
            </w:r>
            <w:r>
              <w:rPr>
                <w:sz w:val="24"/>
                <w:szCs w:val="24"/>
              </w:rPr>
              <w:t xml:space="preserve">şi la alţi operatori economici </w:t>
            </w:r>
            <w:r w:rsidR="009A6022" w:rsidRPr="00A36AFE">
              <w:rPr>
                <w:sz w:val="24"/>
                <w:szCs w:val="24"/>
              </w:rPr>
              <w:t>de</w:t>
            </w:r>
            <w:r>
              <w:rPr>
                <w:sz w:val="24"/>
                <w:szCs w:val="24"/>
              </w:rPr>
              <w:t>cât</w:t>
            </w:r>
            <w:r w:rsidR="009A6022" w:rsidRPr="00A36AFE">
              <w:rPr>
                <w:sz w:val="24"/>
                <w:szCs w:val="24"/>
              </w:rPr>
              <w:t xml:space="preserve"> persoane juridice,</w:t>
            </w:r>
            <w:r>
              <w:rPr>
                <w:sz w:val="24"/>
                <w:szCs w:val="24"/>
              </w:rPr>
              <w:t xml:space="preserve"> cum sunt:</w:t>
            </w:r>
            <w:r w:rsidR="009A6022" w:rsidRPr="00A36AFE">
              <w:rPr>
                <w:sz w:val="24"/>
                <w:szCs w:val="24"/>
              </w:rPr>
              <w:t xml:space="preserve"> persoane fizice autorizate,</w:t>
            </w:r>
            <w:r w:rsidR="009A6022">
              <w:rPr>
                <w:sz w:val="24"/>
                <w:szCs w:val="24"/>
              </w:rPr>
              <w:t xml:space="preserve"> întreprinderi individuale, întreprinderi familiale,</w:t>
            </w:r>
            <w:r w:rsidR="009A6022" w:rsidRPr="00A36AFE">
              <w:rPr>
                <w:sz w:val="24"/>
                <w:szCs w:val="24"/>
              </w:rPr>
              <w:t xml:space="preserve"> liber profesionişti, persoane fizice care desfăşoară activităţi în mod independent, asocieri şi alte entităţi</w:t>
            </w:r>
            <w:r w:rsidR="00451D13">
              <w:rPr>
                <w:sz w:val="24"/>
                <w:szCs w:val="24"/>
              </w:rPr>
              <w:t xml:space="preserve"> cu sau</w:t>
            </w:r>
            <w:r w:rsidR="009A6022" w:rsidRPr="00A36AFE">
              <w:rPr>
                <w:sz w:val="24"/>
                <w:szCs w:val="24"/>
              </w:rPr>
              <w:t xml:space="preserve"> fără personalitate juridică  </w:t>
            </w:r>
            <w:r w:rsidR="009A6022" w:rsidRPr="00A36AFE">
              <w:rPr>
                <w:iCs/>
                <w:sz w:val="24"/>
                <w:szCs w:val="24"/>
              </w:rPr>
              <w:t xml:space="preserve"> la plafonul zilnic maxim de </w:t>
            </w:r>
            <w:r w:rsidR="009F442E">
              <w:rPr>
                <w:iCs/>
                <w:sz w:val="24"/>
                <w:szCs w:val="24"/>
              </w:rPr>
              <w:t>5.0</w:t>
            </w:r>
            <w:r w:rsidR="009A6022" w:rsidRPr="00A36AFE">
              <w:rPr>
                <w:iCs/>
                <w:sz w:val="24"/>
                <w:szCs w:val="24"/>
              </w:rPr>
              <w:t>00 lei</w:t>
            </w:r>
            <w:r w:rsidR="007A67C3">
              <w:rPr>
                <w:iCs/>
                <w:sz w:val="24"/>
                <w:szCs w:val="24"/>
              </w:rPr>
              <w:t xml:space="preserve">/persoană, dar nu mai mult de </w:t>
            </w:r>
            <w:r w:rsidR="007D10C6">
              <w:rPr>
                <w:iCs/>
                <w:sz w:val="24"/>
                <w:szCs w:val="24"/>
              </w:rPr>
              <w:t xml:space="preserve">un plafon total de </w:t>
            </w:r>
            <w:r w:rsidR="009F442E">
              <w:rPr>
                <w:iCs/>
                <w:sz w:val="24"/>
                <w:szCs w:val="24"/>
              </w:rPr>
              <w:t>10</w:t>
            </w:r>
            <w:r w:rsidR="00232721">
              <w:rPr>
                <w:iCs/>
                <w:sz w:val="24"/>
                <w:szCs w:val="24"/>
              </w:rPr>
              <w:t>.</w:t>
            </w:r>
            <w:r w:rsidR="007A67C3">
              <w:rPr>
                <w:iCs/>
                <w:sz w:val="24"/>
                <w:szCs w:val="24"/>
              </w:rPr>
              <w:t>000 de lei/zi</w:t>
            </w:r>
            <w:r w:rsidR="009A6022" w:rsidRPr="00A36AFE">
              <w:rPr>
                <w:iCs/>
                <w:sz w:val="24"/>
                <w:szCs w:val="24"/>
              </w:rPr>
              <w:t xml:space="preserve">. </w:t>
            </w:r>
          </w:p>
          <w:p w:rsidR="009A6022" w:rsidRPr="00A36AFE" w:rsidRDefault="00543EFA" w:rsidP="009A6022">
            <w:pPr>
              <w:numPr>
                <w:ilvl w:val="0"/>
                <w:numId w:val="21"/>
              </w:numPr>
              <w:jc w:val="both"/>
              <w:rPr>
                <w:sz w:val="24"/>
                <w:szCs w:val="24"/>
              </w:rPr>
            </w:pPr>
            <w:r>
              <w:rPr>
                <w:iCs/>
                <w:sz w:val="24"/>
                <w:szCs w:val="24"/>
              </w:rPr>
              <w:t>l</w:t>
            </w:r>
            <w:r w:rsidR="003D5D20">
              <w:rPr>
                <w:iCs/>
                <w:sz w:val="24"/>
                <w:szCs w:val="24"/>
              </w:rPr>
              <w:t xml:space="preserve">imitarea </w:t>
            </w:r>
            <w:r>
              <w:rPr>
                <w:iCs/>
                <w:sz w:val="24"/>
                <w:szCs w:val="24"/>
              </w:rPr>
              <w:t xml:space="preserve">încasărilor şi </w:t>
            </w:r>
            <w:r w:rsidR="003D5D20">
              <w:rPr>
                <w:iCs/>
                <w:sz w:val="24"/>
                <w:szCs w:val="24"/>
              </w:rPr>
              <w:t xml:space="preserve">plăţilor zilnice în numerar la </w:t>
            </w:r>
            <w:r>
              <w:rPr>
                <w:iCs/>
                <w:sz w:val="24"/>
                <w:szCs w:val="24"/>
              </w:rPr>
              <w:t>5</w:t>
            </w:r>
            <w:r w:rsidR="003D5D20">
              <w:rPr>
                <w:iCs/>
                <w:sz w:val="24"/>
                <w:szCs w:val="24"/>
              </w:rPr>
              <w:t>.000 lei/persoană</w:t>
            </w:r>
            <w:r w:rsidR="009A6022" w:rsidRPr="00A36AFE">
              <w:rPr>
                <w:sz w:val="24"/>
                <w:szCs w:val="24"/>
              </w:rPr>
              <w:t xml:space="preserve">  în cazul</w:t>
            </w:r>
            <w:r w:rsidR="009A6022">
              <w:rPr>
                <w:sz w:val="24"/>
                <w:szCs w:val="24"/>
              </w:rPr>
              <w:t>:</w:t>
            </w:r>
          </w:p>
          <w:p w:rsidR="009A6022" w:rsidRDefault="009A6022" w:rsidP="009A6022">
            <w:pPr>
              <w:numPr>
                <w:ilvl w:val="1"/>
                <w:numId w:val="21"/>
              </w:numPr>
              <w:tabs>
                <w:tab w:val="left" w:pos="720"/>
              </w:tabs>
              <w:jc w:val="both"/>
              <w:rPr>
                <w:iCs/>
                <w:sz w:val="24"/>
                <w:szCs w:val="24"/>
              </w:rPr>
            </w:pPr>
            <w:r w:rsidRPr="00A36AFE">
              <w:rPr>
                <w:iCs/>
                <w:sz w:val="24"/>
                <w:szCs w:val="24"/>
              </w:rPr>
              <w:t xml:space="preserve">operaţiunilor de plăţi în numerar efectuate de </w:t>
            </w:r>
            <w:r>
              <w:rPr>
                <w:iCs/>
                <w:sz w:val="24"/>
                <w:szCs w:val="24"/>
              </w:rPr>
              <w:t>operatorii economici</w:t>
            </w:r>
            <w:r w:rsidRPr="00A36AFE">
              <w:rPr>
                <w:iCs/>
                <w:sz w:val="24"/>
                <w:szCs w:val="24"/>
              </w:rPr>
              <w:t xml:space="preserve"> către persoane fizice, reprezentând plata contravalorii unor livrări de bunuri, sau a unor prestări de servicii, dividende, cesiuni de creanţe sau alte drepturi şi  restituirile de împrumuturi sau alte finantari;</w:t>
            </w:r>
          </w:p>
          <w:p w:rsidR="009A6022" w:rsidRPr="00A36AFE" w:rsidRDefault="009A6022" w:rsidP="009A6022">
            <w:pPr>
              <w:numPr>
                <w:ilvl w:val="1"/>
                <w:numId w:val="21"/>
              </w:numPr>
              <w:tabs>
                <w:tab w:val="left" w:pos="720"/>
              </w:tabs>
              <w:jc w:val="both"/>
              <w:rPr>
                <w:iCs/>
                <w:sz w:val="24"/>
                <w:szCs w:val="24"/>
              </w:rPr>
            </w:pPr>
            <w:r w:rsidRPr="00A36AFE">
              <w:rPr>
                <w:iCs/>
                <w:sz w:val="24"/>
                <w:szCs w:val="24"/>
              </w:rPr>
              <w:t xml:space="preserve">operaţiunilor de încasare în numerar efectuate de  </w:t>
            </w:r>
            <w:r>
              <w:rPr>
                <w:iCs/>
                <w:sz w:val="24"/>
                <w:szCs w:val="24"/>
              </w:rPr>
              <w:t xml:space="preserve">operatorii economici </w:t>
            </w:r>
            <w:r w:rsidRPr="00A36AFE">
              <w:rPr>
                <w:iCs/>
                <w:sz w:val="24"/>
                <w:szCs w:val="24"/>
              </w:rPr>
              <w:t xml:space="preserve">de la persoane fizice, </w:t>
            </w:r>
            <w:r>
              <w:rPr>
                <w:iCs/>
                <w:sz w:val="24"/>
                <w:szCs w:val="24"/>
              </w:rPr>
              <w:t xml:space="preserve">reprezentând </w:t>
            </w:r>
            <w:r w:rsidRPr="004E6969">
              <w:rPr>
                <w:iCs/>
                <w:sz w:val="24"/>
                <w:szCs w:val="24"/>
              </w:rPr>
              <w:t>cesiuni de creanţe sau alte drepturi, acordarea de împrumuturi</w:t>
            </w:r>
            <w:r w:rsidRPr="004E6969">
              <w:rPr>
                <w:b/>
                <w:iCs/>
                <w:sz w:val="24"/>
                <w:szCs w:val="24"/>
              </w:rPr>
              <w:t xml:space="preserve"> </w:t>
            </w:r>
            <w:r w:rsidRPr="004E6969">
              <w:rPr>
                <w:iCs/>
                <w:sz w:val="24"/>
                <w:szCs w:val="24"/>
              </w:rPr>
              <w:t>sau alte finanţări</w:t>
            </w:r>
            <w:r>
              <w:rPr>
                <w:iCs/>
                <w:sz w:val="24"/>
                <w:szCs w:val="24"/>
              </w:rPr>
              <w:t>;</w:t>
            </w:r>
          </w:p>
          <w:p w:rsidR="009A6022" w:rsidRPr="004E6969" w:rsidRDefault="009A6022" w:rsidP="009A6022">
            <w:pPr>
              <w:numPr>
                <w:ilvl w:val="0"/>
                <w:numId w:val="21"/>
              </w:numPr>
              <w:jc w:val="both"/>
              <w:rPr>
                <w:iCs/>
              </w:rPr>
            </w:pPr>
            <w:r>
              <w:rPr>
                <w:iCs/>
                <w:sz w:val="24"/>
                <w:szCs w:val="24"/>
              </w:rPr>
              <w:t>limitarea o</w:t>
            </w:r>
            <w:r w:rsidRPr="00AE3137">
              <w:rPr>
                <w:iCs/>
                <w:sz w:val="24"/>
                <w:szCs w:val="24"/>
              </w:rPr>
              <w:t>peraţiunil</w:t>
            </w:r>
            <w:r>
              <w:rPr>
                <w:iCs/>
                <w:sz w:val="24"/>
                <w:szCs w:val="24"/>
              </w:rPr>
              <w:t>or</w:t>
            </w:r>
            <w:r w:rsidRPr="00AE3137">
              <w:rPr>
                <w:iCs/>
                <w:sz w:val="24"/>
                <w:szCs w:val="24"/>
              </w:rPr>
              <w:t xml:space="preserve"> de încasare în numerar efectuate de </w:t>
            </w:r>
            <w:r>
              <w:rPr>
                <w:iCs/>
                <w:sz w:val="24"/>
                <w:szCs w:val="24"/>
              </w:rPr>
              <w:t>operatorii economici</w:t>
            </w:r>
            <w:r w:rsidRPr="00AE3137">
              <w:rPr>
                <w:iCs/>
                <w:sz w:val="24"/>
                <w:szCs w:val="24"/>
              </w:rPr>
              <w:t xml:space="preserve"> de la persoane fizice, reprezentând contravaloarea unor livrări de bunuri sau a unor prestări de servicii </w:t>
            </w:r>
            <w:r>
              <w:rPr>
                <w:iCs/>
                <w:sz w:val="24"/>
                <w:szCs w:val="24"/>
              </w:rPr>
              <w:t>la</w:t>
            </w:r>
            <w:r w:rsidRPr="00AE3137">
              <w:rPr>
                <w:iCs/>
                <w:sz w:val="24"/>
                <w:szCs w:val="24"/>
              </w:rPr>
              <w:t xml:space="preserve"> plafon</w:t>
            </w:r>
            <w:r>
              <w:rPr>
                <w:iCs/>
                <w:sz w:val="24"/>
                <w:szCs w:val="24"/>
              </w:rPr>
              <w:t>ul</w:t>
            </w:r>
            <w:r w:rsidRPr="00AE3137">
              <w:rPr>
                <w:iCs/>
                <w:sz w:val="24"/>
                <w:szCs w:val="24"/>
              </w:rPr>
              <w:t xml:space="preserve"> </w:t>
            </w:r>
            <w:r>
              <w:rPr>
                <w:iCs/>
                <w:sz w:val="24"/>
                <w:szCs w:val="24"/>
              </w:rPr>
              <w:t>zilnic</w:t>
            </w:r>
            <w:r w:rsidRPr="00AE3137">
              <w:rPr>
                <w:iCs/>
                <w:sz w:val="24"/>
                <w:szCs w:val="24"/>
              </w:rPr>
              <w:t xml:space="preserve"> de 10.000 lei/</w:t>
            </w:r>
            <w:r>
              <w:rPr>
                <w:iCs/>
                <w:sz w:val="24"/>
                <w:szCs w:val="24"/>
              </w:rPr>
              <w:t>persoană</w:t>
            </w:r>
          </w:p>
          <w:p w:rsidR="009A6022" w:rsidRPr="00927DF5" w:rsidRDefault="009A6022" w:rsidP="009A6022">
            <w:pPr>
              <w:numPr>
                <w:ilvl w:val="0"/>
                <w:numId w:val="21"/>
              </w:numPr>
              <w:jc w:val="both"/>
              <w:rPr>
                <w:iCs/>
              </w:rPr>
            </w:pPr>
            <w:r>
              <w:rPr>
                <w:iCs/>
                <w:sz w:val="24"/>
                <w:szCs w:val="24"/>
              </w:rPr>
              <w:t xml:space="preserve">limitarea încasărilor şi plăţilor în numerar efectuate între persoane fizice, prin instituirea unui plafon zilnic de </w:t>
            </w:r>
            <w:r w:rsidR="009F442E">
              <w:rPr>
                <w:iCs/>
                <w:sz w:val="24"/>
                <w:szCs w:val="24"/>
              </w:rPr>
              <w:t>1</w:t>
            </w:r>
            <w:r>
              <w:rPr>
                <w:iCs/>
                <w:sz w:val="24"/>
                <w:szCs w:val="24"/>
              </w:rPr>
              <w:t>0.000 lei/tranzacţie.</w:t>
            </w:r>
          </w:p>
          <w:p w:rsidR="009A6022" w:rsidRPr="00EA08C1" w:rsidRDefault="009A6022" w:rsidP="009A6022">
            <w:pPr>
              <w:numPr>
                <w:ilvl w:val="0"/>
                <w:numId w:val="21"/>
              </w:numPr>
              <w:jc w:val="both"/>
              <w:rPr>
                <w:sz w:val="24"/>
                <w:szCs w:val="24"/>
              </w:rPr>
            </w:pPr>
            <w:r w:rsidRPr="00EA08C1">
              <w:rPr>
                <w:sz w:val="24"/>
                <w:szCs w:val="24"/>
              </w:rPr>
              <w:t>stabilirea sancţiunilor aplicabile celor care depăşesc plafoanele, respectiv aplicarea de</w:t>
            </w:r>
            <w:r w:rsidRPr="00EA08C1">
              <w:rPr>
                <w:iCs/>
                <w:sz w:val="24"/>
                <w:szCs w:val="24"/>
              </w:rPr>
              <w:t xml:space="preserve"> amenzi în cuantum de 2</w:t>
            </w:r>
            <w:r w:rsidR="007D10C6">
              <w:rPr>
                <w:iCs/>
                <w:sz w:val="24"/>
                <w:szCs w:val="24"/>
              </w:rPr>
              <w:t>5</w:t>
            </w:r>
            <w:r w:rsidRPr="00EA08C1">
              <w:rPr>
                <w:iCs/>
                <w:sz w:val="24"/>
                <w:szCs w:val="24"/>
              </w:rPr>
              <w:t xml:space="preserve">% din sumele plătite/încasate care depăşesc plafoanele. </w:t>
            </w:r>
            <w:r w:rsidRPr="00EA08C1">
              <w:rPr>
                <w:sz w:val="24"/>
                <w:szCs w:val="24"/>
              </w:rPr>
              <w:t>Sancţiunile propuse au drept scop anularea impactului negativ asupra bugetului de stat datorat pierderilor cauzate de rambursările de TVA efectuate către persoane care au făcut plăţi în numerar, şi-au dedus TVA, dar în amonte se constată că furnizorii care trebuiau să plătească TVA la buget au dispărut</w:t>
            </w:r>
            <w:r>
              <w:rPr>
                <w:sz w:val="24"/>
                <w:szCs w:val="24"/>
              </w:rPr>
              <w:t>;</w:t>
            </w:r>
          </w:p>
          <w:p w:rsidR="009A6022" w:rsidRDefault="009A6022" w:rsidP="009A6022">
            <w:pPr>
              <w:numPr>
                <w:ilvl w:val="0"/>
                <w:numId w:val="21"/>
              </w:numPr>
              <w:tabs>
                <w:tab w:val="left" w:pos="1440"/>
                <w:tab w:val="left" w:pos="2160"/>
                <w:tab w:val="left" w:pos="2880"/>
                <w:tab w:val="left" w:pos="3600"/>
                <w:tab w:val="left" w:pos="4320"/>
                <w:tab w:val="left" w:pos="5040"/>
                <w:tab w:val="left" w:pos="5760"/>
                <w:tab w:val="left" w:pos="7890"/>
              </w:tabs>
              <w:jc w:val="both"/>
              <w:rPr>
                <w:sz w:val="24"/>
                <w:szCs w:val="24"/>
              </w:rPr>
            </w:pPr>
            <w:r w:rsidRPr="00EA08C1">
              <w:rPr>
                <w:sz w:val="24"/>
                <w:szCs w:val="24"/>
              </w:rPr>
              <w:lastRenderedPageBreak/>
              <w:t>abr</w:t>
            </w:r>
            <w:r>
              <w:rPr>
                <w:sz w:val="24"/>
                <w:szCs w:val="24"/>
              </w:rPr>
              <w:t>o</w:t>
            </w:r>
            <w:r w:rsidRPr="00EA08C1">
              <w:rPr>
                <w:sz w:val="24"/>
                <w:szCs w:val="24"/>
              </w:rPr>
              <w:t>garea Ordonanţ</w:t>
            </w:r>
            <w:r>
              <w:rPr>
                <w:sz w:val="24"/>
                <w:szCs w:val="24"/>
              </w:rPr>
              <w:t>ei</w:t>
            </w:r>
            <w:r w:rsidRPr="00EA08C1">
              <w:rPr>
                <w:sz w:val="24"/>
                <w:szCs w:val="24"/>
              </w:rPr>
              <w:t xml:space="preserve"> Guvernului nr. 15/1996, având în vedere că actualul context economic diferă semnificativ de cel existent la momentul publicării acestei ordonanţe.</w:t>
            </w:r>
          </w:p>
          <w:p w:rsidR="00DE3DAC" w:rsidRPr="009E319B" w:rsidRDefault="00DE3DAC" w:rsidP="00DE3DAC">
            <w:pPr>
              <w:autoSpaceDE w:val="0"/>
              <w:autoSpaceDN w:val="0"/>
              <w:adjustRightInd w:val="0"/>
              <w:ind w:firstLine="251"/>
              <w:jc w:val="both"/>
              <w:rPr>
                <w:rFonts w:ascii="Times New (W1)" w:hAnsi="Times New (W1)" w:cs="Arial"/>
                <w:b/>
                <w:sz w:val="24"/>
                <w:szCs w:val="24"/>
              </w:rPr>
            </w:pPr>
            <w:bookmarkStart w:id="0" w:name="_GoBack"/>
            <w:bookmarkEnd w:id="0"/>
            <w:r w:rsidRPr="009E319B">
              <w:rPr>
                <w:sz w:val="24"/>
                <w:szCs w:val="24"/>
              </w:rPr>
              <w:t xml:space="preserve"> </w:t>
            </w:r>
            <w:r w:rsidRPr="009E319B">
              <w:rPr>
                <w:rFonts w:ascii="Times New (W1)" w:hAnsi="Times New (W1)" w:cs="Arial"/>
                <w:b/>
                <w:sz w:val="24"/>
                <w:szCs w:val="24"/>
              </w:rPr>
              <w:t>Ordonanţa de urgenţă a Guvernului nr.193/2002</w:t>
            </w:r>
            <w:r w:rsidRPr="009E319B">
              <w:rPr>
                <w:rFonts w:ascii="Times New (W1)" w:hAnsi="Times New (W1)" w:cs="Arial"/>
                <w:b/>
              </w:rPr>
              <w:t xml:space="preserve"> </w:t>
            </w:r>
            <w:r w:rsidRPr="009E319B">
              <w:rPr>
                <w:rFonts w:ascii="Times New (W1)" w:hAnsi="Times New (W1)" w:cs="Arial"/>
                <w:b/>
                <w:sz w:val="24"/>
                <w:szCs w:val="24"/>
              </w:rPr>
              <w:t>privind introducerea sistemelor moderne de plată</w:t>
            </w:r>
          </w:p>
          <w:p w:rsidR="00DE3DAC" w:rsidRPr="009E319B" w:rsidRDefault="00DE3DAC" w:rsidP="00AF7B13">
            <w:pPr>
              <w:tabs>
                <w:tab w:val="left" w:pos="0"/>
              </w:tabs>
              <w:ind w:firstLine="251"/>
              <w:jc w:val="both"/>
              <w:rPr>
                <w:sz w:val="24"/>
                <w:szCs w:val="24"/>
              </w:rPr>
            </w:pPr>
            <w:r w:rsidRPr="009E319B">
              <w:rPr>
                <w:bCs/>
                <w:noProof/>
                <w:sz w:val="24"/>
                <w:szCs w:val="24"/>
              </w:rPr>
              <w:t xml:space="preserve">Pentru a </w:t>
            </w:r>
            <w:r w:rsidRPr="009E319B">
              <w:rPr>
                <w:sz w:val="24"/>
                <w:szCs w:val="24"/>
              </w:rPr>
              <w:t>asigura consistenţa între</w:t>
            </w:r>
            <w:r w:rsidR="00DD2B2E">
              <w:rPr>
                <w:sz w:val="24"/>
                <w:szCs w:val="24"/>
              </w:rPr>
              <w:t xml:space="preserve"> tendinţa înregistrată la nivelul ţărilor europene şi</w:t>
            </w:r>
            <w:r w:rsidRPr="009E319B">
              <w:rPr>
                <w:sz w:val="24"/>
                <w:szCs w:val="24"/>
              </w:rPr>
              <w:t xml:space="preserve"> prevederile la nivel naţional se propune plafonarea comisionului interbancar. </w:t>
            </w:r>
          </w:p>
          <w:p w:rsidR="00DE3DAC" w:rsidRPr="009E319B" w:rsidRDefault="00DE3DAC" w:rsidP="00DE3DAC">
            <w:pPr>
              <w:tabs>
                <w:tab w:val="left" w:pos="0"/>
              </w:tabs>
              <w:jc w:val="both"/>
              <w:rPr>
                <w:noProof/>
                <w:sz w:val="24"/>
                <w:szCs w:val="24"/>
              </w:rPr>
            </w:pPr>
            <w:r w:rsidRPr="00C20D09">
              <w:rPr>
                <w:sz w:val="24"/>
                <w:szCs w:val="24"/>
              </w:rPr>
              <w:t>Astfel</w:t>
            </w:r>
            <w:r w:rsidRPr="009E319B">
              <w:rPr>
                <w:bCs/>
                <w:noProof/>
                <w:sz w:val="24"/>
                <w:szCs w:val="24"/>
              </w:rPr>
              <w:t xml:space="preserve">, plafoanele de 0,2% şi 0,3% se bazează şi pe faptul că acestea au fost acceptate de Visa şi MasterCard prin angajamentele asumate pentru operaţiunile transfrontaliere şi pentru anumite operaţiuni naţionale. </w:t>
            </w:r>
            <w:r w:rsidRPr="00C20D09">
              <w:rPr>
                <w:sz w:val="24"/>
                <w:szCs w:val="24"/>
              </w:rPr>
              <w:t>În</w:t>
            </w:r>
            <w:r w:rsidRPr="009E319B">
              <w:rPr>
                <w:bCs/>
                <w:noProof/>
                <w:sz w:val="24"/>
                <w:szCs w:val="24"/>
              </w:rPr>
              <w:t xml:space="preserve"> Franţa </w:t>
            </w:r>
            <w:r w:rsidRPr="009E319B">
              <w:rPr>
                <w:noProof/>
                <w:sz w:val="24"/>
                <w:szCs w:val="24"/>
              </w:rPr>
              <w:t>autoritatea franceză în domeniul concurenței a conferit un caracter obligatoriu angajamentelor asumate de</w:t>
            </w:r>
            <w:r w:rsidRPr="009E319B">
              <w:rPr>
                <w:bCs/>
                <w:noProof/>
                <w:sz w:val="24"/>
                <w:szCs w:val="24"/>
              </w:rPr>
              <w:t xml:space="preserve"> Groupement Cartes Bancaires, sistemul naţional de carduri, </w:t>
            </w:r>
            <w:r w:rsidRPr="009E319B">
              <w:rPr>
                <w:noProof/>
                <w:sz w:val="24"/>
                <w:szCs w:val="24"/>
              </w:rPr>
              <w:t>de a-și reduce comisioanele interbancare la niveluri echivalente celor acceptate de Visa și MasterCard pentru operațiunile transfrontaliere.</w:t>
            </w:r>
          </w:p>
          <w:p w:rsidR="00DE3DAC" w:rsidRPr="009E319B" w:rsidRDefault="00DE3DAC" w:rsidP="00D7367E">
            <w:pPr>
              <w:tabs>
                <w:tab w:val="left" w:pos="0"/>
              </w:tabs>
              <w:jc w:val="both"/>
              <w:rPr>
                <w:noProof/>
                <w:sz w:val="24"/>
                <w:szCs w:val="24"/>
              </w:rPr>
            </w:pPr>
            <w:r w:rsidRPr="009E319B">
              <w:rPr>
                <w:sz w:val="24"/>
                <w:szCs w:val="24"/>
              </w:rPr>
              <w:t>Reglementarea comisioanelor interbancare aduce beneficii pentru</w:t>
            </w:r>
            <w:r w:rsidR="0019493D">
              <w:rPr>
                <w:sz w:val="24"/>
                <w:szCs w:val="24"/>
              </w:rPr>
              <w:t xml:space="preserve"> </w:t>
            </w:r>
            <w:r w:rsidRPr="009E319B">
              <w:rPr>
                <w:sz w:val="24"/>
                <w:szCs w:val="24"/>
              </w:rPr>
              <w:t>comercianţi, consumatori, bănci emitente de carduri, precum şi pentru sectorul public şi economie:</w:t>
            </w:r>
          </w:p>
          <w:p w:rsidR="00DE3DAC" w:rsidRPr="009E319B" w:rsidRDefault="00DE3DAC" w:rsidP="00DE3DAC">
            <w:pPr>
              <w:numPr>
                <w:ilvl w:val="0"/>
                <w:numId w:val="22"/>
              </w:numPr>
              <w:tabs>
                <w:tab w:val="left" w:pos="709"/>
              </w:tabs>
              <w:autoSpaceDE w:val="0"/>
              <w:autoSpaceDN w:val="0"/>
              <w:adjustRightInd w:val="0"/>
              <w:ind w:left="709" w:hanging="709"/>
              <w:jc w:val="both"/>
              <w:rPr>
                <w:sz w:val="24"/>
                <w:szCs w:val="24"/>
              </w:rPr>
            </w:pPr>
            <w:r w:rsidRPr="009E319B">
              <w:rPr>
                <w:sz w:val="24"/>
                <w:szCs w:val="24"/>
              </w:rPr>
              <w:t>efect pozitiv asupra acceptării, de către comercianți, a cardurilor de plată și încurajarea consumatorilor să utilizeze tot mai mult cardurile ca mijloc de plată;</w:t>
            </w:r>
          </w:p>
          <w:p w:rsidR="00DE3DAC" w:rsidRPr="009E319B" w:rsidRDefault="00DE3DAC" w:rsidP="000332CF">
            <w:pPr>
              <w:numPr>
                <w:ilvl w:val="0"/>
                <w:numId w:val="22"/>
              </w:numPr>
              <w:tabs>
                <w:tab w:val="left" w:pos="709"/>
              </w:tabs>
              <w:autoSpaceDE w:val="0"/>
              <w:autoSpaceDN w:val="0"/>
              <w:adjustRightInd w:val="0"/>
              <w:ind w:left="709" w:hanging="709"/>
              <w:jc w:val="both"/>
              <w:rPr>
                <w:sz w:val="24"/>
                <w:szCs w:val="24"/>
              </w:rPr>
            </w:pPr>
            <w:r w:rsidRPr="00C20D09">
              <w:rPr>
                <w:sz w:val="24"/>
                <w:szCs w:val="24"/>
              </w:rPr>
              <w:t>comisioanele mai mici ar genera economii la comercianții cu amănuntul, o parte din acestea fiind transferate consumatorilor, prin reducerea preţurilor de vânzare;</w:t>
            </w:r>
          </w:p>
          <w:p w:rsidR="00DE3DAC" w:rsidRPr="009E319B" w:rsidRDefault="00DE3DAC" w:rsidP="00DE3DAC">
            <w:pPr>
              <w:numPr>
                <w:ilvl w:val="0"/>
                <w:numId w:val="22"/>
              </w:numPr>
              <w:tabs>
                <w:tab w:val="left" w:pos="709"/>
              </w:tabs>
              <w:autoSpaceDE w:val="0"/>
              <w:autoSpaceDN w:val="0"/>
              <w:adjustRightInd w:val="0"/>
              <w:ind w:left="709" w:hanging="709"/>
              <w:jc w:val="both"/>
              <w:rPr>
                <w:sz w:val="24"/>
                <w:szCs w:val="24"/>
              </w:rPr>
            </w:pPr>
            <w:r w:rsidRPr="009E319B">
              <w:rPr>
                <w:sz w:val="24"/>
                <w:szCs w:val="24"/>
              </w:rPr>
              <w:t>creşterea numărului utilizatorilor de carduri s-ar concretiza într-un volum mai mare de vânzări la comercianţi, reducerea riscurilor şi a costurilor cu manevrarea numerarului;</w:t>
            </w:r>
          </w:p>
          <w:p w:rsidR="00DE3DAC" w:rsidRPr="009E319B" w:rsidRDefault="00DE3DAC" w:rsidP="00DE3DAC">
            <w:pPr>
              <w:numPr>
                <w:ilvl w:val="0"/>
                <w:numId w:val="22"/>
              </w:numPr>
              <w:tabs>
                <w:tab w:val="left" w:pos="709"/>
              </w:tabs>
              <w:autoSpaceDE w:val="0"/>
              <w:autoSpaceDN w:val="0"/>
              <w:adjustRightInd w:val="0"/>
              <w:ind w:left="709" w:hanging="709"/>
              <w:jc w:val="both"/>
              <w:rPr>
                <w:i/>
                <w:sz w:val="24"/>
                <w:szCs w:val="24"/>
              </w:rPr>
            </w:pPr>
            <w:r w:rsidRPr="009E319B">
              <w:rPr>
                <w:sz w:val="24"/>
                <w:szCs w:val="24"/>
              </w:rPr>
              <w:t>efect pozitiv asupra micilor comercianţi cu amănuntul care ar beneficia direct de comisioane mai mici (în prezent aceştia sunt nevoiţi să suporte comisioane mai mari decât marii retaileri  -</w:t>
            </w:r>
            <w:r w:rsidR="0019493D">
              <w:rPr>
                <w:sz w:val="24"/>
                <w:szCs w:val="24"/>
              </w:rPr>
              <w:t xml:space="preserve"> datorită</w:t>
            </w:r>
            <w:r w:rsidRPr="009E319B">
              <w:rPr>
                <w:sz w:val="24"/>
                <w:szCs w:val="24"/>
              </w:rPr>
              <w:t xml:space="preserve"> capacit</w:t>
            </w:r>
            <w:r w:rsidR="0019493D">
              <w:rPr>
                <w:sz w:val="24"/>
                <w:szCs w:val="24"/>
              </w:rPr>
              <w:t>ăţii</w:t>
            </w:r>
            <w:r w:rsidRPr="009E319B">
              <w:rPr>
                <w:sz w:val="24"/>
                <w:szCs w:val="24"/>
              </w:rPr>
              <w:t xml:space="preserve"> redus</w:t>
            </w:r>
            <w:r w:rsidR="0019493D">
              <w:rPr>
                <w:sz w:val="24"/>
                <w:szCs w:val="24"/>
              </w:rPr>
              <w:t>e</w:t>
            </w:r>
            <w:r w:rsidRPr="009E319B">
              <w:rPr>
                <w:sz w:val="24"/>
                <w:szCs w:val="24"/>
              </w:rPr>
              <w:t xml:space="preserve"> de negociere în relaţia cu băncile);</w:t>
            </w:r>
          </w:p>
          <w:p w:rsidR="00DE3DAC" w:rsidRPr="009E319B" w:rsidRDefault="00DE3DAC" w:rsidP="00DE3DAC">
            <w:pPr>
              <w:numPr>
                <w:ilvl w:val="0"/>
                <w:numId w:val="23"/>
              </w:numPr>
              <w:tabs>
                <w:tab w:val="left" w:pos="709"/>
              </w:tabs>
              <w:autoSpaceDE w:val="0"/>
              <w:autoSpaceDN w:val="0"/>
              <w:adjustRightInd w:val="0"/>
              <w:ind w:left="709" w:hanging="709"/>
              <w:jc w:val="both"/>
              <w:rPr>
                <w:sz w:val="24"/>
                <w:szCs w:val="24"/>
              </w:rPr>
            </w:pPr>
            <w:r w:rsidRPr="009E319B">
              <w:rPr>
                <w:sz w:val="24"/>
                <w:szCs w:val="24"/>
              </w:rPr>
              <w:t>creșterea volumului de tranzacții (prin creşterea nivelului de emitere şi de utilizare a cardurilor) și a economiilor din manipularea numerarului ar trebui să compenseze parțial pierderile băncilor emitente înregistrate din plafonarea comisioanelor interbancare;</w:t>
            </w:r>
          </w:p>
          <w:p w:rsidR="00DE3DAC" w:rsidRPr="009E319B" w:rsidRDefault="00DE3DAC" w:rsidP="00DE3DAC">
            <w:pPr>
              <w:numPr>
                <w:ilvl w:val="0"/>
                <w:numId w:val="23"/>
              </w:numPr>
              <w:tabs>
                <w:tab w:val="left" w:pos="709"/>
              </w:tabs>
              <w:autoSpaceDE w:val="0"/>
              <w:autoSpaceDN w:val="0"/>
              <w:adjustRightInd w:val="0"/>
              <w:ind w:left="709" w:hanging="709"/>
              <w:jc w:val="both"/>
              <w:rPr>
                <w:sz w:val="24"/>
                <w:szCs w:val="24"/>
              </w:rPr>
            </w:pPr>
            <w:r w:rsidRPr="009E319B">
              <w:rPr>
                <w:sz w:val="24"/>
                <w:szCs w:val="24"/>
              </w:rPr>
              <w:t xml:space="preserve">pentru bănci, o reducere a costurilor ar putea să apară şi din diminuarea retragerilor de numerar de la ATM-uri, ceea ce presupune diminuarea comisionelor interbancare </w:t>
            </w:r>
            <w:r w:rsidRPr="00C20D09">
              <w:rPr>
                <w:sz w:val="24"/>
                <w:szCs w:val="24"/>
              </w:rPr>
              <w:t>care trebuie plătite, în mod normal, băncilor acceptante care gestionează ATM-urile.</w:t>
            </w:r>
          </w:p>
          <w:p w:rsidR="00C47393" w:rsidRPr="00C47393" w:rsidRDefault="00DE3DAC" w:rsidP="00C47393">
            <w:pPr>
              <w:numPr>
                <w:ilvl w:val="0"/>
                <w:numId w:val="23"/>
              </w:numPr>
              <w:autoSpaceDE w:val="0"/>
              <w:autoSpaceDN w:val="0"/>
              <w:adjustRightInd w:val="0"/>
              <w:ind w:left="697" w:hanging="697"/>
              <w:contextualSpacing/>
              <w:jc w:val="both"/>
              <w:rPr>
                <w:sz w:val="24"/>
                <w:szCs w:val="24"/>
              </w:rPr>
            </w:pPr>
            <w:r w:rsidRPr="009E319B">
              <w:rPr>
                <w:sz w:val="24"/>
                <w:szCs w:val="24"/>
              </w:rPr>
              <w:t>comisioanele interbancare limitate sunt, în general, asociate cu o acceptare şi un grad ridicat de utilizare a cardurilor</w:t>
            </w:r>
            <w:r w:rsidR="00C47393">
              <w:rPr>
                <w:sz w:val="24"/>
                <w:szCs w:val="24"/>
              </w:rPr>
              <w:t>.</w:t>
            </w:r>
            <w:r w:rsidR="00C47393" w:rsidRPr="00C20D09">
              <w:rPr>
                <w:sz w:val="16"/>
                <w:szCs w:val="16"/>
                <w:lang w:val="it-IT"/>
              </w:rPr>
              <w:t xml:space="preserve"> </w:t>
            </w:r>
            <w:r w:rsidR="00C47393" w:rsidRPr="00DD2B2E">
              <w:rPr>
                <w:sz w:val="24"/>
                <w:szCs w:val="24"/>
                <w:lang w:val="it-IT"/>
              </w:rPr>
              <w:t>Astfel,</w:t>
            </w:r>
            <w:r w:rsidR="00C47393" w:rsidRPr="00C20D09">
              <w:rPr>
                <w:sz w:val="16"/>
                <w:szCs w:val="16"/>
                <w:lang w:val="it-IT"/>
              </w:rPr>
              <w:t xml:space="preserve"> </w:t>
            </w:r>
            <w:r w:rsidR="00C47393" w:rsidRPr="00C20D09">
              <w:rPr>
                <w:sz w:val="24"/>
                <w:szCs w:val="24"/>
                <w:lang w:val="it-IT"/>
              </w:rPr>
              <w:t xml:space="preserve">Danemarca este una din țările cu cele mai ridicate niveluri de utilizare a cardurilor din UE, cu un sistem de carduri de debit în care comisioanele interbancare sunt zero. </w:t>
            </w:r>
            <w:r w:rsidR="00C47393" w:rsidRPr="00C47393">
              <w:rPr>
                <w:sz w:val="24"/>
                <w:szCs w:val="24"/>
              </w:rPr>
              <w:t>În</w:t>
            </w:r>
            <w:r w:rsidR="00C47393" w:rsidRPr="00C20D09">
              <w:rPr>
                <w:sz w:val="24"/>
                <w:szCs w:val="24"/>
                <w:lang w:val="it-IT"/>
              </w:rPr>
              <w:t xml:space="preserve"> Elveția, principalul sistem de carduri de debit Maestro (sistemul MasterCard) funcţionează cu comision interbancar zero.</w:t>
            </w:r>
            <w:r w:rsidR="00C47393" w:rsidRPr="00C47393">
              <w:rPr>
                <w:sz w:val="24"/>
                <w:szCs w:val="24"/>
              </w:rPr>
              <w:t>În</w:t>
            </w:r>
            <w:r w:rsidR="00C47393" w:rsidRPr="00C20D09">
              <w:rPr>
                <w:sz w:val="24"/>
                <w:szCs w:val="24"/>
                <w:lang w:val="it-IT"/>
              </w:rPr>
              <w:t xml:space="preserve"> Olanda, caracterizată printr-un nivel scăzut al comisioanelor interbancare, s-a constatat o tendinţă pe scară largă de utilizare şi acceptare a cardurilor de plată, care înlocuieşte utilizarea numerarului.</w:t>
            </w:r>
          </w:p>
          <w:p w:rsidR="00DE3DAC" w:rsidRPr="009E319B" w:rsidRDefault="00DE3DAC" w:rsidP="000332CF">
            <w:pPr>
              <w:numPr>
                <w:ilvl w:val="0"/>
                <w:numId w:val="24"/>
              </w:numPr>
              <w:tabs>
                <w:tab w:val="left" w:pos="697"/>
                <w:tab w:val="left" w:pos="1560"/>
              </w:tabs>
              <w:autoSpaceDE w:val="0"/>
              <w:autoSpaceDN w:val="0"/>
              <w:adjustRightInd w:val="0"/>
              <w:ind w:left="697" w:hanging="697"/>
              <w:jc w:val="both"/>
              <w:rPr>
                <w:sz w:val="24"/>
                <w:szCs w:val="24"/>
              </w:rPr>
            </w:pPr>
            <w:r w:rsidRPr="009E319B">
              <w:rPr>
                <w:sz w:val="24"/>
                <w:szCs w:val="24"/>
              </w:rPr>
              <w:t>un grad ridicat de utilizare a cardurilor</w:t>
            </w:r>
            <w:r w:rsidRPr="009E319B">
              <w:rPr>
                <w:rFonts w:ascii="Arial" w:hAnsi="Arial" w:cs="Arial"/>
                <w:sz w:val="24"/>
                <w:szCs w:val="24"/>
              </w:rPr>
              <w:t xml:space="preserve"> </w:t>
            </w:r>
            <w:r w:rsidRPr="009E319B">
              <w:rPr>
                <w:sz w:val="24"/>
                <w:szCs w:val="24"/>
              </w:rPr>
              <w:t xml:space="preserve">va contribui la reducerea costurilor, încă semnificative, cu emiterea şi manipularea numerarului; </w:t>
            </w:r>
          </w:p>
          <w:p w:rsidR="00DE3DAC" w:rsidRDefault="00DE3DAC" w:rsidP="00D33870">
            <w:pPr>
              <w:numPr>
                <w:ilvl w:val="0"/>
                <w:numId w:val="24"/>
              </w:numPr>
              <w:autoSpaceDE w:val="0"/>
              <w:autoSpaceDN w:val="0"/>
              <w:adjustRightInd w:val="0"/>
              <w:ind w:left="697" w:hanging="697"/>
              <w:jc w:val="both"/>
              <w:rPr>
                <w:sz w:val="24"/>
                <w:szCs w:val="24"/>
              </w:rPr>
            </w:pPr>
            <w:r w:rsidRPr="009E319B">
              <w:rPr>
                <w:sz w:val="24"/>
                <w:szCs w:val="24"/>
              </w:rPr>
              <w:lastRenderedPageBreak/>
              <w:t>un grad ridicat de utilizare a cardurilor, în detrimentul numerarului, va contribui la reducerea evaziunii fiscale și a economiei subterane (chiar și o reducere parțială a economiei subterane are o mare importanță pentru veniturile bugetului de stat).</w:t>
            </w:r>
          </w:p>
          <w:p w:rsidR="0019493D" w:rsidRPr="0011563D" w:rsidRDefault="0019493D" w:rsidP="0019493D">
            <w:pPr>
              <w:pStyle w:val="ListParagraph"/>
              <w:overflowPunct/>
              <w:autoSpaceDE/>
              <w:autoSpaceDN/>
              <w:adjustRightInd/>
              <w:ind w:left="0"/>
              <w:contextualSpacing w:val="0"/>
              <w:jc w:val="both"/>
              <w:textAlignment w:val="auto"/>
              <w:rPr>
                <w:sz w:val="24"/>
                <w:szCs w:val="24"/>
                <w:lang w:val="ro-RO"/>
              </w:rPr>
            </w:pPr>
            <w:r w:rsidRPr="0011563D">
              <w:rPr>
                <w:sz w:val="24"/>
                <w:szCs w:val="24"/>
                <w:lang w:val="ro-RO"/>
              </w:rPr>
              <w:t>Se introduc următoarele obligaţii:</w:t>
            </w:r>
          </w:p>
          <w:p w:rsidR="0019493D" w:rsidRPr="0011563D" w:rsidRDefault="0019493D" w:rsidP="0019493D">
            <w:pPr>
              <w:pStyle w:val="ListParagraph"/>
              <w:overflowPunct/>
              <w:autoSpaceDE/>
              <w:autoSpaceDN/>
              <w:adjustRightInd/>
              <w:ind w:left="0"/>
              <w:contextualSpacing w:val="0"/>
              <w:jc w:val="both"/>
              <w:textAlignment w:val="auto"/>
              <w:rPr>
                <w:sz w:val="24"/>
                <w:szCs w:val="24"/>
                <w:lang w:val="ro-RO"/>
              </w:rPr>
            </w:pPr>
            <w:r w:rsidRPr="0011563D">
              <w:rPr>
                <w:sz w:val="24"/>
                <w:szCs w:val="24"/>
                <w:lang w:val="ro-RO"/>
              </w:rPr>
              <w:t>- pentru instituţiile emitente şi acceptante din România obligaţia de a respecta plafoanele maxime prevăzute de lege pentru comisioanele interbancare,</w:t>
            </w:r>
          </w:p>
          <w:p w:rsidR="0019493D" w:rsidRDefault="0019493D" w:rsidP="0019493D">
            <w:pPr>
              <w:pStyle w:val="ListParagraph"/>
              <w:overflowPunct/>
              <w:autoSpaceDE/>
              <w:autoSpaceDN/>
              <w:adjustRightInd/>
              <w:ind w:left="0"/>
              <w:contextualSpacing w:val="0"/>
              <w:jc w:val="both"/>
              <w:textAlignment w:val="auto"/>
              <w:rPr>
                <w:noProof/>
                <w:sz w:val="24"/>
                <w:szCs w:val="24"/>
              </w:rPr>
            </w:pPr>
            <w:r w:rsidRPr="0011563D">
              <w:rPr>
                <w:sz w:val="24"/>
                <w:szCs w:val="24"/>
                <w:lang w:val="ro-RO"/>
              </w:rPr>
              <w:t xml:space="preserve">- pentru </w:t>
            </w:r>
            <w:r w:rsidRPr="0011563D">
              <w:rPr>
                <w:noProof/>
                <w:sz w:val="24"/>
                <w:szCs w:val="24"/>
                <w:lang w:val="ro-RO"/>
              </w:rPr>
              <w:t xml:space="preserve">instituţiile acceptante obligaţia </w:t>
            </w:r>
            <w:r w:rsidRPr="0011563D">
              <w:rPr>
                <w:sz w:val="24"/>
                <w:szCs w:val="24"/>
                <w:lang w:val="ro-RO"/>
              </w:rPr>
              <w:t xml:space="preserve">de a include în acordurile </w:t>
            </w:r>
            <w:r w:rsidRPr="0011563D">
              <w:rPr>
                <w:noProof/>
                <w:sz w:val="24"/>
                <w:szCs w:val="24"/>
                <w:lang w:val="ro-RO"/>
              </w:rPr>
              <w:t>încheiate cu beneficiarii plăților informații detaliate referitoare la valoarea comisioanelor</w:t>
            </w:r>
            <w:r w:rsidRPr="006F32B1">
              <w:rPr>
                <w:noProof/>
                <w:sz w:val="24"/>
                <w:szCs w:val="24"/>
              </w:rPr>
              <w:t xml:space="preserve"> pentru serviciile prestate acestora, a comisioanelor interbancare, precum şi a comisioanelor suplimentare aplicate în funcţie de marca și categoria respectivelor carduri de plată</w:t>
            </w:r>
            <w:r>
              <w:rPr>
                <w:noProof/>
                <w:sz w:val="24"/>
                <w:szCs w:val="24"/>
              </w:rPr>
              <w:t xml:space="preserve">. </w:t>
            </w:r>
          </w:p>
          <w:p w:rsidR="0019493D" w:rsidRDefault="0019493D" w:rsidP="0019493D">
            <w:pPr>
              <w:autoSpaceDE w:val="0"/>
              <w:autoSpaceDN w:val="0"/>
              <w:adjustRightInd w:val="0"/>
              <w:jc w:val="both"/>
              <w:rPr>
                <w:sz w:val="24"/>
                <w:szCs w:val="24"/>
              </w:rPr>
            </w:pPr>
            <w:r>
              <w:rPr>
                <w:noProof/>
                <w:sz w:val="24"/>
                <w:szCs w:val="24"/>
              </w:rPr>
              <w:t xml:space="preserve">Nerespectarea acestor obligaţii se sancţionează cu amendă contravenţională. </w:t>
            </w:r>
            <w:r w:rsidRPr="00EB6B4A">
              <w:rPr>
                <w:sz w:val="24"/>
                <w:szCs w:val="24"/>
              </w:rPr>
              <w:t>Stabilirea unui maxim al amenzii contraventionale la 200.000 lei, prin derogare de la prevederile art.8 alin.(2) lit.a) din OG nr.2/2001 precum si excluderea aplicării măsurii avertismentului prevăzute la art.7 din OG 2/2001, are în vedere asigurarea unui caracter descurajant al sancţiunii. Potenţialul contravenient, în acest caz, este o instituţie de credit sau o instituţie financiară nebancară, astfel încât sancţiunea aplicată trebuie să fie corelată cu capacitatea sa financiară</w:t>
            </w:r>
          </w:p>
          <w:p w:rsidR="003900F9" w:rsidRPr="00BB7DC7" w:rsidRDefault="003900F9" w:rsidP="007F09C0">
            <w:pPr>
              <w:autoSpaceDE w:val="0"/>
              <w:autoSpaceDN w:val="0"/>
              <w:adjustRightInd w:val="0"/>
              <w:jc w:val="both"/>
              <w:rPr>
                <w:sz w:val="24"/>
                <w:szCs w:val="24"/>
              </w:rPr>
            </w:pPr>
          </w:p>
        </w:tc>
      </w:tr>
      <w:tr w:rsidR="00445AAE" w:rsidRPr="00BD05BD">
        <w:trPr>
          <w:trHeight w:val="316"/>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rPr>
                <w:b/>
                <w:bCs/>
                <w:sz w:val="24"/>
                <w:szCs w:val="24"/>
              </w:rPr>
            </w:pPr>
            <w:r w:rsidRPr="00BD05BD">
              <w:rPr>
                <w:b/>
                <w:bCs/>
                <w:sz w:val="24"/>
                <w:szCs w:val="24"/>
              </w:rPr>
              <w:lastRenderedPageBreak/>
              <w:t>3. Alte informaţii</w:t>
            </w:r>
          </w:p>
        </w:tc>
        <w:tc>
          <w:tcPr>
            <w:tcW w:w="7199" w:type="dxa"/>
            <w:gridSpan w:val="9"/>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EE16C4">
            <w:pPr>
              <w:jc w:val="both"/>
              <w:rPr>
                <w:bCs/>
                <w:sz w:val="24"/>
                <w:szCs w:val="24"/>
              </w:rPr>
            </w:pPr>
          </w:p>
        </w:tc>
      </w:tr>
      <w:tr w:rsidR="00445AAE" w:rsidRPr="00BD05BD">
        <w:trPr>
          <w:trHeight w:val="700"/>
        </w:trPr>
        <w:tc>
          <w:tcPr>
            <w:tcW w:w="10095" w:type="dxa"/>
            <w:gridSpan w:val="11"/>
            <w:tcBorders>
              <w:top w:val="single" w:sz="4" w:space="0" w:color="auto"/>
              <w:left w:val="single" w:sz="4" w:space="0" w:color="auto"/>
              <w:right w:val="single" w:sz="4" w:space="0" w:color="000000"/>
            </w:tcBorders>
            <w:shd w:val="clear" w:color="auto" w:fill="auto"/>
            <w:vAlign w:val="center"/>
          </w:tcPr>
          <w:p w:rsidR="00445AAE" w:rsidRPr="00BD05BD" w:rsidRDefault="00445AAE" w:rsidP="00445AAE">
            <w:pPr>
              <w:jc w:val="center"/>
              <w:rPr>
                <w:b/>
                <w:bCs/>
                <w:sz w:val="24"/>
                <w:szCs w:val="24"/>
              </w:rPr>
            </w:pPr>
            <w:r w:rsidRPr="00BD05BD">
              <w:rPr>
                <w:b/>
                <w:bCs/>
                <w:sz w:val="24"/>
                <w:szCs w:val="24"/>
              </w:rPr>
              <w:t>Secţiunea a 3-a</w:t>
            </w:r>
          </w:p>
          <w:p w:rsidR="000E0480" w:rsidRPr="00BD05BD" w:rsidRDefault="00445AAE" w:rsidP="00EE7C53">
            <w:pPr>
              <w:jc w:val="center"/>
              <w:rPr>
                <w:b/>
                <w:bCs/>
                <w:sz w:val="24"/>
                <w:szCs w:val="24"/>
              </w:rPr>
            </w:pPr>
            <w:r w:rsidRPr="00BD05BD">
              <w:rPr>
                <w:b/>
                <w:bCs/>
                <w:sz w:val="24"/>
                <w:szCs w:val="24"/>
              </w:rPr>
              <w:t>Impactul socioeconomic al proiectului de act normativ</w:t>
            </w:r>
          </w:p>
        </w:tc>
      </w:tr>
      <w:tr w:rsidR="00445AAE" w:rsidRPr="00BD05BD">
        <w:trPr>
          <w:trHeight w:val="477"/>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rPr>
                <w:b/>
                <w:bCs/>
                <w:sz w:val="24"/>
                <w:szCs w:val="24"/>
              </w:rPr>
            </w:pPr>
            <w:r w:rsidRPr="00BD05BD">
              <w:rPr>
                <w:b/>
                <w:bCs/>
                <w:sz w:val="24"/>
                <w:szCs w:val="24"/>
              </w:rPr>
              <w:t>1. Impactul macroeconomic</w:t>
            </w:r>
          </w:p>
        </w:tc>
        <w:tc>
          <w:tcPr>
            <w:tcW w:w="7199" w:type="dxa"/>
            <w:gridSpan w:val="9"/>
            <w:tcBorders>
              <w:top w:val="single" w:sz="4" w:space="0" w:color="auto"/>
              <w:left w:val="nil"/>
              <w:bottom w:val="single" w:sz="4" w:space="0" w:color="auto"/>
              <w:right w:val="single" w:sz="4" w:space="0" w:color="auto"/>
            </w:tcBorders>
            <w:shd w:val="clear" w:color="auto" w:fill="auto"/>
            <w:vAlign w:val="center"/>
          </w:tcPr>
          <w:p w:rsidR="00445AAE" w:rsidRPr="00E3353F" w:rsidRDefault="00E3353F" w:rsidP="00445AAE">
            <w:pPr>
              <w:pStyle w:val="TableText"/>
              <w:widowControl/>
              <w:jc w:val="both"/>
              <w:rPr>
                <w:bCs/>
                <w:lang w:val="ro-RO"/>
              </w:rPr>
            </w:pPr>
            <w:r w:rsidRPr="00E3353F">
              <w:rPr>
                <w:bCs/>
                <w:lang w:val="ro-RO"/>
              </w:rPr>
              <w:t>Impactul macroeconomic este pozitiv şi se manifestă, pe de o parte, prin reducerea evaziunii fiscale</w:t>
            </w:r>
            <w:r w:rsidR="008261A0">
              <w:rPr>
                <w:bCs/>
                <w:lang w:val="ro-RO"/>
              </w:rPr>
              <w:t>, iar, pe de altă parte,</w:t>
            </w:r>
            <w:r w:rsidRPr="00E3353F">
              <w:rPr>
                <w:bCs/>
                <w:lang w:val="ro-RO"/>
              </w:rPr>
              <w:t xml:space="preserve"> </w:t>
            </w:r>
            <w:r w:rsidR="008261A0" w:rsidRPr="008261A0">
              <w:rPr>
                <w:lang w:val="ro-RO"/>
              </w:rPr>
              <w:t>comisioanele mai mici</w:t>
            </w:r>
            <w:r w:rsidR="008261A0" w:rsidRPr="00C20D09">
              <w:t xml:space="preserve"> </w:t>
            </w:r>
            <w:r w:rsidR="008261A0" w:rsidRPr="008261A0">
              <w:rPr>
                <w:lang w:val="ro-RO"/>
              </w:rPr>
              <w:t xml:space="preserve">ar </w:t>
            </w:r>
            <w:r w:rsidR="00CC78A8" w:rsidRPr="00CC78A8">
              <w:rPr>
                <w:lang w:val="ro-RO"/>
              </w:rPr>
              <w:t>determina</w:t>
            </w:r>
            <w:r w:rsidR="008261A0" w:rsidRPr="00CC78A8">
              <w:rPr>
                <w:lang w:val="ro-RO"/>
              </w:rPr>
              <w:t xml:space="preserve"> </w:t>
            </w:r>
            <w:r w:rsidR="008261A0" w:rsidRPr="008261A0">
              <w:rPr>
                <w:lang w:val="ro-RO"/>
              </w:rPr>
              <w:t>economii la comercianții cu amănuntul, o parte din acestea fiind transferate consumatorilor, prin reducerea preţurilor de vânzare</w:t>
            </w:r>
            <w:r w:rsidR="008261A0" w:rsidRPr="008261A0" w:rsidDel="00497382">
              <w:rPr>
                <w:bCs/>
                <w:lang w:val="ro-RO"/>
              </w:rPr>
              <w:t xml:space="preserve"> </w:t>
            </w:r>
          </w:p>
        </w:tc>
      </w:tr>
      <w:tr w:rsidR="00445AAE" w:rsidRPr="00BD05BD">
        <w:trPr>
          <w:trHeight w:val="883"/>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rPr>
                <w:b/>
                <w:bCs/>
                <w:sz w:val="24"/>
                <w:szCs w:val="24"/>
              </w:rPr>
            </w:pPr>
            <w:r w:rsidRPr="00BD05BD">
              <w:rPr>
                <w:b/>
                <w:bCs/>
                <w:sz w:val="24"/>
                <w:szCs w:val="24"/>
              </w:rPr>
              <w:t>1</w:t>
            </w:r>
            <w:r w:rsidRPr="00BD05BD">
              <w:rPr>
                <w:b/>
                <w:bCs/>
                <w:sz w:val="24"/>
                <w:szCs w:val="24"/>
                <w:vertAlign w:val="superscript"/>
              </w:rPr>
              <w:t>1</w:t>
            </w:r>
            <w:r w:rsidRPr="00BD05BD">
              <w:rPr>
                <w:b/>
                <w:bCs/>
                <w:sz w:val="24"/>
                <w:szCs w:val="24"/>
              </w:rPr>
              <w:t xml:space="preserve"> Impactul asupra mediului concurenţial şi domeniului ajutoarelor de stat</w:t>
            </w:r>
          </w:p>
        </w:tc>
        <w:tc>
          <w:tcPr>
            <w:tcW w:w="7199" w:type="dxa"/>
            <w:gridSpan w:val="9"/>
            <w:tcBorders>
              <w:top w:val="single" w:sz="4" w:space="0" w:color="auto"/>
              <w:left w:val="nil"/>
              <w:bottom w:val="single" w:sz="4" w:space="0" w:color="auto"/>
              <w:right w:val="single" w:sz="4" w:space="0" w:color="auto"/>
            </w:tcBorders>
            <w:shd w:val="clear" w:color="auto" w:fill="auto"/>
            <w:vAlign w:val="center"/>
          </w:tcPr>
          <w:p w:rsidR="00445AAE" w:rsidRDefault="00445AAE" w:rsidP="00445AAE">
            <w:pPr>
              <w:jc w:val="both"/>
              <w:rPr>
                <w:sz w:val="24"/>
                <w:szCs w:val="24"/>
                <w:lang/>
              </w:rPr>
            </w:pPr>
            <w:r w:rsidRPr="00BD05BD">
              <w:rPr>
                <w:sz w:val="24"/>
                <w:szCs w:val="24"/>
              </w:rPr>
              <w:t xml:space="preserve">Proiectul de act normativ nu creează distorsiuni ale mecanismelor concurenţiale existente şi nu are impact asupra domeniului </w:t>
            </w:r>
            <w:r w:rsidRPr="00BD05BD">
              <w:rPr>
                <w:sz w:val="24"/>
                <w:szCs w:val="24"/>
                <w:lang/>
              </w:rPr>
              <w:t>ajutoarelor de stat.</w:t>
            </w:r>
          </w:p>
          <w:p w:rsidR="00445AAE" w:rsidRPr="00BD05BD" w:rsidRDefault="00445AAE" w:rsidP="00445AAE">
            <w:pPr>
              <w:jc w:val="both"/>
              <w:rPr>
                <w:sz w:val="24"/>
                <w:szCs w:val="24"/>
              </w:rPr>
            </w:pPr>
          </w:p>
        </w:tc>
      </w:tr>
      <w:tr w:rsidR="00445AAE" w:rsidRPr="00BD05BD">
        <w:trPr>
          <w:trHeight w:val="354"/>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rPr>
                <w:b/>
                <w:bCs/>
                <w:sz w:val="24"/>
                <w:szCs w:val="24"/>
              </w:rPr>
            </w:pPr>
            <w:r w:rsidRPr="00BD05BD">
              <w:rPr>
                <w:b/>
                <w:bCs/>
                <w:sz w:val="24"/>
                <w:szCs w:val="24"/>
              </w:rPr>
              <w:t>2. Impactul asupra mediului de afaceri</w:t>
            </w:r>
          </w:p>
        </w:tc>
        <w:tc>
          <w:tcPr>
            <w:tcW w:w="7199" w:type="dxa"/>
            <w:gridSpan w:val="9"/>
            <w:tcBorders>
              <w:top w:val="single" w:sz="4" w:space="0" w:color="auto"/>
              <w:left w:val="nil"/>
              <w:bottom w:val="single" w:sz="4" w:space="0" w:color="auto"/>
              <w:right w:val="single" w:sz="4" w:space="0" w:color="auto"/>
            </w:tcBorders>
            <w:shd w:val="clear" w:color="auto" w:fill="auto"/>
            <w:vAlign w:val="center"/>
          </w:tcPr>
          <w:p w:rsidR="00445AAE" w:rsidRPr="00CC78A8" w:rsidRDefault="00445AAE" w:rsidP="00445AAE">
            <w:pPr>
              <w:pStyle w:val="DefaultText"/>
              <w:ind w:left="26" w:firstLine="201"/>
              <w:jc w:val="both"/>
              <w:rPr>
                <w:lang w:val="ro-RO"/>
              </w:rPr>
            </w:pPr>
            <w:r w:rsidRPr="00CC78A8">
              <w:rPr>
                <w:color w:val="000000"/>
                <w:lang w:val="ro-RO"/>
              </w:rPr>
              <w:t>Prezentul act normativ are un impact semnificativ asupra mediului de afaceri .</w:t>
            </w:r>
          </w:p>
        </w:tc>
      </w:tr>
      <w:tr w:rsidR="00445AAE" w:rsidRPr="00BD05BD">
        <w:trPr>
          <w:trHeight w:val="429"/>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spacing w:before="120" w:after="120"/>
              <w:rPr>
                <w:b/>
                <w:bCs/>
                <w:sz w:val="24"/>
                <w:szCs w:val="24"/>
              </w:rPr>
            </w:pPr>
            <w:r w:rsidRPr="00BD05BD">
              <w:rPr>
                <w:b/>
                <w:bCs/>
                <w:sz w:val="24"/>
                <w:szCs w:val="24"/>
              </w:rPr>
              <w:t>3. Impactul social</w:t>
            </w:r>
          </w:p>
        </w:tc>
        <w:tc>
          <w:tcPr>
            <w:tcW w:w="7199" w:type="dxa"/>
            <w:gridSpan w:val="9"/>
            <w:tcBorders>
              <w:top w:val="single" w:sz="4" w:space="0" w:color="auto"/>
              <w:left w:val="nil"/>
              <w:bottom w:val="single" w:sz="4" w:space="0" w:color="auto"/>
              <w:right w:val="single" w:sz="4" w:space="0" w:color="000000"/>
            </w:tcBorders>
            <w:shd w:val="clear" w:color="auto" w:fill="auto"/>
            <w:vAlign w:val="center"/>
          </w:tcPr>
          <w:p w:rsidR="00445AAE" w:rsidRPr="00BD05BD" w:rsidRDefault="00445AAE" w:rsidP="00EE7C53">
            <w:pPr>
              <w:pStyle w:val="DefaultText"/>
              <w:jc w:val="both"/>
              <w:rPr>
                <w:lang w:val="ro-RO"/>
              </w:rPr>
            </w:pPr>
          </w:p>
        </w:tc>
      </w:tr>
      <w:tr w:rsidR="00445AAE" w:rsidRPr="00BD05BD">
        <w:trPr>
          <w:trHeight w:val="238"/>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spacing w:before="120" w:after="120"/>
              <w:rPr>
                <w:b/>
                <w:bCs/>
                <w:sz w:val="24"/>
                <w:szCs w:val="24"/>
              </w:rPr>
            </w:pPr>
            <w:r w:rsidRPr="00BD05BD">
              <w:rPr>
                <w:b/>
                <w:bCs/>
                <w:sz w:val="24"/>
                <w:szCs w:val="24"/>
              </w:rPr>
              <w:t>4. Impactul asupra mediului</w:t>
            </w:r>
          </w:p>
        </w:tc>
        <w:tc>
          <w:tcPr>
            <w:tcW w:w="7199" w:type="dxa"/>
            <w:gridSpan w:val="9"/>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pStyle w:val="TableText"/>
              <w:widowControl/>
              <w:jc w:val="both"/>
              <w:rPr>
                <w:lang w:val="ro-RO"/>
              </w:rPr>
            </w:pPr>
            <w:r w:rsidRPr="00BD05BD">
              <w:rPr>
                <w:lang w:val="ro-RO"/>
              </w:rPr>
              <w:t>Prezentul proiect de act normativ nu are impact asupra mediului</w:t>
            </w:r>
          </w:p>
        </w:tc>
      </w:tr>
      <w:tr w:rsidR="00445AAE" w:rsidRPr="00BD05BD">
        <w:trPr>
          <w:trHeight w:val="237"/>
        </w:trPr>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spacing w:before="120" w:after="120"/>
              <w:rPr>
                <w:b/>
                <w:bCs/>
                <w:sz w:val="24"/>
                <w:szCs w:val="24"/>
              </w:rPr>
            </w:pPr>
            <w:r w:rsidRPr="00BD05BD">
              <w:rPr>
                <w:b/>
                <w:bCs/>
                <w:sz w:val="24"/>
                <w:szCs w:val="24"/>
              </w:rPr>
              <w:t>5. Alte informaţii</w:t>
            </w:r>
          </w:p>
        </w:tc>
        <w:tc>
          <w:tcPr>
            <w:tcW w:w="7199" w:type="dxa"/>
            <w:gridSpan w:val="9"/>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rPr>
                <w:sz w:val="24"/>
                <w:szCs w:val="24"/>
              </w:rPr>
            </w:pPr>
            <w:r w:rsidRPr="00BD05BD">
              <w:rPr>
                <w:sz w:val="24"/>
                <w:szCs w:val="24"/>
              </w:rPr>
              <w:t>Nu au fost identificate.</w:t>
            </w:r>
          </w:p>
        </w:tc>
      </w:tr>
      <w:tr w:rsidR="00445AAE" w:rsidRPr="00BD05BD">
        <w:trPr>
          <w:trHeight w:val="926"/>
        </w:trPr>
        <w:tc>
          <w:tcPr>
            <w:tcW w:w="10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AE" w:rsidRDefault="00445AAE" w:rsidP="00445AAE">
            <w:pPr>
              <w:jc w:val="center"/>
              <w:rPr>
                <w:b/>
                <w:bCs/>
                <w:sz w:val="24"/>
                <w:szCs w:val="24"/>
              </w:rPr>
            </w:pPr>
            <w:r w:rsidRPr="00BD05BD">
              <w:rPr>
                <w:b/>
                <w:bCs/>
                <w:sz w:val="24"/>
                <w:szCs w:val="24"/>
              </w:rPr>
              <w:t>Secţiunea a 4-a</w:t>
            </w:r>
          </w:p>
          <w:p w:rsidR="007E63B8" w:rsidRPr="00BD05BD" w:rsidRDefault="00445AAE" w:rsidP="00EE7C53">
            <w:pPr>
              <w:jc w:val="center"/>
              <w:rPr>
                <w:b/>
                <w:bCs/>
                <w:sz w:val="24"/>
                <w:szCs w:val="24"/>
              </w:rPr>
            </w:pPr>
            <w:r w:rsidRPr="00BD05BD">
              <w:rPr>
                <w:b/>
                <w:bCs/>
                <w:sz w:val="24"/>
                <w:szCs w:val="24"/>
              </w:rPr>
              <w:t>Impactul financiar asupra bugetului general consolidat, atât pe termen scurt, pentru anul curent, cât şi pe termen lung (pe 5 ani)</w:t>
            </w:r>
          </w:p>
        </w:tc>
      </w:tr>
      <w:tr w:rsidR="00445AAE" w:rsidRPr="00BD05BD">
        <w:trPr>
          <w:trHeight w:val="80"/>
        </w:trPr>
        <w:tc>
          <w:tcPr>
            <w:tcW w:w="10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right"/>
              <w:rPr>
                <w:sz w:val="24"/>
                <w:szCs w:val="24"/>
              </w:rPr>
            </w:pPr>
            <w:r w:rsidRPr="00BD05BD">
              <w:rPr>
                <w:sz w:val="24"/>
                <w:szCs w:val="24"/>
              </w:rPr>
              <w:t>- mil. lei -</w:t>
            </w:r>
          </w:p>
        </w:tc>
      </w:tr>
      <w:tr w:rsidR="00445AAE" w:rsidRPr="00BD05BD">
        <w:trPr>
          <w:trHeight w:val="276"/>
        </w:trPr>
        <w:tc>
          <w:tcPr>
            <w:tcW w:w="2494" w:type="dxa"/>
            <w:vMerge w:val="restart"/>
            <w:tcBorders>
              <w:top w:val="single" w:sz="4" w:space="0" w:color="auto"/>
              <w:left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Indicatori</w:t>
            </w:r>
          </w:p>
        </w:tc>
        <w:tc>
          <w:tcPr>
            <w:tcW w:w="2110" w:type="dxa"/>
            <w:gridSpan w:val="4"/>
            <w:vMerge w:val="restart"/>
            <w:tcBorders>
              <w:top w:val="single" w:sz="4" w:space="0" w:color="auto"/>
              <w:left w:val="nil"/>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Anul curent 201</w:t>
            </w:r>
            <w:r w:rsidR="008B00C9">
              <w:rPr>
                <w:b/>
                <w:bCs/>
                <w:sz w:val="24"/>
                <w:szCs w:val="24"/>
              </w:rPr>
              <w:t>4</w:t>
            </w:r>
          </w:p>
        </w:tc>
        <w:tc>
          <w:tcPr>
            <w:tcW w:w="3502" w:type="dxa"/>
            <w:gridSpan w:val="4"/>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Următorii 4 ani</w:t>
            </w:r>
          </w:p>
        </w:tc>
        <w:tc>
          <w:tcPr>
            <w:tcW w:w="1989" w:type="dxa"/>
            <w:gridSpan w:val="2"/>
            <w:tcBorders>
              <w:top w:val="single" w:sz="4" w:space="0" w:color="auto"/>
              <w:left w:val="nil"/>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Media pe 5 ani</w:t>
            </w:r>
          </w:p>
        </w:tc>
      </w:tr>
      <w:tr w:rsidR="00445AAE" w:rsidRPr="00BD05BD">
        <w:trPr>
          <w:trHeight w:val="275"/>
        </w:trPr>
        <w:tc>
          <w:tcPr>
            <w:tcW w:w="2494" w:type="dxa"/>
            <w:vMerge/>
            <w:tcBorders>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p>
        </w:tc>
        <w:tc>
          <w:tcPr>
            <w:tcW w:w="2110" w:type="dxa"/>
            <w:gridSpan w:val="4"/>
            <w:vMerge/>
            <w:tcBorders>
              <w:left w:val="nil"/>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p>
        </w:tc>
        <w:tc>
          <w:tcPr>
            <w:tcW w:w="890" w:type="dxa"/>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201</w:t>
            </w:r>
            <w:r w:rsidR="008B00C9">
              <w:rPr>
                <w:b/>
                <w:bCs/>
                <w:sz w:val="24"/>
                <w:szCs w:val="24"/>
              </w:rPr>
              <w:t>5</w:t>
            </w:r>
          </w:p>
        </w:tc>
        <w:tc>
          <w:tcPr>
            <w:tcW w:w="906" w:type="dxa"/>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201</w:t>
            </w:r>
            <w:r w:rsidR="008B00C9">
              <w:rPr>
                <w:b/>
                <w:bCs/>
                <w:sz w:val="24"/>
                <w:szCs w:val="24"/>
              </w:rPr>
              <w:t>6</w:t>
            </w:r>
          </w:p>
        </w:tc>
        <w:tc>
          <w:tcPr>
            <w:tcW w:w="900" w:type="dxa"/>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201</w:t>
            </w:r>
            <w:r w:rsidR="008B00C9">
              <w:rPr>
                <w:b/>
                <w:bCs/>
                <w:sz w:val="24"/>
                <w:szCs w:val="24"/>
              </w:rPr>
              <w:t>7</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201</w:t>
            </w:r>
            <w:r w:rsidR="008B00C9">
              <w:rPr>
                <w:b/>
                <w:bCs/>
                <w:sz w:val="24"/>
                <w:szCs w:val="24"/>
              </w:rPr>
              <w:t>8</w:t>
            </w:r>
          </w:p>
        </w:tc>
        <w:tc>
          <w:tcPr>
            <w:tcW w:w="1979" w:type="dxa"/>
            <w:tcBorders>
              <w:left w:val="nil"/>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p>
        </w:tc>
      </w:tr>
      <w:tr w:rsidR="00445AAE" w:rsidRPr="00BD05BD">
        <w:trPr>
          <w:trHeight w:val="240"/>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r w:rsidRPr="00BD05BD">
              <w:rPr>
                <w:sz w:val="24"/>
                <w:szCs w:val="24"/>
              </w:rPr>
              <w:t>1</w:t>
            </w:r>
          </w:p>
        </w:tc>
        <w:tc>
          <w:tcPr>
            <w:tcW w:w="2110" w:type="dxa"/>
            <w:gridSpan w:val="4"/>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r w:rsidRPr="00BD05BD">
              <w:rPr>
                <w:sz w:val="24"/>
                <w:szCs w:val="24"/>
              </w:rPr>
              <w:t>2</w:t>
            </w:r>
          </w:p>
        </w:tc>
        <w:tc>
          <w:tcPr>
            <w:tcW w:w="890" w:type="dxa"/>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r w:rsidRPr="00BD05BD">
              <w:rPr>
                <w:sz w:val="24"/>
                <w:szCs w:val="24"/>
              </w:rPr>
              <w:t>3</w:t>
            </w:r>
          </w:p>
        </w:tc>
        <w:tc>
          <w:tcPr>
            <w:tcW w:w="906" w:type="dxa"/>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r w:rsidRPr="00BD05BD">
              <w:rPr>
                <w:sz w:val="24"/>
                <w:szCs w:val="24"/>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r w:rsidRPr="00BD05BD">
              <w:rPr>
                <w:sz w:val="24"/>
                <w:szCs w:val="24"/>
              </w:rPr>
              <w:t>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r w:rsidRPr="00BD05BD">
              <w:rPr>
                <w:sz w:val="24"/>
                <w:szCs w:val="24"/>
              </w:rPr>
              <w:t>6</w:t>
            </w:r>
          </w:p>
        </w:tc>
        <w:tc>
          <w:tcPr>
            <w:tcW w:w="1979" w:type="dxa"/>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r w:rsidRPr="00BD05BD">
              <w:rPr>
                <w:sz w:val="24"/>
                <w:szCs w:val="24"/>
              </w:rPr>
              <w:t>7</w:t>
            </w:r>
          </w:p>
        </w:tc>
      </w:tr>
      <w:tr w:rsidR="00445AAE" w:rsidRPr="00BD05BD">
        <w:trPr>
          <w:trHeight w:val="882"/>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7761BE" w:rsidRPr="007761BE" w:rsidRDefault="007761BE" w:rsidP="007761BE">
            <w:pPr>
              <w:jc w:val="both"/>
              <w:rPr>
                <w:b/>
                <w:bCs/>
                <w:sz w:val="24"/>
                <w:szCs w:val="24"/>
              </w:rPr>
            </w:pPr>
            <w:r w:rsidRPr="007761BE">
              <w:rPr>
                <w:b/>
                <w:bCs/>
                <w:sz w:val="24"/>
                <w:szCs w:val="24"/>
              </w:rPr>
              <w:t xml:space="preserve">1.Modificări ale veniturilor </w:t>
            </w:r>
          </w:p>
          <w:p w:rsidR="00445AAE" w:rsidRPr="00BD05BD" w:rsidRDefault="007761BE" w:rsidP="007761BE">
            <w:pPr>
              <w:jc w:val="both"/>
              <w:rPr>
                <w:b/>
                <w:bCs/>
                <w:sz w:val="24"/>
                <w:szCs w:val="24"/>
              </w:rPr>
            </w:pPr>
            <w:r w:rsidRPr="007761BE">
              <w:rPr>
                <w:b/>
                <w:bCs/>
                <w:sz w:val="24"/>
                <w:szCs w:val="24"/>
              </w:rPr>
              <w:t>bugetului general consolidat</w:t>
            </w:r>
          </w:p>
        </w:tc>
        <w:tc>
          <w:tcPr>
            <w:tcW w:w="21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CC78A8" w:rsidP="00445AAE">
            <w:pPr>
              <w:jc w:val="center"/>
              <w:rPr>
                <w:b/>
                <w:sz w:val="24"/>
                <w:szCs w:val="24"/>
              </w:rPr>
            </w:pPr>
            <w:r>
              <w:rPr>
                <w:b/>
                <w:sz w:val="24"/>
                <w:szCs w:val="24"/>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0641DF" w:rsidRDefault="00A965FE" w:rsidP="00445AAE">
            <w:pPr>
              <w:jc w:val="center"/>
              <w:rPr>
                <w:sz w:val="21"/>
                <w:szCs w:val="21"/>
              </w:rPr>
            </w:pPr>
            <w:r>
              <w:rPr>
                <w:sz w:val="21"/>
                <w:szCs w:val="21"/>
              </w:rPr>
              <w:t xml:space="preserve">- </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CB195E" w:rsidRDefault="00A965FE" w:rsidP="00445AAE">
            <w:pPr>
              <w:jc w:val="center"/>
              <w:rPr>
                <w:sz w:val="22"/>
                <w:szCs w:val="22"/>
              </w:rPr>
            </w:pPr>
            <w:r>
              <w:rPr>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A965FE" w:rsidP="00445AAE">
            <w:pPr>
              <w:jc w:val="center"/>
              <w:rPr>
                <w:sz w:val="24"/>
                <w:szCs w:val="24"/>
              </w:rPr>
            </w:pPr>
            <w:r>
              <w:rPr>
                <w:sz w:val="22"/>
                <w:szCs w:val="22"/>
              </w:rPr>
              <w:t xml:space="preserve">- </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CB195E" w:rsidRDefault="00445AAE" w:rsidP="00445AAE">
            <w:pPr>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r>
      <w:tr w:rsidR="00445AAE" w:rsidRPr="00BD05BD">
        <w:trPr>
          <w:trHeight w:val="803"/>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spacing w:before="120"/>
              <w:jc w:val="both"/>
              <w:rPr>
                <w:b/>
                <w:bCs/>
                <w:sz w:val="24"/>
                <w:szCs w:val="24"/>
              </w:rPr>
            </w:pPr>
            <w:r w:rsidRPr="00BD05BD">
              <w:rPr>
                <w:b/>
                <w:bCs/>
                <w:sz w:val="24"/>
                <w:szCs w:val="24"/>
              </w:rPr>
              <w:lastRenderedPageBreak/>
              <w:t>2) Modificări ale cheltuielilor bugetare, plus/minus, din care:</w:t>
            </w:r>
          </w:p>
        </w:tc>
        <w:tc>
          <w:tcPr>
            <w:tcW w:w="21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spacing w:before="120"/>
              <w:jc w:val="center"/>
              <w:rPr>
                <w:sz w:val="24"/>
                <w:szCs w:val="24"/>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spacing w:before="120"/>
              <w:jc w:val="center"/>
              <w:rPr>
                <w:sz w:val="24"/>
                <w:szCs w:val="24"/>
              </w:rPr>
            </w:pPr>
          </w:p>
        </w:tc>
      </w:tr>
      <w:tr w:rsidR="00445AAE" w:rsidRPr="00BD05BD">
        <w:trPr>
          <w:trHeight w:val="649"/>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3) Impact financiar, plus/minus, din care:</w:t>
            </w:r>
          </w:p>
        </w:tc>
        <w:tc>
          <w:tcPr>
            <w:tcW w:w="21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sz w:val="24"/>
                <w:szCs w:val="24"/>
              </w:rPr>
            </w:pPr>
          </w:p>
        </w:tc>
      </w:tr>
      <w:tr w:rsidR="00445AAE" w:rsidRPr="00BD05BD">
        <w:trPr>
          <w:trHeight w:val="771"/>
        </w:trPr>
        <w:tc>
          <w:tcPr>
            <w:tcW w:w="10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0449C" w:rsidRPr="00FC2B27" w:rsidRDefault="00FC2B27" w:rsidP="00A0449C">
            <w:pPr>
              <w:jc w:val="both"/>
              <w:rPr>
                <w:bCs/>
                <w:sz w:val="24"/>
                <w:szCs w:val="24"/>
              </w:rPr>
            </w:pPr>
            <w:r>
              <w:rPr>
                <w:bCs/>
                <w:sz w:val="24"/>
                <w:szCs w:val="24"/>
              </w:rPr>
              <w:t xml:space="preserve">În viitor, măsurile cuprinse în proiectul de lege vor conduce la creşterea nivelului veniturilor bugetare, ca urmare a </w:t>
            </w:r>
            <w:r w:rsidR="005D5198">
              <w:rPr>
                <w:bCs/>
                <w:sz w:val="24"/>
                <w:szCs w:val="24"/>
              </w:rPr>
              <w:t>reducerii evaziunii fiscale prin stabilirea unei trasabilităţi a fluxurilor băneşti prin operaţiuni bancare.</w:t>
            </w:r>
          </w:p>
          <w:p w:rsidR="00A0449C" w:rsidRDefault="00A0449C" w:rsidP="00445AAE">
            <w:pPr>
              <w:jc w:val="center"/>
              <w:rPr>
                <w:b/>
                <w:bCs/>
                <w:sz w:val="24"/>
                <w:szCs w:val="24"/>
              </w:rPr>
            </w:pPr>
          </w:p>
          <w:p w:rsidR="00CC08DD" w:rsidRDefault="00CC08DD" w:rsidP="00445AAE">
            <w:pPr>
              <w:jc w:val="center"/>
              <w:rPr>
                <w:b/>
                <w:bCs/>
                <w:sz w:val="24"/>
                <w:szCs w:val="24"/>
              </w:rPr>
            </w:pPr>
          </w:p>
          <w:p w:rsidR="00445AAE" w:rsidRDefault="00445AAE" w:rsidP="00445AAE">
            <w:pPr>
              <w:jc w:val="center"/>
              <w:rPr>
                <w:b/>
                <w:bCs/>
                <w:sz w:val="24"/>
                <w:szCs w:val="24"/>
              </w:rPr>
            </w:pPr>
            <w:r w:rsidRPr="00BD05BD">
              <w:rPr>
                <w:b/>
                <w:bCs/>
                <w:sz w:val="24"/>
                <w:szCs w:val="24"/>
              </w:rPr>
              <w:t>Secţiunea a 5-a</w:t>
            </w:r>
          </w:p>
          <w:p w:rsidR="007E63B8" w:rsidRPr="00BD05BD" w:rsidRDefault="00445AAE" w:rsidP="00EE7C53">
            <w:pPr>
              <w:jc w:val="center"/>
              <w:rPr>
                <w:b/>
                <w:bCs/>
                <w:sz w:val="24"/>
                <w:szCs w:val="24"/>
              </w:rPr>
            </w:pPr>
            <w:r w:rsidRPr="00BD05BD">
              <w:rPr>
                <w:b/>
                <w:bCs/>
                <w:sz w:val="24"/>
                <w:szCs w:val="24"/>
              </w:rPr>
              <w:t>Efectele proiectului de act normativ asupra legislaţiei în vigoare</w:t>
            </w:r>
          </w:p>
        </w:tc>
      </w:tr>
      <w:tr w:rsidR="00445AAE" w:rsidRPr="00BD05BD">
        <w:trPr>
          <w:trHeight w:val="316"/>
        </w:trPr>
        <w:tc>
          <w:tcPr>
            <w:tcW w:w="2963" w:type="dxa"/>
            <w:gridSpan w:val="3"/>
            <w:tcBorders>
              <w:top w:val="single" w:sz="4" w:space="0" w:color="auto"/>
              <w:left w:val="single" w:sz="4" w:space="0" w:color="auto"/>
              <w:bottom w:val="single" w:sz="4" w:space="0" w:color="auto"/>
              <w:right w:val="single" w:sz="4" w:space="0" w:color="auto"/>
            </w:tcBorders>
            <w:shd w:val="clear" w:color="auto" w:fill="auto"/>
          </w:tcPr>
          <w:p w:rsidR="00445AAE" w:rsidRPr="00BD05BD" w:rsidRDefault="00445AAE" w:rsidP="00445AAE">
            <w:pPr>
              <w:jc w:val="both"/>
              <w:rPr>
                <w:b/>
                <w:sz w:val="24"/>
                <w:szCs w:val="24"/>
              </w:rPr>
            </w:pPr>
            <w:r w:rsidRPr="00BD05BD">
              <w:rPr>
                <w:b/>
                <w:iCs/>
                <w:sz w:val="24"/>
                <w:szCs w:val="24"/>
              </w:rPr>
              <w:t>1.</w:t>
            </w:r>
            <w:r w:rsidRPr="00BD05BD">
              <w:rPr>
                <w:b/>
                <w:sz w:val="24"/>
                <w:szCs w:val="24"/>
              </w:rPr>
              <w:t xml:space="preserve"> Măsuri normative necesare pentru aplicarea prevederilor proiectului de act normativ</w:t>
            </w:r>
          </w:p>
          <w:p w:rsidR="00445AAE" w:rsidRPr="00BD05BD" w:rsidRDefault="00445AAE" w:rsidP="00445AAE">
            <w:pPr>
              <w:jc w:val="both"/>
              <w:rPr>
                <w:b/>
                <w:bCs/>
                <w:sz w:val="24"/>
                <w:szCs w:val="24"/>
              </w:rPr>
            </w:pPr>
          </w:p>
        </w:tc>
        <w:tc>
          <w:tcPr>
            <w:tcW w:w="7132" w:type="dxa"/>
            <w:gridSpan w:val="8"/>
            <w:tcBorders>
              <w:top w:val="single" w:sz="4" w:space="0" w:color="auto"/>
              <w:left w:val="nil"/>
              <w:bottom w:val="single" w:sz="4" w:space="0" w:color="auto"/>
              <w:right w:val="single" w:sz="4" w:space="0" w:color="auto"/>
            </w:tcBorders>
            <w:shd w:val="clear" w:color="auto" w:fill="auto"/>
          </w:tcPr>
          <w:p w:rsidR="00445AAE" w:rsidRPr="00BD05BD" w:rsidRDefault="003156E9" w:rsidP="00445AAE">
            <w:pPr>
              <w:autoSpaceDE w:val="0"/>
              <w:autoSpaceDN w:val="0"/>
              <w:adjustRightInd w:val="0"/>
              <w:jc w:val="both"/>
              <w:rPr>
                <w:sz w:val="24"/>
                <w:szCs w:val="24"/>
                <w:lang w:eastAsia="en-US"/>
              </w:rPr>
            </w:pPr>
            <w:r>
              <w:rPr>
                <w:sz w:val="24"/>
                <w:szCs w:val="24"/>
              </w:rPr>
              <w:t xml:space="preserve">În urma adoptării proiectului de lege urmează să se </w:t>
            </w:r>
            <w:r w:rsidR="007A2E89">
              <w:rPr>
                <w:sz w:val="24"/>
                <w:szCs w:val="24"/>
              </w:rPr>
              <w:t xml:space="preserve">modifice </w:t>
            </w:r>
            <w:r w:rsidR="007A2E89" w:rsidRPr="007A2E89">
              <w:rPr>
                <w:sz w:val="24"/>
                <w:szCs w:val="24"/>
              </w:rPr>
              <w:t>Normele metodologice pentru aplicarea prevederilor Ordonanţei de urgenţă a Guvernului nr. 193/2002 privind introducerea sistemelor moderne de plată, aprobate prin Hotărârea Guvernului nr. 1253/2003</w:t>
            </w:r>
          </w:p>
        </w:tc>
      </w:tr>
      <w:tr w:rsidR="00445AAE" w:rsidRPr="00BD05BD">
        <w:trPr>
          <w:trHeight w:val="862"/>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sz w:val="24"/>
                <w:szCs w:val="24"/>
              </w:rPr>
            </w:pPr>
            <w:r w:rsidRPr="00BD05BD">
              <w:rPr>
                <w:b/>
                <w:bCs/>
                <w:sz w:val="24"/>
                <w:szCs w:val="24"/>
              </w:rPr>
              <w:t>2)</w:t>
            </w:r>
            <w:r w:rsidRPr="00BD05BD">
              <w:rPr>
                <w:b/>
                <w:sz w:val="24"/>
                <w:szCs w:val="24"/>
              </w:rPr>
              <w:t>Conformitatea proiectului de act normativ cu legislaţia comunitară în cazul proiectelor ce transpun prevederi comunitare</w:t>
            </w:r>
          </w:p>
        </w:tc>
        <w:tc>
          <w:tcPr>
            <w:tcW w:w="7132" w:type="dxa"/>
            <w:gridSpan w:val="8"/>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both"/>
              <w:rPr>
                <w:sz w:val="24"/>
                <w:szCs w:val="24"/>
              </w:rPr>
            </w:pPr>
            <w:r w:rsidRPr="00BD05BD">
              <w:rPr>
                <w:sz w:val="24"/>
                <w:szCs w:val="24"/>
              </w:rPr>
              <w:t>Prevederile proiectului sunt conforme cu acquis-ul comunitar.</w:t>
            </w:r>
          </w:p>
        </w:tc>
      </w:tr>
      <w:tr w:rsidR="00445AAE" w:rsidRPr="00BD05BD">
        <w:trPr>
          <w:trHeight w:val="675"/>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sz w:val="24"/>
                <w:szCs w:val="24"/>
              </w:rPr>
            </w:pPr>
            <w:r w:rsidRPr="00BD05BD">
              <w:rPr>
                <w:b/>
                <w:bCs/>
                <w:sz w:val="24"/>
                <w:szCs w:val="24"/>
              </w:rPr>
              <w:t>3)</w:t>
            </w:r>
            <w:r w:rsidRPr="00BD05BD">
              <w:rPr>
                <w:b/>
                <w:sz w:val="24"/>
                <w:szCs w:val="24"/>
              </w:rPr>
              <w:t>Măsuri normative necesare aplicării directe a actelor normative comunitare</w:t>
            </w:r>
          </w:p>
        </w:tc>
        <w:tc>
          <w:tcPr>
            <w:tcW w:w="7132" w:type="dxa"/>
            <w:gridSpan w:val="8"/>
            <w:tcBorders>
              <w:top w:val="single" w:sz="4" w:space="0" w:color="auto"/>
              <w:left w:val="nil"/>
              <w:bottom w:val="single" w:sz="4" w:space="0" w:color="auto"/>
              <w:right w:val="single" w:sz="4" w:space="0" w:color="auto"/>
            </w:tcBorders>
            <w:shd w:val="clear" w:color="auto" w:fill="auto"/>
            <w:vAlign w:val="center"/>
          </w:tcPr>
          <w:p w:rsidR="00445AAE" w:rsidRDefault="00445AAE" w:rsidP="00445AAE">
            <w:pPr>
              <w:jc w:val="both"/>
              <w:rPr>
                <w:sz w:val="24"/>
                <w:szCs w:val="24"/>
              </w:rPr>
            </w:pPr>
            <w:r w:rsidRPr="00BD05BD">
              <w:rPr>
                <w:sz w:val="24"/>
                <w:szCs w:val="24"/>
              </w:rPr>
              <w:t>Nu este cazul.</w:t>
            </w:r>
          </w:p>
          <w:p w:rsidR="00445AAE" w:rsidRPr="00BD05BD" w:rsidRDefault="00445AAE" w:rsidP="00445AAE">
            <w:pPr>
              <w:jc w:val="both"/>
              <w:rPr>
                <w:sz w:val="24"/>
                <w:szCs w:val="24"/>
              </w:rPr>
            </w:pPr>
          </w:p>
        </w:tc>
      </w:tr>
      <w:tr w:rsidR="00445AAE" w:rsidRPr="00BD05BD">
        <w:trPr>
          <w:trHeight w:val="831"/>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sz w:val="24"/>
                <w:szCs w:val="24"/>
              </w:rPr>
            </w:pPr>
            <w:r w:rsidRPr="00BD05BD">
              <w:rPr>
                <w:b/>
                <w:bCs/>
                <w:sz w:val="24"/>
                <w:szCs w:val="24"/>
              </w:rPr>
              <w:t xml:space="preserve">4) </w:t>
            </w:r>
            <w:r w:rsidRPr="00BD05BD">
              <w:rPr>
                <w:b/>
                <w:sz w:val="24"/>
                <w:szCs w:val="24"/>
              </w:rPr>
              <w:t>Hotărâri ale Curţii de Justiţie a Uniunii Europene</w:t>
            </w:r>
          </w:p>
        </w:tc>
        <w:tc>
          <w:tcPr>
            <w:tcW w:w="71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5AAE" w:rsidRDefault="00445AAE" w:rsidP="00445AAE">
            <w:pPr>
              <w:jc w:val="both"/>
              <w:rPr>
                <w:sz w:val="24"/>
                <w:szCs w:val="24"/>
              </w:rPr>
            </w:pPr>
            <w:r>
              <w:rPr>
                <w:sz w:val="24"/>
                <w:szCs w:val="24"/>
              </w:rPr>
              <w:t xml:space="preserve"> </w:t>
            </w:r>
            <w:r w:rsidRPr="00BD05BD">
              <w:rPr>
                <w:sz w:val="24"/>
                <w:szCs w:val="24"/>
              </w:rPr>
              <w:t>Modificările legislative nu contravin jurisprudenţei Curţii de Justiţie a Uniunii Europene.</w:t>
            </w:r>
          </w:p>
          <w:p w:rsidR="00445AAE" w:rsidRPr="00BD05BD" w:rsidRDefault="00445AAE" w:rsidP="00445AAE">
            <w:pPr>
              <w:jc w:val="both"/>
              <w:rPr>
                <w:sz w:val="24"/>
                <w:szCs w:val="24"/>
              </w:rPr>
            </w:pPr>
          </w:p>
        </w:tc>
      </w:tr>
      <w:tr w:rsidR="00445AAE" w:rsidRPr="00BD05BD">
        <w:trPr>
          <w:trHeight w:val="918"/>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rPr>
                <w:b/>
                <w:sz w:val="24"/>
                <w:szCs w:val="24"/>
              </w:rPr>
            </w:pPr>
            <w:r w:rsidRPr="00BD05BD">
              <w:rPr>
                <w:b/>
                <w:bCs/>
                <w:sz w:val="24"/>
                <w:szCs w:val="24"/>
              </w:rPr>
              <w:t xml:space="preserve">5) </w:t>
            </w:r>
            <w:r w:rsidRPr="00BD05BD">
              <w:rPr>
                <w:b/>
                <w:sz w:val="24"/>
                <w:szCs w:val="24"/>
              </w:rPr>
              <w:t>Alte acte normative şi/sau documente internaţionale din care decurg angajamente</w:t>
            </w:r>
          </w:p>
        </w:tc>
        <w:tc>
          <w:tcPr>
            <w:tcW w:w="71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autoSpaceDE w:val="0"/>
              <w:autoSpaceDN w:val="0"/>
              <w:adjustRightInd w:val="0"/>
              <w:jc w:val="both"/>
              <w:rPr>
                <w:bCs/>
                <w:sz w:val="24"/>
                <w:szCs w:val="24"/>
              </w:rPr>
            </w:pPr>
          </w:p>
        </w:tc>
      </w:tr>
      <w:tr w:rsidR="00445AAE" w:rsidRPr="00BD05BD">
        <w:trPr>
          <w:trHeight w:val="426"/>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sz w:val="24"/>
                <w:szCs w:val="24"/>
              </w:rPr>
            </w:pPr>
            <w:r w:rsidRPr="00BD05BD">
              <w:rPr>
                <w:b/>
                <w:bCs/>
                <w:sz w:val="24"/>
                <w:szCs w:val="24"/>
              </w:rPr>
              <w:t xml:space="preserve">6) </w:t>
            </w:r>
            <w:r w:rsidRPr="00BD05BD">
              <w:rPr>
                <w:b/>
                <w:sz w:val="24"/>
                <w:szCs w:val="24"/>
              </w:rPr>
              <w:t>Alte informaţii</w:t>
            </w:r>
          </w:p>
        </w:tc>
        <w:tc>
          <w:tcPr>
            <w:tcW w:w="7132" w:type="dxa"/>
            <w:gridSpan w:val="8"/>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autoSpaceDE w:val="0"/>
              <w:autoSpaceDN w:val="0"/>
              <w:adjustRightInd w:val="0"/>
              <w:jc w:val="both"/>
              <w:rPr>
                <w:sz w:val="24"/>
                <w:szCs w:val="24"/>
              </w:rPr>
            </w:pPr>
          </w:p>
        </w:tc>
      </w:tr>
      <w:tr w:rsidR="00445AAE" w:rsidRPr="00BD05BD">
        <w:trPr>
          <w:trHeight w:val="640"/>
        </w:trPr>
        <w:tc>
          <w:tcPr>
            <w:tcW w:w="10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AE" w:rsidRDefault="00445AAE" w:rsidP="00445AAE">
            <w:pPr>
              <w:jc w:val="center"/>
              <w:rPr>
                <w:b/>
                <w:bCs/>
                <w:sz w:val="24"/>
                <w:szCs w:val="24"/>
              </w:rPr>
            </w:pPr>
            <w:r w:rsidRPr="00BD05BD">
              <w:rPr>
                <w:b/>
                <w:bCs/>
                <w:sz w:val="24"/>
                <w:szCs w:val="24"/>
              </w:rPr>
              <w:t>Secţiunea a 6-a</w:t>
            </w:r>
          </w:p>
          <w:p w:rsidR="00A309BC" w:rsidRPr="00BD05BD" w:rsidRDefault="00445AAE" w:rsidP="00EE7C53">
            <w:pPr>
              <w:jc w:val="center"/>
              <w:rPr>
                <w:b/>
                <w:bCs/>
                <w:sz w:val="24"/>
                <w:szCs w:val="24"/>
              </w:rPr>
            </w:pPr>
            <w:r w:rsidRPr="00BD05BD">
              <w:rPr>
                <w:b/>
                <w:bCs/>
                <w:sz w:val="24"/>
                <w:szCs w:val="24"/>
              </w:rPr>
              <w:t>Consultările efectuate în vederea elaborării proiectului de act normativ</w:t>
            </w:r>
          </w:p>
        </w:tc>
      </w:tr>
      <w:tr w:rsidR="00445AAE" w:rsidRPr="00BD05BD">
        <w:trPr>
          <w:trHeight w:val="407"/>
        </w:trPr>
        <w:tc>
          <w:tcPr>
            <w:tcW w:w="307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45AAE" w:rsidRPr="00BD05BD" w:rsidRDefault="00445AAE" w:rsidP="00445AAE">
            <w:pPr>
              <w:jc w:val="both"/>
              <w:rPr>
                <w:b/>
                <w:bCs/>
                <w:sz w:val="24"/>
                <w:szCs w:val="24"/>
              </w:rPr>
            </w:pPr>
            <w:r w:rsidRPr="00BD05BD">
              <w:rPr>
                <w:b/>
                <w:bCs/>
                <w:sz w:val="24"/>
                <w:szCs w:val="24"/>
              </w:rPr>
              <w:t>1) Informaţii privind procesul de consultare cu organizaţii neguvernamentale, institute de cercetare şi alte organisme implicate</w:t>
            </w:r>
          </w:p>
        </w:tc>
        <w:tc>
          <w:tcPr>
            <w:tcW w:w="7020" w:type="dxa"/>
            <w:gridSpan w:val="7"/>
            <w:tcBorders>
              <w:top w:val="single" w:sz="4" w:space="0" w:color="auto"/>
              <w:left w:val="nil"/>
              <w:bottom w:val="single" w:sz="4" w:space="0" w:color="auto"/>
              <w:right w:val="single" w:sz="4" w:space="0" w:color="000000"/>
            </w:tcBorders>
            <w:shd w:val="clear" w:color="auto" w:fill="auto"/>
            <w:vAlign w:val="center"/>
          </w:tcPr>
          <w:p w:rsidR="007A2E89" w:rsidRPr="007A2E89" w:rsidRDefault="007A2E89" w:rsidP="007A2E89">
            <w:pPr>
              <w:pStyle w:val="DefaultText"/>
              <w:ind w:firstLine="361"/>
              <w:rPr>
                <w:lang w:val="ro-RO"/>
              </w:rPr>
            </w:pPr>
            <w:r w:rsidRPr="007A2E89">
              <w:rPr>
                <w:lang w:val="ro-RO"/>
              </w:rPr>
              <w:t>Proiectul de act normativ a fost dezbătut în cadrul Comisiei de Dialog Social constituită la nivelul Ministerului Finanţelor Publice la care au participat reprezentanţi ai organismelor interesate.</w:t>
            </w:r>
          </w:p>
          <w:p w:rsidR="00445AAE" w:rsidRPr="007A2E89" w:rsidRDefault="00445AAE" w:rsidP="00445AAE">
            <w:pPr>
              <w:pStyle w:val="DefaultText"/>
              <w:ind w:firstLine="361"/>
              <w:jc w:val="both"/>
              <w:rPr>
                <w:lang w:val="ro-RO"/>
              </w:rPr>
            </w:pPr>
            <w:r w:rsidRPr="007A2E89">
              <w:rPr>
                <w:lang w:val="ro-RO"/>
              </w:rPr>
              <w:t xml:space="preserve">. </w:t>
            </w:r>
          </w:p>
          <w:p w:rsidR="00445AAE" w:rsidRPr="00BD05BD" w:rsidRDefault="00445AAE" w:rsidP="009F0E12">
            <w:pPr>
              <w:jc w:val="both"/>
            </w:pPr>
          </w:p>
        </w:tc>
      </w:tr>
      <w:tr w:rsidR="00445AAE" w:rsidRPr="00BD05BD">
        <w:trPr>
          <w:trHeight w:val="928"/>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2) Fundamentarea alegerii organizaţiilor cu care a avut loc consultarea, precum şi a modului în care activitatea acestor organizaţii este legată de obiectul proiectului de act normativ</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Default="004368A6" w:rsidP="00445AAE">
            <w:pPr>
              <w:pStyle w:val="DefaultText"/>
              <w:ind w:firstLine="318"/>
              <w:jc w:val="both"/>
              <w:rPr>
                <w:lang w:val="ro-RO"/>
              </w:rPr>
            </w:pPr>
            <w:r>
              <w:rPr>
                <w:lang w:val="ro-RO"/>
              </w:rPr>
              <w:t>Nu este cazul</w:t>
            </w:r>
          </w:p>
          <w:p w:rsidR="00445AAE" w:rsidRPr="00BD05BD" w:rsidRDefault="00445AAE" w:rsidP="00445AAE">
            <w:pPr>
              <w:pStyle w:val="DefaultText"/>
              <w:ind w:firstLine="318"/>
              <w:jc w:val="both"/>
              <w:rPr>
                <w:lang w:val="ro-RO"/>
              </w:rPr>
            </w:pPr>
          </w:p>
        </w:tc>
      </w:tr>
      <w:tr w:rsidR="00445AAE" w:rsidRPr="00BD05BD">
        <w:trPr>
          <w:trHeight w:val="2032"/>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spacing w:before="120" w:after="120"/>
              <w:jc w:val="both"/>
              <w:rPr>
                <w:b/>
                <w:bCs/>
                <w:sz w:val="24"/>
                <w:szCs w:val="24"/>
              </w:rPr>
            </w:pPr>
            <w:r w:rsidRPr="00BD05BD">
              <w:rPr>
                <w:b/>
                <w:bCs/>
                <w:sz w:val="24"/>
                <w:szCs w:val="24"/>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Pr="0089234A" w:rsidRDefault="004368A6" w:rsidP="00445AAE">
            <w:pPr>
              <w:pStyle w:val="DefaultText"/>
              <w:ind w:firstLine="318"/>
              <w:jc w:val="both"/>
              <w:rPr>
                <w:lang w:val="ro-RO"/>
              </w:rPr>
            </w:pPr>
            <w:r>
              <w:rPr>
                <w:lang w:val="ro-RO"/>
              </w:rPr>
              <w:t>Nu este cazul</w:t>
            </w:r>
          </w:p>
          <w:p w:rsidR="00445AAE" w:rsidRDefault="00445AAE" w:rsidP="00445AAE">
            <w:pPr>
              <w:pStyle w:val="DefaultText"/>
              <w:jc w:val="both"/>
              <w:rPr>
                <w:lang w:val="ro-RO"/>
              </w:rPr>
            </w:pPr>
            <w:r>
              <w:rPr>
                <w:lang w:val="ro-RO"/>
              </w:rPr>
              <w:t xml:space="preserve">   </w:t>
            </w:r>
          </w:p>
          <w:p w:rsidR="00445AAE" w:rsidRPr="00BD05BD" w:rsidRDefault="00445AAE" w:rsidP="00445AAE">
            <w:pPr>
              <w:jc w:val="both"/>
            </w:pPr>
          </w:p>
        </w:tc>
      </w:tr>
      <w:tr w:rsidR="00445AAE" w:rsidRPr="00BD05BD">
        <w:trPr>
          <w:trHeight w:val="1152"/>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spacing w:before="120" w:after="120"/>
              <w:jc w:val="both"/>
              <w:rPr>
                <w:b/>
                <w:bCs/>
                <w:sz w:val="24"/>
                <w:szCs w:val="24"/>
              </w:rPr>
            </w:pPr>
            <w:r w:rsidRPr="00BD05BD">
              <w:rPr>
                <w:b/>
                <w:bCs/>
                <w:sz w:val="24"/>
                <w:szCs w:val="24"/>
              </w:rPr>
              <w:t xml:space="preserve">4)Consultările desfăşurate în cadrul consiliilor interministeriale, în conformitate cu prevederile Hotărârii Guvernului nr. 750/2005 privind constituirea consiliilor </w:t>
            </w:r>
            <w:r w:rsidR="007F653B">
              <w:rPr>
                <w:b/>
                <w:bCs/>
                <w:sz w:val="24"/>
                <w:szCs w:val="24"/>
              </w:rPr>
              <w:t>i</w:t>
            </w:r>
            <w:r w:rsidRPr="00BD05BD">
              <w:rPr>
                <w:b/>
                <w:bCs/>
                <w:sz w:val="24"/>
                <w:szCs w:val="24"/>
              </w:rPr>
              <w:t>nterministeriale permanente</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rPr>
                <w:b/>
                <w:bCs/>
                <w:sz w:val="24"/>
                <w:szCs w:val="24"/>
              </w:rPr>
            </w:pPr>
            <w:r w:rsidRPr="00BD05BD">
              <w:rPr>
                <w:bCs/>
                <w:sz w:val="24"/>
                <w:szCs w:val="24"/>
              </w:rPr>
              <w:t>Nu este cazul.</w:t>
            </w:r>
          </w:p>
        </w:tc>
      </w:tr>
      <w:tr w:rsidR="00445AAE" w:rsidRPr="00BD05BD">
        <w:trPr>
          <w:trHeight w:val="49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5) Informaţii privind avizarea de către:</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rPr>
                <w:sz w:val="24"/>
                <w:szCs w:val="24"/>
              </w:rPr>
            </w:pPr>
          </w:p>
        </w:tc>
      </w:tr>
      <w:tr w:rsidR="00445AAE" w:rsidRPr="00BD05BD">
        <w:trPr>
          <w:trHeight w:val="49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a) Consiliul Legislativ</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Default="00445AAE" w:rsidP="00445AAE">
            <w:pPr>
              <w:rPr>
                <w:bCs/>
                <w:sz w:val="24"/>
                <w:szCs w:val="24"/>
              </w:rPr>
            </w:pPr>
            <w:r w:rsidRPr="00BD05BD">
              <w:rPr>
                <w:sz w:val="24"/>
                <w:szCs w:val="24"/>
              </w:rPr>
              <w:t xml:space="preserve">Proiectul de act normativ se avizează de către </w:t>
            </w:r>
            <w:r w:rsidRPr="00BD05BD">
              <w:rPr>
                <w:bCs/>
                <w:sz w:val="24"/>
                <w:szCs w:val="24"/>
              </w:rPr>
              <w:t>Consiliul Legislativ.</w:t>
            </w:r>
          </w:p>
          <w:p w:rsidR="00445AAE" w:rsidRPr="00BD05BD" w:rsidRDefault="00445AAE" w:rsidP="00445AAE">
            <w:pPr>
              <w:rPr>
                <w:bCs/>
                <w:sz w:val="24"/>
                <w:szCs w:val="24"/>
              </w:rPr>
            </w:pPr>
          </w:p>
        </w:tc>
      </w:tr>
      <w:tr w:rsidR="00445AAE" w:rsidRPr="00BD05BD">
        <w:trPr>
          <w:trHeight w:val="49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b) Consiliul Suprem de Apărare a Ţării</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Default="00445AAE" w:rsidP="00445AAE">
            <w:pPr>
              <w:rPr>
                <w:sz w:val="24"/>
                <w:szCs w:val="24"/>
              </w:rPr>
            </w:pPr>
            <w:r w:rsidRPr="00BD05BD">
              <w:rPr>
                <w:sz w:val="24"/>
                <w:szCs w:val="24"/>
              </w:rPr>
              <w:t>Nu este cazul</w:t>
            </w:r>
          </w:p>
          <w:p w:rsidR="00445AAE" w:rsidRPr="00BD05BD" w:rsidRDefault="00445AAE" w:rsidP="00445AAE">
            <w:pPr>
              <w:rPr>
                <w:sz w:val="24"/>
                <w:szCs w:val="24"/>
              </w:rPr>
            </w:pPr>
          </w:p>
        </w:tc>
      </w:tr>
      <w:tr w:rsidR="00445AAE" w:rsidRPr="00BD05BD">
        <w:trPr>
          <w:trHeight w:val="49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c) Consiliul Economic şi Social</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Default="00445AAE" w:rsidP="00445AAE">
            <w:pPr>
              <w:rPr>
                <w:bCs/>
                <w:sz w:val="24"/>
                <w:szCs w:val="24"/>
              </w:rPr>
            </w:pPr>
            <w:r w:rsidRPr="00BD05BD">
              <w:rPr>
                <w:sz w:val="24"/>
                <w:szCs w:val="24"/>
              </w:rPr>
              <w:t xml:space="preserve">Proiectul de act normativ se avizează de către </w:t>
            </w:r>
            <w:r w:rsidRPr="00BD05BD">
              <w:rPr>
                <w:bCs/>
                <w:sz w:val="24"/>
                <w:szCs w:val="24"/>
              </w:rPr>
              <w:t>Consiliul Economic şi Social.</w:t>
            </w:r>
          </w:p>
          <w:p w:rsidR="00445AAE" w:rsidRPr="00BD05BD" w:rsidRDefault="00445AAE" w:rsidP="00445AAE">
            <w:pPr>
              <w:rPr>
                <w:bCs/>
                <w:sz w:val="24"/>
                <w:szCs w:val="24"/>
              </w:rPr>
            </w:pPr>
          </w:p>
        </w:tc>
      </w:tr>
      <w:tr w:rsidR="00445AAE" w:rsidRPr="00BD05BD">
        <w:trPr>
          <w:trHeight w:val="49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d) Consiliul Concurenţei</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DD2B2E" w:rsidRDefault="00DD2B2E" w:rsidP="00DD2B2E">
            <w:pPr>
              <w:rPr>
                <w:sz w:val="24"/>
                <w:szCs w:val="24"/>
              </w:rPr>
            </w:pPr>
            <w:r>
              <w:rPr>
                <w:sz w:val="24"/>
                <w:szCs w:val="24"/>
              </w:rPr>
              <w:t>Proiectul de act normativ se avizează şi de către Consiliul Concurenţei</w:t>
            </w:r>
          </w:p>
          <w:p w:rsidR="00445AAE" w:rsidRPr="00BD05BD" w:rsidRDefault="00445AAE" w:rsidP="00445AAE">
            <w:pPr>
              <w:rPr>
                <w:sz w:val="24"/>
                <w:szCs w:val="24"/>
              </w:rPr>
            </w:pPr>
          </w:p>
        </w:tc>
      </w:tr>
      <w:tr w:rsidR="00445AAE" w:rsidRPr="00BD05BD">
        <w:trPr>
          <w:trHeight w:val="49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 xml:space="preserve">e) Curtea de </w:t>
            </w:r>
            <w:r w:rsidR="004368A6">
              <w:rPr>
                <w:b/>
                <w:bCs/>
                <w:sz w:val="24"/>
                <w:szCs w:val="24"/>
              </w:rPr>
              <w:t>C</w:t>
            </w:r>
            <w:r w:rsidR="004368A6" w:rsidRPr="00BD05BD">
              <w:rPr>
                <w:b/>
                <w:bCs/>
                <w:sz w:val="24"/>
                <w:szCs w:val="24"/>
              </w:rPr>
              <w:t>onturi</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Default="00445AAE" w:rsidP="00445AAE">
            <w:pPr>
              <w:rPr>
                <w:sz w:val="24"/>
                <w:szCs w:val="24"/>
              </w:rPr>
            </w:pPr>
            <w:r w:rsidRPr="00BD05BD">
              <w:rPr>
                <w:sz w:val="24"/>
                <w:szCs w:val="24"/>
              </w:rPr>
              <w:t>Nu este cazul.</w:t>
            </w:r>
          </w:p>
          <w:p w:rsidR="00445AAE" w:rsidRPr="00BD05BD" w:rsidRDefault="00445AAE" w:rsidP="00445AAE">
            <w:pPr>
              <w:rPr>
                <w:sz w:val="24"/>
                <w:szCs w:val="24"/>
              </w:rPr>
            </w:pPr>
          </w:p>
        </w:tc>
      </w:tr>
      <w:tr w:rsidR="00445AAE" w:rsidRPr="00BD05BD">
        <w:trPr>
          <w:trHeight w:val="495"/>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6) Alte informaţii</w:t>
            </w:r>
          </w:p>
        </w:tc>
        <w:tc>
          <w:tcPr>
            <w:tcW w:w="7020" w:type="dxa"/>
            <w:gridSpan w:val="7"/>
            <w:tcBorders>
              <w:top w:val="single" w:sz="4" w:space="0" w:color="auto"/>
              <w:left w:val="nil"/>
              <w:bottom w:val="single" w:sz="4" w:space="0" w:color="auto"/>
              <w:right w:val="single" w:sz="4" w:space="0" w:color="auto"/>
            </w:tcBorders>
            <w:shd w:val="clear" w:color="auto" w:fill="auto"/>
            <w:vAlign w:val="center"/>
          </w:tcPr>
          <w:p w:rsidR="00445AAE" w:rsidRDefault="00445AAE" w:rsidP="00445AAE">
            <w:pPr>
              <w:rPr>
                <w:sz w:val="24"/>
                <w:szCs w:val="24"/>
              </w:rPr>
            </w:pPr>
            <w:r w:rsidRPr="00BD05BD">
              <w:rPr>
                <w:sz w:val="24"/>
                <w:szCs w:val="24"/>
              </w:rPr>
              <w:t>Nu este cazul.</w:t>
            </w:r>
          </w:p>
          <w:p w:rsidR="00445AAE" w:rsidRPr="00BD05BD" w:rsidRDefault="00445AAE" w:rsidP="00445AAE">
            <w:pPr>
              <w:rPr>
                <w:sz w:val="24"/>
                <w:szCs w:val="24"/>
              </w:rPr>
            </w:pPr>
          </w:p>
        </w:tc>
      </w:tr>
      <w:tr w:rsidR="00445AAE" w:rsidRPr="00BD05BD">
        <w:trPr>
          <w:trHeight w:val="803"/>
        </w:trPr>
        <w:tc>
          <w:tcPr>
            <w:tcW w:w="10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AE" w:rsidRDefault="00445AAE" w:rsidP="00445AAE">
            <w:pPr>
              <w:jc w:val="center"/>
              <w:rPr>
                <w:b/>
                <w:bCs/>
                <w:sz w:val="24"/>
                <w:szCs w:val="24"/>
              </w:rPr>
            </w:pPr>
            <w:r w:rsidRPr="00BD05BD">
              <w:rPr>
                <w:b/>
                <w:bCs/>
                <w:sz w:val="24"/>
                <w:szCs w:val="24"/>
              </w:rPr>
              <w:t>Secţiunea a 7-a</w:t>
            </w:r>
          </w:p>
          <w:p w:rsidR="007E63B8" w:rsidRPr="00BD05BD" w:rsidRDefault="00445AAE" w:rsidP="00EE7C53">
            <w:pPr>
              <w:jc w:val="center"/>
              <w:rPr>
                <w:b/>
                <w:bCs/>
                <w:sz w:val="24"/>
                <w:szCs w:val="24"/>
              </w:rPr>
            </w:pPr>
            <w:r w:rsidRPr="00BD05BD">
              <w:rPr>
                <w:b/>
                <w:bCs/>
                <w:sz w:val="24"/>
                <w:szCs w:val="24"/>
              </w:rPr>
              <w:t>Activităţi de informare publică privind elaborarea şi implementarea proiectului de act normativ</w:t>
            </w:r>
          </w:p>
        </w:tc>
      </w:tr>
      <w:tr w:rsidR="00445AAE" w:rsidRPr="00BD05BD">
        <w:trPr>
          <w:trHeight w:val="445"/>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1) Informarea societăţii civile cu privire la necesitatea elaborării proiectului de act normativ</w:t>
            </w:r>
          </w:p>
        </w:tc>
        <w:tc>
          <w:tcPr>
            <w:tcW w:w="7132" w:type="dxa"/>
            <w:gridSpan w:val="8"/>
            <w:tcBorders>
              <w:top w:val="single" w:sz="4" w:space="0" w:color="auto"/>
              <w:left w:val="nil"/>
              <w:bottom w:val="single" w:sz="4" w:space="0" w:color="auto"/>
              <w:right w:val="single" w:sz="4" w:space="0" w:color="auto"/>
            </w:tcBorders>
            <w:shd w:val="clear" w:color="auto" w:fill="auto"/>
            <w:vAlign w:val="center"/>
          </w:tcPr>
          <w:p w:rsidR="00EB3EBB" w:rsidRPr="00EB3EBB" w:rsidRDefault="00EB3EBB" w:rsidP="00EB3EBB">
            <w:pPr>
              <w:pStyle w:val="DefaultText"/>
              <w:jc w:val="both"/>
              <w:rPr>
                <w:bCs/>
                <w:lang w:val="ro-RO"/>
              </w:rPr>
            </w:pPr>
            <w:r w:rsidRPr="00EB3EBB">
              <w:rPr>
                <w:bCs/>
                <w:lang w:val="ro-RO"/>
              </w:rPr>
              <w:t xml:space="preserve">În vederea respectării prevederilor din </w:t>
            </w:r>
            <w:r w:rsidRPr="00EB3EBB">
              <w:rPr>
                <w:bCs/>
                <w:i/>
                <w:lang w:val="ro-RO"/>
              </w:rPr>
              <w:t>Legea nr.52/2003 privind transparenţa decizională în administraţia publică</w:t>
            </w:r>
            <w:r w:rsidRPr="00EB3EBB">
              <w:rPr>
                <w:bCs/>
                <w:lang w:val="ro-RO"/>
              </w:rPr>
              <w:t>, proiectul de act normativ va fi publicat pe site-ul Ministerului Finanţelor Publice.</w:t>
            </w:r>
          </w:p>
          <w:p w:rsidR="00445AAE" w:rsidRPr="00F6062F" w:rsidRDefault="00445AAE" w:rsidP="00445AAE">
            <w:pPr>
              <w:pStyle w:val="DefaultText"/>
              <w:jc w:val="both"/>
              <w:rPr>
                <w:bCs/>
                <w:lang w:val="ro-RO"/>
              </w:rPr>
            </w:pPr>
          </w:p>
        </w:tc>
      </w:tr>
      <w:tr w:rsidR="00445AAE" w:rsidRPr="00BD05BD">
        <w:trPr>
          <w:trHeight w:val="407"/>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 xml:space="preserve">2) Informarea societăţii civile cu privire la eventualul impact asupra mediului în urma implementarii proiectului </w:t>
            </w:r>
            <w:r w:rsidRPr="00BD05BD">
              <w:rPr>
                <w:b/>
                <w:bCs/>
                <w:sz w:val="24"/>
                <w:szCs w:val="24"/>
              </w:rPr>
              <w:lastRenderedPageBreak/>
              <w:t>de act normativ, precum şi efectele asupra sănătăţii şi securităţii cetăţenilor sau diversităţii biologice</w:t>
            </w:r>
          </w:p>
        </w:tc>
        <w:tc>
          <w:tcPr>
            <w:tcW w:w="7132" w:type="dxa"/>
            <w:gridSpan w:val="8"/>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both"/>
              <w:rPr>
                <w:sz w:val="24"/>
                <w:szCs w:val="24"/>
              </w:rPr>
            </w:pPr>
            <w:r w:rsidRPr="00BD05BD">
              <w:rPr>
                <w:sz w:val="24"/>
                <w:szCs w:val="24"/>
              </w:rPr>
              <w:lastRenderedPageBreak/>
              <w:t>Nu este cazul.</w:t>
            </w:r>
          </w:p>
        </w:tc>
      </w:tr>
      <w:tr w:rsidR="00445AAE" w:rsidRPr="00BD05BD">
        <w:trPr>
          <w:trHeight w:val="281"/>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rPr>
                <w:b/>
                <w:bCs/>
                <w:sz w:val="24"/>
                <w:szCs w:val="24"/>
              </w:rPr>
            </w:pPr>
            <w:r w:rsidRPr="00BD05BD">
              <w:rPr>
                <w:b/>
                <w:bCs/>
                <w:sz w:val="24"/>
                <w:szCs w:val="24"/>
              </w:rPr>
              <w:lastRenderedPageBreak/>
              <w:t>3) Alte informaţii</w:t>
            </w:r>
          </w:p>
        </w:tc>
        <w:tc>
          <w:tcPr>
            <w:tcW w:w="7132" w:type="dxa"/>
            <w:gridSpan w:val="8"/>
            <w:tcBorders>
              <w:top w:val="single" w:sz="4" w:space="0" w:color="auto"/>
              <w:left w:val="nil"/>
              <w:bottom w:val="single" w:sz="4" w:space="0" w:color="auto"/>
              <w:right w:val="single" w:sz="4" w:space="0" w:color="auto"/>
            </w:tcBorders>
            <w:shd w:val="clear" w:color="auto" w:fill="auto"/>
            <w:vAlign w:val="center"/>
          </w:tcPr>
          <w:p w:rsidR="00445AAE" w:rsidRDefault="00445AAE" w:rsidP="00445AAE">
            <w:pPr>
              <w:rPr>
                <w:sz w:val="24"/>
                <w:szCs w:val="24"/>
              </w:rPr>
            </w:pPr>
            <w:r w:rsidRPr="00BD05BD">
              <w:rPr>
                <w:sz w:val="24"/>
                <w:szCs w:val="24"/>
              </w:rPr>
              <w:t>Nu este cazul.</w:t>
            </w:r>
          </w:p>
          <w:p w:rsidR="00445AAE" w:rsidRPr="00BD05BD" w:rsidRDefault="00445AAE" w:rsidP="00445AAE">
            <w:pPr>
              <w:rPr>
                <w:sz w:val="24"/>
                <w:szCs w:val="24"/>
              </w:rPr>
            </w:pPr>
          </w:p>
        </w:tc>
      </w:tr>
      <w:tr w:rsidR="00445AAE" w:rsidRPr="00BD05BD">
        <w:trPr>
          <w:trHeight w:val="281"/>
        </w:trPr>
        <w:tc>
          <w:tcPr>
            <w:tcW w:w="10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center"/>
              <w:rPr>
                <w:b/>
                <w:bCs/>
                <w:sz w:val="24"/>
                <w:szCs w:val="24"/>
              </w:rPr>
            </w:pPr>
            <w:r w:rsidRPr="00BD05BD">
              <w:rPr>
                <w:b/>
                <w:bCs/>
                <w:sz w:val="24"/>
                <w:szCs w:val="24"/>
              </w:rPr>
              <w:t>Secţiunea a 8-a</w:t>
            </w:r>
          </w:p>
          <w:p w:rsidR="001F54F3" w:rsidRDefault="00445AAE" w:rsidP="00EE7C53">
            <w:pPr>
              <w:jc w:val="center"/>
              <w:rPr>
                <w:b/>
                <w:bCs/>
                <w:sz w:val="24"/>
                <w:szCs w:val="24"/>
              </w:rPr>
            </w:pPr>
            <w:r w:rsidRPr="00BD05BD">
              <w:rPr>
                <w:b/>
                <w:bCs/>
                <w:sz w:val="24"/>
                <w:szCs w:val="24"/>
              </w:rPr>
              <w:t>Măsuri de implementare</w:t>
            </w:r>
          </w:p>
          <w:p w:rsidR="00273097" w:rsidRDefault="00273097" w:rsidP="00EE7C53">
            <w:pPr>
              <w:jc w:val="center"/>
              <w:rPr>
                <w:b/>
                <w:bCs/>
                <w:sz w:val="24"/>
                <w:szCs w:val="24"/>
              </w:rPr>
            </w:pPr>
          </w:p>
          <w:p w:rsidR="00E67DB8" w:rsidRPr="00D3433E" w:rsidRDefault="00E67DB8" w:rsidP="00EE7C53">
            <w:pPr>
              <w:jc w:val="center"/>
              <w:rPr>
                <w:b/>
                <w:bCs/>
                <w:sz w:val="24"/>
                <w:szCs w:val="24"/>
              </w:rPr>
            </w:pPr>
          </w:p>
        </w:tc>
      </w:tr>
      <w:tr w:rsidR="00445AAE" w:rsidRPr="00BD05BD">
        <w:trPr>
          <w:trHeight w:val="281"/>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7132" w:type="dxa"/>
            <w:gridSpan w:val="8"/>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both"/>
              <w:rPr>
                <w:sz w:val="24"/>
                <w:szCs w:val="24"/>
              </w:rPr>
            </w:pPr>
            <w:r w:rsidRPr="00BD05BD">
              <w:rPr>
                <w:sz w:val="24"/>
                <w:szCs w:val="24"/>
              </w:rPr>
              <w:t>Nu este cazul</w:t>
            </w:r>
          </w:p>
        </w:tc>
      </w:tr>
      <w:tr w:rsidR="00445AAE" w:rsidRPr="00BD05BD">
        <w:trPr>
          <w:trHeight w:val="281"/>
        </w:trPr>
        <w:tc>
          <w:tcPr>
            <w:tcW w:w="2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AE" w:rsidRPr="00BD05BD" w:rsidRDefault="00445AAE" w:rsidP="00445AAE">
            <w:pPr>
              <w:jc w:val="both"/>
              <w:rPr>
                <w:b/>
                <w:bCs/>
                <w:sz w:val="24"/>
                <w:szCs w:val="24"/>
              </w:rPr>
            </w:pPr>
            <w:r w:rsidRPr="00BD05BD">
              <w:rPr>
                <w:b/>
                <w:bCs/>
                <w:sz w:val="24"/>
                <w:szCs w:val="24"/>
              </w:rPr>
              <w:t>2) Alte informaţii</w:t>
            </w:r>
          </w:p>
        </w:tc>
        <w:tc>
          <w:tcPr>
            <w:tcW w:w="7132" w:type="dxa"/>
            <w:gridSpan w:val="8"/>
            <w:tcBorders>
              <w:top w:val="single" w:sz="4" w:space="0" w:color="auto"/>
              <w:left w:val="nil"/>
              <w:bottom w:val="single" w:sz="4" w:space="0" w:color="auto"/>
              <w:right w:val="single" w:sz="4" w:space="0" w:color="auto"/>
            </w:tcBorders>
            <w:shd w:val="clear" w:color="auto" w:fill="auto"/>
            <w:vAlign w:val="center"/>
          </w:tcPr>
          <w:p w:rsidR="00445AAE" w:rsidRPr="00BD05BD" w:rsidRDefault="00445AAE" w:rsidP="00445AAE">
            <w:pPr>
              <w:jc w:val="both"/>
              <w:rPr>
                <w:sz w:val="24"/>
                <w:szCs w:val="24"/>
              </w:rPr>
            </w:pPr>
            <w:r w:rsidRPr="00BD05BD">
              <w:rPr>
                <w:sz w:val="24"/>
                <w:szCs w:val="24"/>
              </w:rPr>
              <w:t>Nu este cazul</w:t>
            </w:r>
          </w:p>
        </w:tc>
      </w:tr>
    </w:tbl>
    <w:p w:rsidR="001718A3" w:rsidRDefault="001718A3" w:rsidP="00481EA5">
      <w:pPr>
        <w:autoSpaceDE w:val="0"/>
        <w:autoSpaceDN w:val="0"/>
        <w:adjustRightInd w:val="0"/>
        <w:ind w:right="-896"/>
        <w:jc w:val="both"/>
        <w:rPr>
          <w:sz w:val="24"/>
          <w:szCs w:val="24"/>
        </w:rPr>
      </w:pPr>
    </w:p>
    <w:p w:rsidR="00445AAE" w:rsidRPr="00BD05BD" w:rsidRDefault="00445AAE" w:rsidP="00481EA5">
      <w:pPr>
        <w:autoSpaceDE w:val="0"/>
        <w:autoSpaceDN w:val="0"/>
        <w:adjustRightInd w:val="0"/>
        <w:ind w:right="-896"/>
        <w:jc w:val="both"/>
        <w:rPr>
          <w:rFonts w:eastAsia="MS Mincho"/>
          <w:b/>
          <w:sz w:val="24"/>
          <w:szCs w:val="24"/>
          <w:lang w:eastAsia="ja-JP"/>
        </w:rPr>
      </w:pPr>
      <w:r w:rsidRPr="00BD05BD">
        <w:rPr>
          <w:sz w:val="24"/>
          <w:szCs w:val="24"/>
        </w:rPr>
        <w:t xml:space="preserve">Având în vedere cele prezentate, am elaborat prezentul proiect de </w:t>
      </w:r>
      <w:r w:rsidR="00481EA5">
        <w:rPr>
          <w:sz w:val="24"/>
          <w:szCs w:val="24"/>
        </w:rPr>
        <w:t>lege</w:t>
      </w:r>
      <w:r w:rsidRPr="00BD05BD">
        <w:rPr>
          <w:sz w:val="24"/>
          <w:szCs w:val="24"/>
          <w:shd w:val="clear" w:color="auto" w:fill="FFFFFF"/>
        </w:rPr>
        <w:t xml:space="preserve"> </w:t>
      </w:r>
      <w:r w:rsidRPr="0080151D">
        <w:rPr>
          <w:sz w:val="24"/>
          <w:szCs w:val="24"/>
        </w:rPr>
        <w:t>pentru</w:t>
      </w:r>
      <w:r w:rsidR="005D2516">
        <w:rPr>
          <w:b/>
          <w:sz w:val="24"/>
          <w:szCs w:val="24"/>
          <w:shd w:val="clear" w:color="auto" w:fill="FFFFFF"/>
        </w:rPr>
        <w:t xml:space="preserve"> </w:t>
      </w:r>
      <w:r w:rsidR="005D2516" w:rsidRPr="00097244">
        <w:rPr>
          <w:sz w:val="24"/>
          <w:szCs w:val="24"/>
          <w:shd w:val="clear" w:color="auto" w:fill="FFFFFF"/>
        </w:rPr>
        <w:t>întărirea disciplinei financiare privind operaţiunile de încasări şi plăţi în numerar</w:t>
      </w:r>
      <w:r w:rsidR="005D2516" w:rsidRPr="0010785F">
        <w:rPr>
          <w:sz w:val="24"/>
          <w:szCs w:val="24"/>
        </w:rPr>
        <w:t xml:space="preserve"> </w:t>
      </w:r>
      <w:r w:rsidR="005D2516">
        <w:rPr>
          <w:sz w:val="24"/>
          <w:szCs w:val="24"/>
        </w:rPr>
        <w:t xml:space="preserve">şi pentru </w:t>
      </w:r>
      <w:r w:rsidR="00FB2CC3">
        <w:rPr>
          <w:sz w:val="24"/>
          <w:szCs w:val="24"/>
        </w:rPr>
        <w:t xml:space="preserve">modificarea şi </w:t>
      </w:r>
      <w:r w:rsidR="00114269" w:rsidRPr="00114269">
        <w:rPr>
          <w:sz w:val="24"/>
          <w:szCs w:val="24"/>
        </w:rPr>
        <w:t>completarea Ordonanţei de urgenţă a Guvernului nr.193/2002 privind introducerea sistemelor moderne de plată</w:t>
      </w:r>
      <w:r w:rsidR="00114269">
        <w:rPr>
          <w:sz w:val="24"/>
          <w:szCs w:val="24"/>
        </w:rPr>
        <w:t>,</w:t>
      </w:r>
      <w:r w:rsidRPr="00BD05BD">
        <w:rPr>
          <w:b/>
          <w:sz w:val="24"/>
          <w:szCs w:val="24"/>
        </w:rPr>
        <w:t xml:space="preserve"> </w:t>
      </w:r>
      <w:r w:rsidRPr="00BD05BD">
        <w:rPr>
          <w:sz w:val="24"/>
          <w:szCs w:val="24"/>
        </w:rPr>
        <w:t>pe care îl supunem spre aprobare.</w:t>
      </w:r>
    </w:p>
    <w:p w:rsidR="00445AAE" w:rsidRPr="00BD05BD" w:rsidRDefault="00445AAE" w:rsidP="00445AAE">
      <w:pPr>
        <w:jc w:val="center"/>
        <w:rPr>
          <w:b/>
          <w:bCs/>
          <w:sz w:val="24"/>
          <w:szCs w:val="24"/>
        </w:rPr>
      </w:pPr>
    </w:p>
    <w:p w:rsidR="00445AAE" w:rsidRDefault="0024643D" w:rsidP="00445AAE">
      <w:pPr>
        <w:ind w:left="4440" w:hanging="3720"/>
        <w:rPr>
          <w:b/>
          <w:sz w:val="24"/>
          <w:szCs w:val="24"/>
        </w:rPr>
      </w:pPr>
      <w:r w:rsidRPr="00BD05BD">
        <w:rPr>
          <w:b/>
          <w:sz w:val="24"/>
          <w:szCs w:val="24"/>
        </w:rPr>
        <w:t>MINISTRUL FINANŢELOR PUBLICE</w:t>
      </w:r>
      <w:r w:rsidRPr="00BD05BD" w:rsidDel="0024643D">
        <w:rPr>
          <w:b/>
          <w:sz w:val="24"/>
          <w:szCs w:val="24"/>
        </w:rPr>
        <w:t xml:space="preserve"> </w:t>
      </w:r>
      <w:r>
        <w:rPr>
          <w:b/>
          <w:sz w:val="24"/>
          <w:szCs w:val="24"/>
        </w:rPr>
        <w:t xml:space="preserve">         </w:t>
      </w:r>
      <w:r w:rsidR="00445AAE" w:rsidRPr="00BD05BD">
        <w:rPr>
          <w:b/>
          <w:sz w:val="24"/>
          <w:szCs w:val="24"/>
        </w:rPr>
        <w:t xml:space="preserve">MINISTRUL DELEGAT PENTRU </w:t>
      </w:r>
      <w:r w:rsidR="00445AAE">
        <w:rPr>
          <w:b/>
          <w:sz w:val="24"/>
          <w:szCs w:val="24"/>
        </w:rPr>
        <w:t xml:space="preserve">                                                                                   </w:t>
      </w:r>
    </w:p>
    <w:p w:rsidR="00445AAE" w:rsidRPr="00BD05BD" w:rsidRDefault="00445AAE" w:rsidP="00445AAE">
      <w:pPr>
        <w:ind w:left="9360" w:hanging="2880"/>
        <w:rPr>
          <w:b/>
          <w:sz w:val="24"/>
          <w:szCs w:val="24"/>
        </w:rPr>
      </w:pPr>
      <w:r>
        <w:rPr>
          <w:b/>
          <w:sz w:val="24"/>
          <w:szCs w:val="24"/>
        </w:rPr>
        <w:t xml:space="preserve">     </w:t>
      </w:r>
      <w:r w:rsidRPr="00BD05BD">
        <w:rPr>
          <w:b/>
          <w:sz w:val="24"/>
          <w:szCs w:val="24"/>
        </w:rPr>
        <w:t>BUGET</w:t>
      </w:r>
      <w:r w:rsidR="00515BE7">
        <w:rPr>
          <w:b/>
          <w:sz w:val="24"/>
          <w:szCs w:val="24"/>
        </w:rPr>
        <w:t>,</w:t>
      </w:r>
    </w:p>
    <w:p w:rsidR="00445AAE" w:rsidRPr="00BD05BD" w:rsidRDefault="00445AAE" w:rsidP="00445AAE">
      <w:pPr>
        <w:rPr>
          <w:b/>
          <w:sz w:val="24"/>
          <w:szCs w:val="24"/>
        </w:rPr>
      </w:pPr>
      <w:r w:rsidRPr="00BD05BD">
        <w:rPr>
          <w:b/>
          <w:sz w:val="24"/>
          <w:szCs w:val="24"/>
        </w:rPr>
        <w:tab/>
      </w:r>
      <w:r w:rsidRPr="00BD05BD">
        <w:rPr>
          <w:b/>
          <w:sz w:val="24"/>
          <w:szCs w:val="24"/>
        </w:rPr>
        <w:tab/>
        <w:t xml:space="preserve">  </w:t>
      </w:r>
      <w:r w:rsidR="0024643D">
        <w:rPr>
          <w:b/>
          <w:sz w:val="24"/>
          <w:szCs w:val="24"/>
        </w:rPr>
        <w:t>IOANA</w:t>
      </w:r>
      <w:r w:rsidR="00A70AA0">
        <w:rPr>
          <w:b/>
          <w:sz w:val="24"/>
          <w:szCs w:val="24"/>
        </w:rPr>
        <w:t>-MARIA</w:t>
      </w:r>
      <w:r w:rsidR="0024643D">
        <w:rPr>
          <w:b/>
          <w:sz w:val="24"/>
          <w:szCs w:val="24"/>
        </w:rPr>
        <w:t xml:space="preserve"> PETRESCU</w:t>
      </w:r>
      <w:r w:rsidRPr="00BD05BD">
        <w:rPr>
          <w:b/>
          <w:sz w:val="24"/>
          <w:szCs w:val="24"/>
        </w:rPr>
        <w:t xml:space="preserve">                   </w:t>
      </w:r>
      <w:r w:rsidR="0024643D">
        <w:rPr>
          <w:b/>
          <w:sz w:val="24"/>
          <w:szCs w:val="24"/>
        </w:rPr>
        <w:t xml:space="preserve">           </w:t>
      </w:r>
      <w:r w:rsidRPr="00BD05BD">
        <w:rPr>
          <w:b/>
          <w:sz w:val="24"/>
          <w:szCs w:val="24"/>
        </w:rPr>
        <w:t>LIVIU VOINEA</w:t>
      </w:r>
    </w:p>
    <w:p w:rsidR="00445AAE" w:rsidRDefault="00445AAE" w:rsidP="00445AAE">
      <w:pPr>
        <w:rPr>
          <w:b/>
          <w:bCs/>
          <w:sz w:val="24"/>
          <w:szCs w:val="24"/>
        </w:rPr>
      </w:pPr>
      <w:r w:rsidRPr="00BD05BD">
        <w:rPr>
          <w:b/>
          <w:bCs/>
          <w:sz w:val="24"/>
          <w:szCs w:val="24"/>
        </w:rPr>
        <w:t xml:space="preserve">           </w:t>
      </w:r>
      <w:r w:rsidR="00515BE7">
        <w:rPr>
          <w:b/>
          <w:bCs/>
          <w:sz w:val="24"/>
          <w:szCs w:val="24"/>
        </w:rPr>
        <w:t xml:space="preserve">       </w:t>
      </w:r>
    </w:p>
    <w:p w:rsidR="00445AAE" w:rsidRDefault="00445AAE" w:rsidP="00445AAE">
      <w:pPr>
        <w:rPr>
          <w:b/>
          <w:bCs/>
          <w:sz w:val="24"/>
          <w:szCs w:val="24"/>
        </w:rPr>
      </w:pPr>
    </w:p>
    <w:p w:rsidR="00442EFE" w:rsidRDefault="00442EFE" w:rsidP="006968A3">
      <w:pPr>
        <w:spacing w:before="120"/>
        <w:jc w:val="center"/>
        <w:rPr>
          <w:b/>
          <w:bCs/>
          <w:sz w:val="24"/>
          <w:szCs w:val="24"/>
        </w:rPr>
      </w:pPr>
    </w:p>
    <w:p w:rsidR="006968A3" w:rsidRDefault="006968A3" w:rsidP="006968A3">
      <w:pPr>
        <w:spacing w:before="120"/>
        <w:jc w:val="center"/>
        <w:rPr>
          <w:b/>
          <w:bCs/>
          <w:sz w:val="24"/>
          <w:szCs w:val="24"/>
        </w:rPr>
      </w:pPr>
      <w:r>
        <w:rPr>
          <w:b/>
          <w:bCs/>
          <w:sz w:val="24"/>
          <w:szCs w:val="24"/>
        </w:rPr>
        <w:t>PREŞEDINTELE CONSILIULUI CONCURENŢEI</w:t>
      </w:r>
    </w:p>
    <w:p w:rsidR="006968A3" w:rsidRDefault="006968A3" w:rsidP="006968A3">
      <w:pPr>
        <w:spacing w:before="120"/>
        <w:jc w:val="center"/>
        <w:rPr>
          <w:b/>
          <w:bCs/>
          <w:sz w:val="24"/>
          <w:szCs w:val="24"/>
        </w:rPr>
      </w:pPr>
      <w:r>
        <w:rPr>
          <w:b/>
          <w:bCs/>
          <w:sz w:val="24"/>
          <w:szCs w:val="24"/>
        </w:rPr>
        <w:t>BOGDAN-MARIUS CHIRIŢOIU</w:t>
      </w:r>
    </w:p>
    <w:p w:rsidR="006968A3" w:rsidRPr="005B6415" w:rsidRDefault="006968A3" w:rsidP="006968A3">
      <w:pPr>
        <w:spacing w:before="120"/>
        <w:jc w:val="center"/>
        <w:rPr>
          <w:b/>
          <w:bCs/>
          <w:sz w:val="24"/>
          <w:szCs w:val="24"/>
        </w:rPr>
      </w:pPr>
    </w:p>
    <w:p w:rsidR="00445AAE" w:rsidRPr="00BD05BD" w:rsidRDefault="00445AAE" w:rsidP="00445AAE">
      <w:pPr>
        <w:jc w:val="center"/>
        <w:rPr>
          <w:b/>
          <w:bCs/>
          <w:sz w:val="24"/>
          <w:szCs w:val="24"/>
          <w:u w:val="single"/>
        </w:rPr>
      </w:pPr>
      <w:r w:rsidRPr="00BD05BD">
        <w:rPr>
          <w:b/>
          <w:bCs/>
          <w:sz w:val="24"/>
          <w:szCs w:val="24"/>
          <w:u w:val="single"/>
        </w:rPr>
        <w:t xml:space="preserve">AVIZĂM </w:t>
      </w:r>
      <w:r w:rsidR="00FA71AE">
        <w:rPr>
          <w:b/>
          <w:bCs/>
          <w:sz w:val="24"/>
          <w:szCs w:val="24"/>
          <w:u w:val="single"/>
        </w:rPr>
        <w:t xml:space="preserve">  </w:t>
      </w:r>
      <w:r w:rsidRPr="00BD05BD">
        <w:rPr>
          <w:b/>
          <w:bCs/>
          <w:sz w:val="24"/>
          <w:szCs w:val="24"/>
          <w:u w:val="single"/>
        </w:rPr>
        <w:t>FAVORABIL</w:t>
      </w:r>
    </w:p>
    <w:p w:rsidR="00445AAE" w:rsidRPr="00BD05BD" w:rsidRDefault="00445AAE" w:rsidP="00445AAE">
      <w:pPr>
        <w:jc w:val="center"/>
        <w:rPr>
          <w:b/>
          <w:bCs/>
          <w:sz w:val="24"/>
          <w:szCs w:val="24"/>
        </w:rPr>
      </w:pPr>
    </w:p>
    <w:p w:rsidR="00107880" w:rsidRDefault="00107880" w:rsidP="00107880">
      <w:pPr>
        <w:jc w:val="center"/>
        <w:rPr>
          <w:b/>
          <w:bCs/>
          <w:sz w:val="24"/>
          <w:szCs w:val="24"/>
        </w:rPr>
      </w:pPr>
      <w:r>
        <w:rPr>
          <w:b/>
          <w:bCs/>
          <w:sz w:val="24"/>
          <w:szCs w:val="24"/>
        </w:rPr>
        <w:t>MINISTRUL ECONOMIEI,</w:t>
      </w:r>
    </w:p>
    <w:p w:rsidR="00107880" w:rsidRDefault="0024643D" w:rsidP="00107880">
      <w:pPr>
        <w:jc w:val="center"/>
        <w:rPr>
          <w:b/>
          <w:bCs/>
          <w:sz w:val="24"/>
          <w:szCs w:val="24"/>
        </w:rPr>
      </w:pPr>
      <w:r>
        <w:rPr>
          <w:b/>
          <w:bCs/>
          <w:sz w:val="24"/>
          <w:szCs w:val="24"/>
        </w:rPr>
        <w:t>CONSTANTIN NIŢĂ</w:t>
      </w:r>
    </w:p>
    <w:p w:rsidR="000E0480" w:rsidRDefault="000E0480" w:rsidP="000E0480">
      <w:pPr>
        <w:spacing w:line="360" w:lineRule="auto"/>
        <w:jc w:val="center"/>
        <w:rPr>
          <w:b/>
          <w:bCs/>
          <w:sz w:val="24"/>
          <w:szCs w:val="24"/>
        </w:rPr>
      </w:pPr>
    </w:p>
    <w:p w:rsidR="006B213A" w:rsidRPr="00A65E38" w:rsidRDefault="006B213A" w:rsidP="006B213A">
      <w:pPr>
        <w:jc w:val="center"/>
        <w:rPr>
          <w:b/>
          <w:sz w:val="24"/>
          <w:szCs w:val="24"/>
        </w:rPr>
      </w:pPr>
      <w:r w:rsidRPr="00A65E38">
        <w:rPr>
          <w:b/>
          <w:bCs/>
          <w:sz w:val="24"/>
          <w:szCs w:val="24"/>
        </w:rPr>
        <w:t>MINISTRUL DELEGAT</w:t>
      </w:r>
      <w:r w:rsidRPr="00A65E38">
        <w:rPr>
          <w:rFonts w:ascii="Verdana" w:hAnsi="Verdana"/>
          <w:sz w:val="17"/>
          <w:szCs w:val="17"/>
        </w:rPr>
        <w:t xml:space="preserve"> </w:t>
      </w:r>
      <w:r w:rsidRPr="00A65E38">
        <w:rPr>
          <w:b/>
          <w:sz w:val="24"/>
          <w:szCs w:val="24"/>
        </w:rPr>
        <w:t xml:space="preserve">PENTRU ÎNTREPRINDERI MICI ŞI MIJLOCII, </w:t>
      </w:r>
    </w:p>
    <w:p w:rsidR="006B213A" w:rsidRPr="00A65E38" w:rsidRDefault="006B213A" w:rsidP="006B213A">
      <w:pPr>
        <w:jc w:val="center"/>
        <w:rPr>
          <w:b/>
          <w:bCs/>
          <w:sz w:val="24"/>
          <w:szCs w:val="24"/>
        </w:rPr>
      </w:pPr>
      <w:r w:rsidRPr="00A65E38">
        <w:rPr>
          <w:b/>
          <w:sz w:val="24"/>
          <w:szCs w:val="24"/>
        </w:rPr>
        <w:t>MEDIU DE AFACERI ŞI TURISM</w:t>
      </w:r>
    </w:p>
    <w:p w:rsidR="006B213A" w:rsidRDefault="0024643D" w:rsidP="006B213A">
      <w:pPr>
        <w:jc w:val="center"/>
        <w:rPr>
          <w:b/>
          <w:bCs/>
          <w:sz w:val="24"/>
          <w:szCs w:val="24"/>
        </w:rPr>
      </w:pPr>
      <w:r>
        <w:rPr>
          <w:b/>
          <w:bCs/>
          <w:sz w:val="24"/>
          <w:szCs w:val="24"/>
        </w:rPr>
        <w:t>FLORIN JIANU</w:t>
      </w:r>
    </w:p>
    <w:p w:rsidR="009112BF" w:rsidRDefault="009112BF" w:rsidP="006B213A">
      <w:pPr>
        <w:jc w:val="center"/>
        <w:rPr>
          <w:b/>
          <w:bCs/>
          <w:sz w:val="24"/>
          <w:szCs w:val="24"/>
        </w:rPr>
      </w:pPr>
    </w:p>
    <w:p w:rsidR="009112BF" w:rsidRPr="00A65E38" w:rsidRDefault="009112BF" w:rsidP="006B213A">
      <w:pPr>
        <w:jc w:val="center"/>
        <w:rPr>
          <w:b/>
          <w:bCs/>
          <w:sz w:val="24"/>
          <w:szCs w:val="24"/>
        </w:rPr>
      </w:pPr>
    </w:p>
    <w:p w:rsidR="00445AAE" w:rsidRPr="00BD05BD" w:rsidRDefault="00D10D0F" w:rsidP="00445AAE">
      <w:pPr>
        <w:jc w:val="center"/>
        <w:rPr>
          <w:b/>
          <w:bCs/>
          <w:sz w:val="24"/>
          <w:szCs w:val="24"/>
        </w:rPr>
      </w:pPr>
      <w:r>
        <w:rPr>
          <w:b/>
          <w:bCs/>
          <w:sz w:val="24"/>
          <w:szCs w:val="24"/>
        </w:rPr>
        <w:t xml:space="preserve">     </w:t>
      </w:r>
      <w:r w:rsidR="00445AAE" w:rsidRPr="00BD05BD">
        <w:rPr>
          <w:b/>
          <w:bCs/>
          <w:sz w:val="24"/>
          <w:szCs w:val="24"/>
        </w:rPr>
        <w:t>MINISTRUL JUSTIŢIEI,</w:t>
      </w:r>
    </w:p>
    <w:p w:rsidR="00A176A9" w:rsidRDefault="00D10D0F" w:rsidP="00D10D0F">
      <w:pPr>
        <w:jc w:val="center"/>
      </w:pPr>
      <w:r>
        <w:rPr>
          <w:b/>
          <w:sz w:val="24"/>
          <w:szCs w:val="24"/>
        </w:rPr>
        <w:t xml:space="preserve">       </w:t>
      </w:r>
      <w:r w:rsidR="00445AAE">
        <w:rPr>
          <w:b/>
          <w:sz w:val="24"/>
          <w:szCs w:val="24"/>
        </w:rPr>
        <w:t>ROBERT MARIUS CAZANCIUC</w:t>
      </w:r>
    </w:p>
    <w:p w:rsidR="00A176A9" w:rsidRDefault="00A176A9"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3D6F16" w:rsidRDefault="003D6F16" w:rsidP="00A176A9">
      <w:pPr>
        <w:ind w:left="2880"/>
        <w:rPr>
          <w:b/>
          <w:sz w:val="24"/>
          <w:szCs w:val="24"/>
        </w:rPr>
      </w:pPr>
    </w:p>
    <w:p w:rsidR="003D6F16" w:rsidRDefault="003D6F16" w:rsidP="00A176A9">
      <w:pPr>
        <w:ind w:left="2880"/>
        <w:rPr>
          <w:b/>
          <w:sz w:val="24"/>
          <w:szCs w:val="24"/>
        </w:rPr>
      </w:pPr>
    </w:p>
    <w:p w:rsidR="003D6F16" w:rsidRDefault="003D6F16" w:rsidP="00A176A9">
      <w:pPr>
        <w:ind w:left="2880"/>
        <w:rPr>
          <w:b/>
          <w:sz w:val="24"/>
          <w:szCs w:val="24"/>
        </w:rPr>
      </w:pPr>
    </w:p>
    <w:p w:rsidR="003D6F16" w:rsidRDefault="003D6F16" w:rsidP="00A176A9">
      <w:pPr>
        <w:ind w:left="2880"/>
        <w:rPr>
          <w:b/>
          <w:sz w:val="24"/>
          <w:szCs w:val="24"/>
        </w:rPr>
      </w:pPr>
    </w:p>
    <w:p w:rsidR="003D6F16" w:rsidRDefault="003D6F16" w:rsidP="00A176A9">
      <w:pPr>
        <w:ind w:left="2880"/>
        <w:rPr>
          <w:b/>
          <w:sz w:val="24"/>
          <w:szCs w:val="24"/>
        </w:rPr>
      </w:pPr>
    </w:p>
    <w:p w:rsidR="003D6F16" w:rsidRDefault="003D6F16"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Default="00107880" w:rsidP="00A176A9">
      <w:pPr>
        <w:ind w:left="2880"/>
        <w:rPr>
          <w:b/>
          <w:sz w:val="24"/>
          <w:szCs w:val="24"/>
        </w:rPr>
      </w:pPr>
    </w:p>
    <w:p w:rsidR="00107880" w:rsidRPr="00A176A9" w:rsidRDefault="00107880" w:rsidP="0033331E"/>
    <w:sectPr w:rsidR="00107880" w:rsidRPr="00A176A9" w:rsidSect="00273097">
      <w:headerReference w:type="even" r:id="rId7"/>
      <w:footerReference w:type="even" r:id="rId8"/>
      <w:footerReference w:type="default" r:id="rId9"/>
      <w:pgSz w:w="11906" w:h="16838" w:code="9"/>
      <w:pgMar w:top="680" w:right="1418" w:bottom="680" w:left="1304" w:header="709" w:footer="0" w:gutter="0"/>
      <w:cols w:space="708"/>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51" w:rsidRDefault="00702351">
      <w:r>
        <w:separator/>
      </w:r>
    </w:p>
  </w:endnote>
  <w:endnote w:type="continuationSeparator" w:id="1">
    <w:p w:rsidR="00702351" w:rsidRDefault="00702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18" w:rsidRDefault="00051518" w:rsidP="00445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518" w:rsidRDefault="00051518" w:rsidP="00445A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18" w:rsidRDefault="00051518" w:rsidP="00445A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51" w:rsidRDefault="00702351">
      <w:r>
        <w:separator/>
      </w:r>
    </w:p>
  </w:footnote>
  <w:footnote w:type="continuationSeparator" w:id="1">
    <w:p w:rsidR="00702351" w:rsidRDefault="0070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18" w:rsidRDefault="00051518" w:rsidP="00445A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18" w:rsidRDefault="00051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E88"/>
    <w:multiLevelType w:val="hybridMultilevel"/>
    <w:tmpl w:val="F9D0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9716A7"/>
    <w:multiLevelType w:val="hybridMultilevel"/>
    <w:tmpl w:val="10C6DBE8"/>
    <w:lvl w:ilvl="0" w:tplc="E926E31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0B0C4A"/>
    <w:multiLevelType w:val="hybridMultilevel"/>
    <w:tmpl w:val="879ABFCE"/>
    <w:lvl w:ilvl="0" w:tplc="E6E6AE8A">
      <w:numFmt w:val="bullet"/>
      <w:lvlText w:val="-"/>
      <w:lvlJc w:val="left"/>
      <w:pPr>
        <w:tabs>
          <w:tab w:val="num" w:pos="720"/>
        </w:tabs>
        <w:ind w:left="720" w:hanging="360"/>
      </w:pPr>
      <w:rPr>
        <w:rFonts w:ascii="Times New Roman" w:eastAsia="Times New Roman" w:hAnsi="Times New Roman" w:cs="Times New Roman"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B1A2C"/>
    <w:multiLevelType w:val="hybridMultilevel"/>
    <w:tmpl w:val="77A6B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72C2E"/>
    <w:multiLevelType w:val="hybridMultilevel"/>
    <w:tmpl w:val="AD74D26A"/>
    <w:lvl w:ilvl="0" w:tplc="4F18E44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0BDD490B"/>
    <w:multiLevelType w:val="hybridMultilevel"/>
    <w:tmpl w:val="E7A412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565825"/>
    <w:multiLevelType w:val="hybridMultilevel"/>
    <w:tmpl w:val="B2B207F8"/>
    <w:lvl w:ilvl="0" w:tplc="61567EBE">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68E7"/>
    <w:multiLevelType w:val="hybridMultilevel"/>
    <w:tmpl w:val="7DF6A4F0"/>
    <w:lvl w:ilvl="0" w:tplc="04090001">
      <w:start w:val="1"/>
      <w:numFmt w:val="bullet"/>
      <w:lvlText w:val=""/>
      <w:lvlJc w:val="left"/>
      <w:pPr>
        <w:tabs>
          <w:tab w:val="num" w:pos="720"/>
        </w:tabs>
        <w:ind w:left="720" w:hanging="360"/>
      </w:pPr>
      <w:rPr>
        <w:rFonts w:ascii="Symbol" w:hAnsi="Symbol" w:hint="default"/>
      </w:rPr>
    </w:lvl>
    <w:lvl w:ilvl="1" w:tplc="785027D2">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D3EDE"/>
    <w:multiLevelType w:val="hybridMultilevel"/>
    <w:tmpl w:val="4D1C9074"/>
    <w:lvl w:ilvl="0" w:tplc="7BC6B8DA">
      <w:start w:val="1"/>
      <w:numFmt w:val="bullet"/>
      <w:lvlText w:val=""/>
      <w:lvlJc w:val="left"/>
      <w:pPr>
        <w:tabs>
          <w:tab w:val="num" w:pos="374"/>
        </w:tabs>
        <w:ind w:left="0" w:firstLine="376"/>
      </w:pPr>
      <w:rPr>
        <w:rFonts w:ascii="Wingdings" w:hAnsi="Wingdings" w:hint="default"/>
      </w:rPr>
    </w:lvl>
    <w:lvl w:ilvl="1" w:tplc="A72A90A6">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AA53EA"/>
    <w:multiLevelType w:val="hybridMultilevel"/>
    <w:tmpl w:val="D5C69DD6"/>
    <w:lvl w:ilvl="0" w:tplc="A72A90A6">
      <w:start w:val="1"/>
      <w:numFmt w:val="bullet"/>
      <w:lvlText w:val=""/>
      <w:lvlJc w:val="left"/>
      <w:pPr>
        <w:tabs>
          <w:tab w:val="num" w:pos="1691"/>
        </w:tabs>
        <w:ind w:left="1691" w:hanging="360"/>
      </w:pPr>
      <w:rPr>
        <w:rFonts w:ascii="Wingdings" w:hAnsi="Wingdings" w:hint="default"/>
      </w:rPr>
    </w:lvl>
    <w:lvl w:ilvl="1" w:tplc="04090003" w:tentative="1">
      <w:start w:val="1"/>
      <w:numFmt w:val="bullet"/>
      <w:lvlText w:val="o"/>
      <w:lvlJc w:val="left"/>
      <w:pPr>
        <w:tabs>
          <w:tab w:val="num" w:pos="1691"/>
        </w:tabs>
        <w:ind w:left="1691" w:hanging="360"/>
      </w:pPr>
      <w:rPr>
        <w:rFonts w:ascii="Courier New" w:hAnsi="Courier New" w:cs="Courier New"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Courier New"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Courier New"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10">
    <w:nsid w:val="1EBD6CEB"/>
    <w:multiLevelType w:val="hybridMultilevel"/>
    <w:tmpl w:val="42B218E8"/>
    <w:lvl w:ilvl="0" w:tplc="0409000B">
      <w:start w:val="1"/>
      <w:numFmt w:val="bullet"/>
      <w:lvlText w:val=""/>
      <w:lvlJc w:val="left"/>
      <w:pPr>
        <w:tabs>
          <w:tab w:val="num" w:pos="736"/>
        </w:tabs>
        <w:ind w:left="736" w:hanging="360"/>
      </w:pPr>
      <w:rPr>
        <w:rFonts w:ascii="Wingdings" w:hAnsi="Wingdings" w:hint="default"/>
      </w:rPr>
    </w:lvl>
    <w:lvl w:ilvl="1" w:tplc="04090003" w:tentative="1">
      <w:start w:val="1"/>
      <w:numFmt w:val="bullet"/>
      <w:lvlText w:val="o"/>
      <w:lvlJc w:val="left"/>
      <w:pPr>
        <w:tabs>
          <w:tab w:val="num" w:pos="1456"/>
        </w:tabs>
        <w:ind w:left="1456" w:hanging="360"/>
      </w:pPr>
      <w:rPr>
        <w:rFonts w:ascii="Courier New" w:hAnsi="Courier New" w:cs="Courier New" w:hint="default"/>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abstractNum w:abstractNumId="11">
    <w:nsid w:val="271D49EE"/>
    <w:multiLevelType w:val="hybridMultilevel"/>
    <w:tmpl w:val="F9A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5387C"/>
    <w:multiLevelType w:val="multilevel"/>
    <w:tmpl w:val="AC049B56"/>
    <w:lvl w:ilvl="0">
      <w:start w:val="1"/>
      <w:numFmt w:val="decimal"/>
      <w:lvlText w:val="%1."/>
      <w:lvlJc w:val="left"/>
      <w:pPr>
        <w:ind w:left="720" w:hanging="360"/>
      </w:pPr>
      <w:rPr>
        <w:rFonts w:cs="Times New Roman"/>
        <w:b/>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E575B66"/>
    <w:multiLevelType w:val="hybridMultilevel"/>
    <w:tmpl w:val="68A0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7E201E"/>
    <w:multiLevelType w:val="hybridMultilevel"/>
    <w:tmpl w:val="8A567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356118"/>
    <w:multiLevelType w:val="hybridMultilevel"/>
    <w:tmpl w:val="3EAA6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E62107"/>
    <w:multiLevelType w:val="hybridMultilevel"/>
    <w:tmpl w:val="ADA0460C"/>
    <w:lvl w:ilvl="0" w:tplc="9B08FD8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9F2930"/>
    <w:multiLevelType w:val="hybridMultilevel"/>
    <w:tmpl w:val="86F4B5A2"/>
    <w:lvl w:ilvl="0" w:tplc="035424A8">
      <w:numFmt w:val="bullet"/>
      <w:lvlText w:val="-"/>
      <w:lvlJc w:val="left"/>
      <w:pPr>
        <w:ind w:left="1608" w:hanging="90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6F65C63"/>
    <w:multiLevelType w:val="hybridMultilevel"/>
    <w:tmpl w:val="2F9E29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94832"/>
    <w:multiLevelType w:val="hybridMultilevel"/>
    <w:tmpl w:val="2BFE0308"/>
    <w:lvl w:ilvl="0" w:tplc="E91696E4">
      <w:start w:val="5"/>
      <w:numFmt w:val="upperRoman"/>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0">
    <w:nsid w:val="67126D18"/>
    <w:multiLevelType w:val="hybridMultilevel"/>
    <w:tmpl w:val="CE3C7152"/>
    <w:lvl w:ilvl="0" w:tplc="D55A9A90">
      <w:start w:val="1"/>
      <w:numFmt w:val="bullet"/>
      <w:lvlText w:val=""/>
      <w:lvlJc w:val="left"/>
      <w:pPr>
        <w:ind w:left="1854" w:hanging="360"/>
      </w:pPr>
      <w:rPr>
        <w:rFonts w:ascii="Wingdings" w:hAnsi="Wingdings"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6D8A150B"/>
    <w:multiLevelType w:val="hybridMultilevel"/>
    <w:tmpl w:val="28FEE588"/>
    <w:lvl w:ilvl="0" w:tplc="0409000B">
      <w:start w:val="1"/>
      <w:numFmt w:val="bullet"/>
      <w:lvlText w:val=""/>
      <w:lvlJc w:val="left"/>
      <w:pPr>
        <w:tabs>
          <w:tab w:val="num" w:pos="1590"/>
        </w:tabs>
        <w:ind w:left="1590" w:hanging="360"/>
      </w:pPr>
      <w:rPr>
        <w:rFonts w:ascii="Wingdings" w:hAnsi="Wingdings" w:hint="default"/>
      </w:rPr>
    </w:lvl>
    <w:lvl w:ilvl="1" w:tplc="DA2A2A48">
      <w:start w:val="10"/>
      <w:numFmt w:val="bullet"/>
      <w:lvlText w:val="-"/>
      <w:lvlJc w:val="left"/>
      <w:pPr>
        <w:tabs>
          <w:tab w:val="num" w:pos="2445"/>
        </w:tabs>
        <w:ind w:left="2445" w:hanging="855"/>
      </w:pPr>
      <w:rPr>
        <w:rFonts w:ascii="Arial" w:eastAsia="Times New Roman" w:hAnsi="Arial" w:cs="Arial"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2">
    <w:nsid w:val="7204635A"/>
    <w:multiLevelType w:val="hybridMultilevel"/>
    <w:tmpl w:val="8D78A8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FD1454"/>
    <w:multiLevelType w:val="hybridMultilevel"/>
    <w:tmpl w:val="1EF4D8F0"/>
    <w:lvl w:ilvl="0" w:tplc="0409000B">
      <w:start w:val="1"/>
      <w:numFmt w:val="bullet"/>
      <w:lvlText w:val=""/>
      <w:lvlJc w:val="left"/>
      <w:pPr>
        <w:tabs>
          <w:tab w:val="num" w:pos="1590"/>
        </w:tabs>
        <w:ind w:left="1590" w:hanging="360"/>
      </w:pPr>
      <w:rPr>
        <w:rFonts w:ascii="Wingdings" w:hAnsi="Wingdings" w:hint="default"/>
      </w:rPr>
    </w:lvl>
    <w:lvl w:ilvl="1" w:tplc="DA2A2A48">
      <w:start w:val="10"/>
      <w:numFmt w:val="bullet"/>
      <w:lvlText w:val="-"/>
      <w:lvlJc w:val="left"/>
      <w:pPr>
        <w:tabs>
          <w:tab w:val="num" w:pos="2445"/>
        </w:tabs>
        <w:ind w:left="2445" w:hanging="855"/>
      </w:pPr>
      <w:rPr>
        <w:rFonts w:ascii="Arial" w:eastAsia="Times New Roman" w:hAnsi="Arial" w:cs="Arial"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4">
    <w:nsid w:val="73E157FC"/>
    <w:multiLevelType w:val="hybridMultilevel"/>
    <w:tmpl w:val="81CA8674"/>
    <w:lvl w:ilvl="0" w:tplc="658AD98C">
      <w:start w:val="2"/>
      <w:numFmt w:val="bullet"/>
      <w:lvlText w:val="-"/>
      <w:lvlJc w:val="left"/>
      <w:pPr>
        <w:tabs>
          <w:tab w:val="num" w:pos="1665"/>
        </w:tabs>
        <w:ind w:left="1665" w:hanging="94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7A36BD3"/>
    <w:multiLevelType w:val="hybridMultilevel"/>
    <w:tmpl w:val="CB5C1394"/>
    <w:lvl w:ilvl="0" w:tplc="A5E6156A">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7ED32E0D"/>
    <w:multiLevelType w:val="hybridMultilevel"/>
    <w:tmpl w:val="DD00C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9"/>
  </w:num>
  <w:num w:numId="4">
    <w:abstractNumId w:val="13"/>
  </w:num>
  <w:num w:numId="5">
    <w:abstractNumId w:val="0"/>
  </w:num>
  <w:num w:numId="6">
    <w:abstractNumId w:val="25"/>
  </w:num>
  <w:num w:numId="7">
    <w:abstractNumId w:val="12"/>
  </w:num>
  <w:num w:numId="8">
    <w:abstractNumId w:val="4"/>
  </w:num>
  <w:num w:numId="9">
    <w:abstractNumId w:val="26"/>
  </w:num>
  <w:num w:numId="10">
    <w:abstractNumId w:val="17"/>
  </w:num>
  <w:num w:numId="11">
    <w:abstractNumId w:val="14"/>
  </w:num>
  <w:num w:numId="12">
    <w:abstractNumId w:val="2"/>
  </w:num>
  <w:num w:numId="13">
    <w:abstractNumId w:val="6"/>
  </w:num>
  <w:num w:numId="14">
    <w:abstractNumId w:val="24"/>
  </w:num>
  <w:num w:numId="15">
    <w:abstractNumId w:val="11"/>
  </w:num>
  <w:num w:numId="16">
    <w:abstractNumId w:val="9"/>
  </w:num>
  <w:num w:numId="17">
    <w:abstractNumId w:val="22"/>
  </w:num>
  <w:num w:numId="18">
    <w:abstractNumId w:val="18"/>
  </w:num>
  <w:num w:numId="19">
    <w:abstractNumId w:val="21"/>
  </w:num>
  <w:num w:numId="20">
    <w:abstractNumId w:val="23"/>
  </w:num>
  <w:num w:numId="21">
    <w:abstractNumId w:val="7"/>
  </w:num>
  <w:num w:numId="22">
    <w:abstractNumId w:val="1"/>
  </w:num>
  <w:num w:numId="23">
    <w:abstractNumId w:val="16"/>
  </w:num>
  <w:num w:numId="24">
    <w:abstractNumId w:val="20"/>
  </w:num>
  <w:num w:numId="25">
    <w:abstractNumId w:val="3"/>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trackRevisions/>
  <w:defaultTabStop w:val="720"/>
  <w:characterSpacingControl w:val="doNotCompress"/>
  <w:footnotePr>
    <w:footnote w:id="0"/>
    <w:footnote w:id="1"/>
  </w:footnotePr>
  <w:endnotePr>
    <w:endnote w:id="0"/>
    <w:endnote w:id="1"/>
  </w:endnotePr>
  <w:compat/>
  <w:rsids>
    <w:rsidRoot w:val="00445AAE"/>
    <w:rsid w:val="00000BA6"/>
    <w:rsid w:val="00013B8D"/>
    <w:rsid w:val="00015A3A"/>
    <w:rsid w:val="000245ED"/>
    <w:rsid w:val="0003235C"/>
    <w:rsid w:val="000332CF"/>
    <w:rsid w:val="00033CE4"/>
    <w:rsid w:val="00034505"/>
    <w:rsid w:val="00051518"/>
    <w:rsid w:val="00061408"/>
    <w:rsid w:val="00065491"/>
    <w:rsid w:val="00071311"/>
    <w:rsid w:val="00075439"/>
    <w:rsid w:val="00087490"/>
    <w:rsid w:val="000927A3"/>
    <w:rsid w:val="00097244"/>
    <w:rsid w:val="0009774F"/>
    <w:rsid w:val="000A6769"/>
    <w:rsid w:val="000C67FC"/>
    <w:rsid w:val="000D6DCA"/>
    <w:rsid w:val="000E0480"/>
    <w:rsid w:val="000E56C3"/>
    <w:rsid w:val="000E6575"/>
    <w:rsid w:val="00107254"/>
    <w:rsid w:val="00107880"/>
    <w:rsid w:val="00110F5D"/>
    <w:rsid w:val="00111F91"/>
    <w:rsid w:val="00113A38"/>
    <w:rsid w:val="00114269"/>
    <w:rsid w:val="0011563D"/>
    <w:rsid w:val="001273D2"/>
    <w:rsid w:val="0013277A"/>
    <w:rsid w:val="00132BBE"/>
    <w:rsid w:val="0014098B"/>
    <w:rsid w:val="00161AA0"/>
    <w:rsid w:val="00163564"/>
    <w:rsid w:val="001718A3"/>
    <w:rsid w:val="00181320"/>
    <w:rsid w:val="00191D04"/>
    <w:rsid w:val="0019493D"/>
    <w:rsid w:val="001970E2"/>
    <w:rsid w:val="001A1666"/>
    <w:rsid w:val="001B70E6"/>
    <w:rsid w:val="001D2800"/>
    <w:rsid w:val="001E250C"/>
    <w:rsid w:val="001E59B6"/>
    <w:rsid w:val="001F271C"/>
    <w:rsid w:val="001F54F3"/>
    <w:rsid w:val="0021433D"/>
    <w:rsid w:val="0021603E"/>
    <w:rsid w:val="002174B8"/>
    <w:rsid w:val="00225D80"/>
    <w:rsid w:val="002273CC"/>
    <w:rsid w:val="00232721"/>
    <w:rsid w:val="0024643D"/>
    <w:rsid w:val="0025446A"/>
    <w:rsid w:val="0026233A"/>
    <w:rsid w:val="00273097"/>
    <w:rsid w:val="002829BB"/>
    <w:rsid w:val="002A06C7"/>
    <w:rsid w:val="002E4916"/>
    <w:rsid w:val="00301F0F"/>
    <w:rsid w:val="00303748"/>
    <w:rsid w:val="00306A32"/>
    <w:rsid w:val="0031077C"/>
    <w:rsid w:val="003128ED"/>
    <w:rsid w:val="0031488C"/>
    <w:rsid w:val="003156E9"/>
    <w:rsid w:val="003205DD"/>
    <w:rsid w:val="0033331E"/>
    <w:rsid w:val="00342CED"/>
    <w:rsid w:val="0036246D"/>
    <w:rsid w:val="0036526A"/>
    <w:rsid w:val="0037076E"/>
    <w:rsid w:val="003751A7"/>
    <w:rsid w:val="00383FF7"/>
    <w:rsid w:val="003900F9"/>
    <w:rsid w:val="003B1ABC"/>
    <w:rsid w:val="003C7B2A"/>
    <w:rsid w:val="003D040D"/>
    <w:rsid w:val="003D5D20"/>
    <w:rsid w:val="003D6F16"/>
    <w:rsid w:val="0042453D"/>
    <w:rsid w:val="004368A6"/>
    <w:rsid w:val="00442EFE"/>
    <w:rsid w:val="00443275"/>
    <w:rsid w:val="00445AAE"/>
    <w:rsid w:val="00447639"/>
    <w:rsid w:val="004505E4"/>
    <w:rsid w:val="00451D13"/>
    <w:rsid w:val="00481EA5"/>
    <w:rsid w:val="004830F1"/>
    <w:rsid w:val="00487AD5"/>
    <w:rsid w:val="0049339F"/>
    <w:rsid w:val="00493E59"/>
    <w:rsid w:val="004966BD"/>
    <w:rsid w:val="00497382"/>
    <w:rsid w:val="004B3D5C"/>
    <w:rsid w:val="004C5A7E"/>
    <w:rsid w:val="004D069E"/>
    <w:rsid w:val="004E08D9"/>
    <w:rsid w:val="00504740"/>
    <w:rsid w:val="00512AB6"/>
    <w:rsid w:val="00515BE7"/>
    <w:rsid w:val="005279E5"/>
    <w:rsid w:val="00542F31"/>
    <w:rsid w:val="00543EFA"/>
    <w:rsid w:val="00557F61"/>
    <w:rsid w:val="00565DB7"/>
    <w:rsid w:val="00572BEB"/>
    <w:rsid w:val="005759DA"/>
    <w:rsid w:val="00585AA3"/>
    <w:rsid w:val="00597F6F"/>
    <w:rsid w:val="005B080D"/>
    <w:rsid w:val="005B0D75"/>
    <w:rsid w:val="005B3D23"/>
    <w:rsid w:val="005B6415"/>
    <w:rsid w:val="005B7092"/>
    <w:rsid w:val="005B7FAA"/>
    <w:rsid w:val="005C3FE5"/>
    <w:rsid w:val="005C4DC1"/>
    <w:rsid w:val="005D0731"/>
    <w:rsid w:val="005D2516"/>
    <w:rsid w:val="005D5198"/>
    <w:rsid w:val="005F753F"/>
    <w:rsid w:val="00610C64"/>
    <w:rsid w:val="00613B05"/>
    <w:rsid w:val="006250DB"/>
    <w:rsid w:val="00626AC4"/>
    <w:rsid w:val="00632F47"/>
    <w:rsid w:val="00634085"/>
    <w:rsid w:val="00635913"/>
    <w:rsid w:val="00645C82"/>
    <w:rsid w:val="00646B9A"/>
    <w:rsid w:val="006501EB"/>
    <w:rsid w:val="00654779"/>
    <w:rsid w:val="00656F76"/>
    <w:rsid w:val="00671E1F"/>
    <w:rsid w:val="00672510"/>
    <w:rsid w:val="00673678"/>
    <w:rsid w:val="0068462F"/>
    <w:rsid w:val="00686A69"/>
    <w:rsid w:val="00687A83"/>
    <w:rsid w:val="006945BB"/>
    <w:rsid w:val="006968A3"/>
    <w:rsid w:val="006974A1"/>
    <w:rsid w:val="00697543"/>
    <w:rsid w:val="006A5DB1"/>
    <w:rsid w:val="006B213A"/>
    <w:rsid w:val="006C0361"/>
    <w:rsid w:val="006D147B"/>
    <w:rsid w:val="006D1A25"/>
    <w:rsid w:val="006D6A93"/>
    <w:rsid w:val="006E6080"/>
    <w:rsid w:val="006F2F8E"/>
    <w:rsid w:val="007022A1"/>
    <w:rsid w:val="00702351"/>
    <w:rsid w:val="00703744"/>
    <w:rsid w:val="00707EBB"/>
    <w:rsid w:val="00735683"/>
    <w:rsid w:val="00756337"/>
    <w:rsid w:val="00767525"/>
    <w:rsid w:val="0077066B"/>
    <w:rsid w:val="007761BE"/>
    <w:rsid w:val="00776752"/>
    <w:rsid w:val="00784D79"/>
    <w:rsid w:val="00784F84"/>
    <w:rsid w:val="00785F52"/>
    <w:rsid w:val="00786335"/>
    <w:rsid w:val="00787579"/>
    <w:rsid w:val="0079626A"/>
    <w:rsid w:val="0079792C"/>
    <w:rsid w:val="007A2E89"/>
    <w:rsid w:val="007A67C3"/>
    <w:rsid w:val="007B4A50"/>
    <w:rsid w:val="007B5F1F"/>
    <w:rsid w:val="007C0298"/>
    <w:rsid w:val="007C087E"/>
    <w:rsid w:val="007C7270"/>
    <w:rsid w:val="007D10C6"/>
    <w:rsid w:val="007D17D7"/>
    <w:rsid w:val="007D1813"/>
    <w:rsid w:val="007D19B3"/>
    <w:rsid w:val="007D5A3E"/>
    <w:rsid w:val="007E63B8"/>
    <w:rsid w:val="007F09C0"/>
    <w:rsid w:val="007F157A"/>
    <w:rsid w:val="007F653B"/>
    <w:rsid w:val="007F68E1"/>
    <w:rsid w:val="00807C4E"/>
    <w:rsid w:val="008261A0"/>
    <w:rsid w:val="00836C41"/>
    <w:rsid w:val="00843F4D"/>
    <w:rsid w:val="00844FFE"/>
    <w:rsid w:val="008715A3"/>
    <w:rsid w:val="0087543E"/>
    <w:rsid w:val="0087783F"/>
    <w:rsid w:val="008A51BD"/>
    <w:rsid w:val="008B00C9"/>
    <w:rsid w:val="008B1246"/>
    <w:rsid w:val="008B2C3A"/>
    <w:rsid w:val="008D6D91"/>
    <w:rsid w:val="008F731E"/>
    <w:rsid w:val="008F776A"/>
    <w:rsid w:val="009112BF"/>
    <w:rsid w:val="00913006"/>
    <w:rsid w:val="00917875"/>
    <w:rsid w:val="009223F9"/>
    <w:rsid w:val="00924B6B"/>
    <w:rsid w:val="00930F5E"/>
    <w:rsid w:val="009319E6"/>
    <w:rsid w:val="0094520D"/>
    <w:rsid w:val="00962FCE"/>
    <w:rsid w:val="00963B2C"/>
    <w:rsid w:val="00977CAB"/>
    <w:rsid w:val="009A2532"/>
    <w:rsid w:val="009A5956"/>
    <w:rsid w:val="009A6022"/>
    <w:rsid w:val="009B031F"/>
    <w:rsid w:val="009C7A66"/>
    <w:rsid w:val="009E319B"/>
    <w:rsid w:val="009F0419"/>
    <w:rsid w:val="009F0E12"/>
    <w:rsid w:val="009F38CD"/>
    <w:rsid w:val="009F442E"/>
    <w:rsid w:val="009F52FC"/>
    <w:rsid w:val="009F58A0"/>
    <w:rsid w:val="009F7F5A"/>
    <w:rsid w:val="00A02960"/>
    <w:rsid w:val="00A0449C"/>
    <w:rsid w:val="00A0483E"/>
    <w:rsid w:val="00A04A32"/>
    <w:rsid w:val="00A06905"/>
    <w:rsid w:val="00A11024"/>
    <w:rsid w:val="00A11305"/>
    <w:rsid w:val="00A14719"/>
    <w:rsid w:val="00A176A9"/>
    <w:rsid w:val="00A203B5"/>
    <w:rsid w:val="00A25923"/>
    <w:rsid w:val="00A309BC"/>
    <w:rsid w:val="00A33A28"/>
    <w:rsid w:val="00A43C04"/>
    <w:rsid w:val="00A441F2"/>
    <w:rsid w:val="00A65E38"/>
    <w:rsid w:val="00A70AA0"/>
    <w:rsid w:val="00A70CD5"/>
    <w:rsid w:val="00A77A05"/>
    <w:rsid w:val="00A91ED8"/>
    <w:rsid w:val="00A965FE"/>
    <w:rsid w:val="00A974E7"/>
    <w:rsid w:val="00AA4077"/>
    <w:rsid w:val="00AA5DC2"/>
    <w:rsid w:val="00AB2369"/>
    <w:rsid w:val="00AC5524"/>
    <w:rsid w:val="00AC63C0"/>
    <w:rsid w:val="00AD4C1D"/>
    <w:rsid w:val="00AE7DB8"/>
    <w:rsid w:val="00AF05C3"/>
    <w:rsid w:val="00AF4F78"/>
    <w:rsid w:val="00AF6F14"/>
    <w:rsid w:val="00AF7B13"/>
    <w:rsid w:val="00B026AF"/>
    <w:rsid w:val="00B02D78"/>
    <w:rsid w:val="00B059E1"/>
    <w:rsid w:val="00B1061A"/>
    <w:rsid w:val="00B20E65"/>
    <w:rsid w:val="00B27C4D"/>
    <w:rsid w:val="00B43F9D"/>
    <w:rsid w:val="00B44B35"/>
    <w:rsid w:val="00B52CF1"/>
    <w:rsid w:val="00B54A57"/>
    <w:rsid w:val="00B6129B"/>
    <w:rsid w:val="00B62F9A"/>
    <w:rsid w:val="00B65C62"/>
    <w:rsid w:val="00B72346"/>
    <w:rsid w:val="00B93A88"/>
    <w:rsid w:val="00BA23AD"/>
    <w:rsid w:val="00BB7DC7"/>
    <w:rsid w:val="00BC0890"/>
    <w:rsid w:val="00BC3F5F"/>
    <w:rsid w:val="00BD64B8"/>
    <w:rsid w:val="00C00B95"/>
    <w:rsid w:val="00C06720"/>
    <w:rsid w:val="00C20D09"/>
    <w:rsid w:val="00C2599D"/>
    <w:rsid w:val="00C26573"/>
    <w:rsid w:val="00C47393"/>
    <w:rsid w:val="00C51BD0"/>
    <w:rsid w:val="00C6347E"/>
    <w:rsid w:val="00C648AC"/>
    <w:rsid w:val="00C66AB8"/>
    <w:rsid w:val="00C66DAB"/>
    <w:rsid w:val="00C676C1"/>
    <w:rsid w:val="00C677F9"/>
    <w:rsid w:val="00C74763"/>
    <w:rsid w:val="00C8499A"/>
    <w:rsid w:val="00C91EA0"/>
    <w:rsid w:val="00CB0964"/>
    <w:rsid w:val="00CB5E41"/>
    <w:rsid w:val="00CC08DD"/>
    <w:rsid w:val="00CC3AD3"/>
    <w:rsid w:val="00CC78A8"/>
    <w:rsid w:val="00CD0C9B"/>
    <w:rsid w:val="00CE1FD7"/>
    <w:rsid w:val="00CE33EB"/>
    <w:rsid w:val="00D10D0F"/>
    <w:rsid w:val="00D33870"/>
    <w:rsid w:val="00D43558"/>
    <w:rsid w:val="00D456B4"/>
    <w:rsid w:val="00D5537C"/>
    <w:rsid w:val="00D57CEE"/>
    <w:rsid w:val="00D607B4"/>
    <w:rsid w:val="00D65B3A"/>
    <w:rsid w:val="00D711DB"/>
    <w:rsid w:val="00D7367E"/>
    <w:rsid w:val="00D74AB7"/>
    <w:rsid w:val="00D74BAF"/>
    <w:rsid w:val="00D83956"/>
    <w:rsid w:val="00D854C9"/>
    <w:rsid w:val="00DA6AEA"/>
    <w:rsid w:val="00DC101B"/>
    <w:rsid w:val="00DC6A7D"/>
    <w:rsid w:val="00DD1615"/>
    <w:rsid w:val="00DD2B2E"/>
    <w:rsid w:val="00DD3159"/>
    <w:rsid w:val="00DE3DAC"/>
    <w:rsid w:val="00DE58C3"/>
    <w:rsid w:val="00DF4AEB"/>
    <w:rsid w:val="00DF51FE"/>
    <w:rsid w:val="00DF5D79"/>
    <w:rsid w:val="00E07D08"/>
    <w:rsid w:val="00E10625"/>
    <w:rsid w:val="00E1768B"/>
    <w:rsid w:val="00E21637"/>
    <w:rsid w:val="00E225AE"/>
    <w:rsid w:val="00E3353F"/>
    <w:rsid w:val="00E366EF"/>
    <w:rsid w:val="00E42803"/>
    <w:rsid w:val="00E542D3"/>
    <w:rsid w:val="00E56AB3"/>
    <w:rsid w:val="00E66A5F"/>
    <w:rsid w:val="00E67DB8"/>
    <w:rsid w:val="00E71714"/>
    <w:rsid w:val="00EB3EBB"/>
    <w:rsid w:val="00EB6B4A"/>
    <w:rsid w:val="00EC47E0"/>
    <w:rsid w:val="00EC6AA2"/>
    <w:rsid w:val="00EC79B6"/>
    <w:rsid w:val="00ED1665"/>
    <w:rsid w:val="00ED3FD7"/>
    <w:rsid w:val="00ED634E"/>
    <w:rsid w:val="00EE16C4"/>
    <w:rsid w:val="00EE7C53"/>
    <w:rsid w:val="00F05E1B"/>
    <w:rsid w:val="00F179C7"/>
    <w:rsid w:val="00F35218"/>
    <w:rsid w:val="00F47C32"/>
    <w:rsid w:val="00F507C4"/>
    <w:rsid w:val="00F619F0"/>
    <w:rsid w:val="00F65094"/>
    <w:rsid w:val="00F7144C"/>
    <w:rsid w:val="00F72D85"/>
    <w:rsid w:val="00F760A8"/>
    <w:rsid w:val="00F7759C"/>
    <w:rsid w:val="00F81DE3"/>
    <w:rsid w:val="00F8586A"/>
    <w:rsid w:val="00F85EF0"/>
    <w:rsid w:val="00FA283D"/>
    <w:rsid w:val="00FA30F8"/>
    <w:rsid w:val="00FA3BDF"/>
    <w:rsid w:val="00FA46C0"/>
    <w:rsid w:val="00FA71AE"/>
    <w:rsid w:val="00FB2CC3"/>
    <w:rsid w:val="00FB32D5"/>
    <w:rsid w:val="00FB61C4"/>
    <w:rsid w:val="00FC2B27"/>
    <w:rsid w:val="00FC3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AE"/>
    <w:rPr>
      <w:sz w:val="28"/>
      <w:szCs w:val="28"/>
      <w:lang w:val="ro-RO" w:eastAsia="ro-RO"/>
    </w:rPr>
  </w:style>
  <w:style w:type="character" w:default="1" w:styleId="DefaultParagraphFont">
    <w:name w:val="Default Paragraph Font"/>
    <w:aliases w:val=" Char 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rsid w:val="00445AAE"/>
    <w:rPr>
      <w:sz w:val="24"/>
      <w:szCs w:val="24"/>
      <w:lang w:val="pl-PL" w:eastAsia="pl-PL"/>
    </w:rPr>
  </w:style>
  <w:style w:type="paragraph" w:styleId="Header">
    <w:name w:val="header"/>
    <w:basedOn w:val="Normal"/>
    <w:rsid w:val="00445AAE"/>
    <w:pPr>
      <w:tabs>
        <w:tab w:val="center" w:pos="4536"/>
        <w:tab w:val="right" w:pos="9072"/>
      </w:tabs>
    </w:pPr>
  </w:style>
  <w:style w:type="character" w:styleId="PageNumber">
    <w:name w:val="page number"/>
    <w:basedOn w:val="DefaultParagraphFont"/>
    <w:rsid w:val="00445AAE"/>
  </w:style>
  <w:style w:type="paragraph" w:styleId="Footer">
    <w:name w:val="footer"/>
    <w:basedOn w:val="Normal"/>
    <w:rsid w:val="00445AAE"/>
    <w:pPr>
      <w:tabs>
        <w:tab w:val="center" w:pos="4536"/>
        <w:tab w:val="right" w:pos="9072"/>
      </w:tabs>
    </w:pPr>
  </w:style>
  <w:style w:type="paragraph" w:styleId="BalloonText">
    <w:name w:val="Balloon Text"/>
    <w:basedOn w:val="Normal"/>
    <w:semiHidden/>
    <w:rsid w:val="00445AAE"/>
    <w:rPr>
      <w:rFonts w:ascii="Tahoma" w:hAnsi="Tahoma" w:cs="Tahoma"/>
      <w:sz w:val="16"/>
      <w:szCs w:val="16"/>
    </w:rPr>
  </w:style>
  <w:style w:type="paragraph" w:customStyle="1" w:styleId="TableText">
    <w:name w:val="Table Text"/>
    <w:basedOn w:val="Normal"/>
    <w:rsid w:val="00445AAE"/>
    <w:pPr>
      <w:widowControl w:val="0"/>
      <w:autoSpaceDE w:val="0"/>
      <w:autoSpaceDN w:val="0"/>
      <w:adjustRightInd w:val="0"/>
      <w:jc w:val="right"/>
    </w:pPr>
    <w:rPr>
      <w:sz w:val="24"/>
      <w:szCs w:val="24"/>
      <w:lang w:val="en-US" w:eastAsia="en-US"/>
    </w:rPr>
  </w:style>
  <w:style w:type="paragraph" w:customStyle="1" w:styleId="DefaultText">
    <w:name w:val="Default Text"/>
    <w:basedOn w:val="Normal"/>
    <w:link w:val="DefaultTextCaracter"/>
    <w:rsid w:val="00445AAE"/>
    <w:pPr>
      <w:autoSpaceDE w:val="0"/>
      <w:autoSpaceDN w:val="0"/>
      <w:adjustRightInd w:val="0"/>
    </w:pPr>
    <w:rPr>
      <w:sz w:val="24"/>
      <w:szCs w:val="24"/>
      <w:lang w:val="en-US" w:eastAsia="en-US"/>
    </w:rPr>
  </w:style>
  <w:style w:type="character" w:customStyle="1" w:styleId="DefaultTextCaracter">
    <w:name w:val="Default Text Caracter"/>
    <w:link w:val="DefaultText"/>
    <w:locked/>
    <w:rsid w:val="00445AAE"/>
    <w:rPr>
      <w:sz w:val="24"/>
      <w:szCs w:val="24"/>
      <w:lang w:val="en-US" w:eastAsia="en-US" w:bidi="ar-SA"/>
    </w:rPr>
  </w:style>
  <w:style w:type="paragraph" w:customStyle="1" w:styleId="CaracterCaracter">
    <w:name w:val="Caracter Caracter"/>
    <w:basedOn w:val="Normal"/>
    <w:link w:val="CaracterCaracterChar"/>
    <w:rsid w:val="00445AAE"/>
    <w:pPr>
      <w:tabs>
        <w:tab w:val="left" w:pos="709"/>
      </w:tabs>
    </w:pPr>
    <w:rPr>
      <w:rFonts w:ascii="Tahoma" w:hAnsi="Tahoma"/>
      <w:sz w:val="24"/>
      <w:szCs w:val="24"/>
      <w:lang w:val="pl-PL" w:eastAsia="pl-PL"/>
    </w:rPr>
  </w:style>
  <w:style w:type="character" w:customStyle="1" w:styleId="CaracterCaracterChar">
    <w:name w:val="Caracter Caracter Char"/>
    <w:link w:val="CaracterCaracter"/>
    <w:rsid w:val="00445AAE"/>
    <w:rPr>
      <w:rFonts w:ascii="Tahoma" w:hAnsi="Tahoma"/>
      <w:sz w:val="24"/>
      <w:szCs w:val="24"/>
      <w:lang w:val="pl-PL" w:eastAsia="pl-PL" w:bidi="ar-SA"/>
    </w:rPr>
  </w:style>
  <w:style w:type="character" w:customStyle="1" w:styleId="fontstyle13">
    <w:name w:val="fontstyle13"/>
    <w:basedOn w:val="DefaultParagraphFont"/>
    <w:rsid w:val="00445AAE"/>
  </w:style>
  <w:style w:type="paragraph" w:customStyle="1" w:styleId="ParagraphNumbering">
    <w:name w:val="Paragraph Numbering"/>
    <w:basedOn w:val="Normal"/>
    <w:link w:val="ParagraphNumberingChar"/>
    <w:rsid w:val="00445AAE"/>
    <w:pPr>
      <w:tabs>
        <w:tab w:val="num" w:pos="720"/>
      </w:tabs>
      <w:spacing w:after="240" w:line="264" w:lineRule="auto"/>
    </w:pPr>
    <w:rPr>
      <w:rFonts w:eastAsia="SimSun"/>
      <w:sz w:val="24"/>
      <w:szCs w:val="24"/>
      <w:lang w:val="en-US" w:eastAsia="en-US"/>
    </w:rPr>
  </w:style>
  <w:style w:type="character" w:customStyle="1" w:styleId="ParagraphNumberingChar">
    <w:name w:val="Paragraph Numbering Char"/>
    <w:link w:val="ParagraphNumbering"/>
    <w:locked/>
    <w:rsid w:val="00445AAE"/>
    <w:rPr>
      <w:rFonts w:eastAsia="SimSun"/>
      <w:sz w:val="24"/>
      <w:szCs w:val="24"/>
      <w:lang w:val="en-US" w:eastAsia="en-US" w:bidi="ar-SA"/>
    </w:rPr>
  </w:style>
  <w:style w:type="paragraph" w:styleId="FootnoteText">
    <w:name w:val="footnote text"/>
    <w:basedOn w:val="Normal"/>
    <w:link w:val="FootnoteTextChar"/>
    <w:uiPriority w:val="99"/>
    <w:semiHidden/>
    <w:rsid w:val="00445AAE"/>
    <w:rPr>
      <w:rFonts w:eastAsia="Calibri"/>
      <w:sz w:val="20"/>
      <w:szCs w:val="20"/>
      <w:lang w:eastAsia="en-US"/>
    </w:rPr>
  </w:style>
  <w:style w:type="paragraph" w:styleId="NoSpacing">
    <w:name w:val="No Spacing"/>
    <w:qFormat/>
    <w:rsid w:val="00445AAE"/>
    <w:rPr>
      <w:rFonts w:ascii="Calibri" w:eastAsia="Calibri" w:hAnsi="Calibri"/>
      <w:sz w:val="22"/>
      <w:szCs w:val="22"/>
    </w:rPr>
  </w:style>
  <w:style w:type="paragraph" w:customStyle="1" w:styleId="Frspaiere">
    <w:name w:val="Fără spațiere"/>
    <w:qFormat/>
    <w:rsid w:val="00445AAE"/>
    <w:rPr>
      <w:rFonts w:ascii="Calibri" w:eastAsia="Calibri" w:hAnsi="Calibri"/>
      <w:sz w:val="22"/>
      <w:szCs w:val="22"/>
    </w:rPr>
  </w:style>
  <w:style w:type="character" w:styleId="Strong">
    <w:name w:val="Strong"/>
    <w:qFormat/>
    <w:rsid w:val="00445AAE"/>
    <w:rPr>
      <w:b/>
      <w:bCs/>
    </w:rPr>
  </w:style>
  <w:style w:type="paragraph" w:styleId="BodyTextIndent2">
    <w:name w:val="Body Text Indent 2"/>
    <w:basedOn w:val="Normal"/>
    <w:rsid w:val="00445AAE"/>
    <w:pPr>
      <w:spacing w:after="120" w:line="480" w:lineRule="auto"/>
      <w:ind w:left="360"/>
    </w:pPr>
  </w:style>
  <w:style w:type="character" w:customStyle="1" w:styleId="preambul1">
    <w:name w:val="preambul1"/>
    <w:rsid w:val="00445AAE"/>
    <w:rPr>
      <w:i/>
      <w:iCs/>
      <w:color w:val="000000"/>
    </w:rPr>
  </w:style>
  <w:style w:type="paragraph" w:customStyle="1" w:styleId="CaracterCaracterCharCharCaracterCaracterCharCharCaracterCaracterCaracterCaracterCaracterCharCharCaracterCaracter">
    <w:name w:val=" Caracter Caracter Char Char Caracter Caracter Char Char Caracter Caracter Caracter Caracter Caracter Char Char Caracter Caracter"/>
    <w:basedOn w:val="Normal"/>
    <w:rsid w:val="006B213A"/>
    <w:pPr>
      <w:tabs>
        <w:tab w:val="left" w:pos="709"/>
      </w:tabs>
    </w:pPr>
    <w:rPr>
      <w:rFonts w:ascii="Tahoma" w:hAnsi="Tahoma"/>
      <w:sz w:val="24"/>
      <w:szCs w:val="24"/>
      <w:lang w:val="pl-PL" w:eastAsia="pl-PL"/>
    </w:rPr>
  </w:style>
  <w:style w:type="paragraph" w:customStyle="1" w:styleId="CaracterCaracterCharCharCaracterCaracterCharCharCaracterCaracterCaracterCaracterCaracterCharCharCaracterCaracter0">
    <w:name w:val="Caracter Caracter Char Char Caracter Caracter Char Char Caracter Caracter Caracter Caracter Caracter Char Char Caracter Caracter"/>
    <w:basedOn w:val="Normal"/>
    <w:rsid w:val="000E0480"/>
    <w:pPr>
      <w:tabs>
        <w:tab w:val="left" w:pos="709"/>
      </w:tabs>
    </w:pPr>
    <w:rPr>
      <w:rFonts w:ascii="Tahoma" w:hAnsi="Tahoma"/>
      <w:sz w:val="24"/>
      <w:szCs w:val="24"/>
      <w:lang w:val="pl-PL" w:eastAsia="pl-PL"/>
    </w:rPr>
  </w:style>
  <w:style w:type="character" w:customStyle="1" w:styleId="longtext">
    <w:name w:val="long_text"/>
    <w:basedOn w:val="DefaultParagraphFont"/>
    <w:rsid w:val="00645C82"/>
  </w:style>
  <w:style w:type="paragraph" w:styleId="ListParagraph">
    <w:name w:val="List Paragraph"/>
    <w:basedOn w:val="Normal"/>
    <w:qFormat/>
    <w:rsid w:val="00645C82"/>
    <w:pPr>
      <w:overflowPunct w:val="0"/>
      <w:autoSpaceDE w:val="0"/>
      <w:autoSpaceDN w:val="0"/>
      <w:adjustRightInd w:val="0"/>
      <w:ind w:left="720"/>
      <w:contextualSpacing/>
      <w:textAlignment w:val="baseline"/>
    </w:pPr>
    <w:rPr>
      <w:sz w:val="20"/>
      <w:szCs w:val="20"/>
      <w:lang w:val="en-US" w:eastAsia="en-US"/>
    </w:rPr>
  </w:style>
  <w:style w:type="paragraph" w:customStyle="1" w:styleId="CharChar1">
    <w:name w:val=" Char Char1"/>
    <w:basedOn w:val="Normal"/>
    <w:rsid w:val="00097244"/>
    <w:rPr>
      <w:sz w:val="24"/>
      <w:szCs w:val="24"/>
      <w:lang w:val="pl-PL" w:eastAsia="pl-PL"/>
    </w:rPr>
  </w:style>
  <w:style w:type="character" w:customStyle="1" w:styleId="FootnoteTextChar">
    <w:name w:val="Footnote Text Char"/>
    <w:link w:val="FootnoteText"/>
    <w:uiPriority w:val="99"/>
    <w:semiHidden/>
    <w:rsid w:val="00DE3DAC"/>
    <w:rPr>
      <w:rFonts w:eastAsia="Calibri"/>
      <w:lang w:val="ro-RO" w:eastAsia="en-US"/>
    </w:rPr>
  </w:style>
  <w:style w:type="character" w:styleId="FootnoteReference">
    <w:name w:val="footnote reference"/>
    <w:aliases w:val="Nota"/>
    <w:uiPriority w:val="99"/>
    <w:unhideWhenUsed/>
    <w:rsid w:val="00DE3DAC"/>
    <w:rPr>
      <w:vertAlign w:val="superscript"/>
    </w:rPr>
  </w:style>
  <w:style w:type="character" w:styleId="Hyperlink">
    <w:name w:val="Hyperlink"/>
    <w:uiPriority w:val="99"/>
    <w:unhideWhenUsed/>
    <w:rsid w:val="008F731E"/>
    <w:rPr>
      <w:color w:val="0000FF"/>
      <w:u w:val="single"/>
    </w:rPr>
  </w:style>
  <w:style w:type="character" w:styleId="CommentReference">
    <w:name w:val="annotation reference"/>
    <w:basedOn w:val="DefaultParagraphFont"/>
    <w:rsid w:val="001E250C"/>
    <w:rPr>
      <w:sz w:val="16"/>
      <w:szCs w:val="16"/>
    </w:rPr>
  </w:style>
  <w:style w:type="paragraph" w:styleId="CommentText">
    <w:name w:val="annotation text"/>
    <w:basedOn w:val="Normal"/>
    <w:link w:val="CommentTextChar"/>
    <w:rsid w:val="001E250C"/>
    <w:rPr>
      <w:sz w:val="20"/>
      <w:szCs w:val="20"/>
    </w:rPr>
  </w:style>
  <w:style w:type="character" w:customStyle="1" w:styleId="CommentTextChar">
    <w:name w:val="Comment Text Char"/>
    <w:basedOn w:val="DefaultParagraphFont"/>
    <w:link w:val="CommentText"/>
    <w:rsid w:val="001E250C"/>
    <w:rPr>
      <w:lang w:val="ro-RO" w:eastAsia="ro-RO"/>
    </w:rPr>
  </w:style>
  <w:style w:type="paragraph" w:styleId="CommentSubject">
    <w:name w:val="annotation subject"/>
    <w:basedOn w:val="CommentText"/>
    <w:next w:val="CommentText"/>
    <w:link w:val="CommentSubjectChar"/>
    <w:rsid w:val="001E250C"/>
    <w:rPr>
      <w:b/>
      <w:bCs/>
    </w:rPr>
  </w:style>
  <w:style w:type="character" w:customStyle="1" w:styleId="CommentSubjectChar">
    <w:name w:val="Comment Subject Char"/>
    <w:basedOn w:val="CommentTextChar"/>
    <w:link w:val="CommentSubject"/>
    <w:rsid w:val="001E250C"/>
    <w:rPr>
      <w:b/>
      <w:bCs/>
    </w:rPr>
  </w:style>
</w:styles>
</file>

<file path=word/webSettings.xml><?xml version="1.0" encoding="utf-8"?>
<w:webSettings xmlns:r="http://schemas.openxmlformats.org/officeDocument/2006/relationships" xmlns:w="http://schemas.openxmlformats.org/wordprocessingml/2006/main">
  <w:divs>
    <w:div w:id="766577659">
      <w:bodyDiv w:val="1"/>
      <w:marLeft w:val="0"/>
      <w:marRight w:val="0"/>
      <w:marTop w:val="0"/>
      <w:marBottom w:val="0"/>
      <w:divBdr>
        <w:top w:val="none" w:sz="0" w:space="0" w:color="auto"/>
        <w:left w:val="none" w:sz="0" w:space="0" w:color="auto"/>
        <w:bottom w:val="none" w:sz="0" w:space="0" w:color="auto"/>
        <w:right w:val="none" w:sz="0" w:space="0" w:color="auto"/>
      </w:divBdr>
    </w:div>
    <w:div w:id="1303265044">
      <w:bodyDiv w:val="1"/>
      <w:marLeft w:val="0"/>
      <w:marRight w:val="0"/>
      <w:marTop w:val="0"/>
      <w:marBottom w:val="0"/>
      <w:divBdr>
        <w:top w:val="none" w:sz="0" w:space="0" w:color="auto"/>
        <w:left w:val="none" w:sz="0" w:space="0" w:color="auto"/>
        <w:bottom w:val="none" w:sz="0" w:space="0" w:color="auto"/>
        <w:right w:val="none" w:sz="0" w:space="0" w:color="auto"/>
      </w:divBdr>
    </w:div>
    <w:div w:id="1426002179">
      <w:bodyDiv w:val="1"/>
      <w:marLeft w:val="0"/>
      <w:marRight w:val="0"/>
      <w:marTop w:val="0"/>
      <w:marBottom w:val="0"/>
      <w:divBdr>
        <w:top w:val="none" w:sz="0" w:space="0" w:color="auto"/>
        <w:left w:val="none" w:sz="0" w:space="0" w:color="auto"/>
        <w:bottom w:val="none" w:sz="0" w:space="0" w:color="auto"/>
        <w:right w:val="none" w:sz="0" w:space="0" w:color="auto"/>
      </w:divBdr>
    </w:div>
    <w:div w:id="1521578021">
      <w:bodyDiv w:val="1"/>
      <w:marLeft w:val="0"/>
      <w:marRight w:val="0"/>
      <w:marTop w:val="0"/>
      <w:marBottom w:val="0"/>
      <w:divBdr>
        <w:top w:val="none" w:sz="0" w:space="0" w:color="auto"/>
        <w:left w:val="none" w:sz="0" w:space="0" w:color="auto"/>
        <w:bottom w:val="none" w:sz="0" w:space="0" w:color="auto"/>
        <w:right w:val="none" w:sz="0" w:space="0" w:color="auto"/>
      </w:divBdr>
    </w:div>
    <w:div w:id="1789079444">
      <w:bodyDiv w:val="1"/>
      <w:marLeft w:val="0"/>
      <w:marRight w:val="0"/>
      <w:marTop w:val="0"/>
      <w:marBottom w:val="0"/>
      <w:divBdr>
        <w:top w:val="none" w:sz="0" w:space="0" w:color="auto"/>
        <w:left w:val="none" w:sz="0" w:space="0" w:color="auto"/>
        <w:bottom w:val="none" w:sz="0" w:space="0" w:color="auto"/>
        <w:right w:val="none" w:sz="0" w:space="0" w:color="auto"/>
      </w:divBdr>
    </w:div>
    <w:div w:id="19653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4601</Words>
  <Characters>26230</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Hewlett-Packard Company</Company>
  <LinksUpToDate>false</LinksUpToDate>
  <CharactersWithSpaces>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examen</dc:creator>
  <cp:lastModifiedBy>lorena</cp:lastModifiedBy>
  <cp:revision>2</cp:revision>
  <cp:lastPrinted>2014-03-13T15:27:00Z</cp:lastPrinted>
  <dcterms:created xsi:type="dcterms:W3CDTF">2014-03-19T14:58:00Z</dcterms:created>
  <dcterms:modified xsi:type="dcterms:W3CDTF">2014-03-19T14:58:00Z</dcterms:modified>
</cp:coreProperties>
</file>