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76" w:rsidRDefault="007C3376" w:rsidP="00A75899">
      <w:pPr>
        <w:jc w:val="both"/>
        <w:rPr>
          <w:rStyle w:val="tpa1"/>
          <w:b/>
          <w:bCs/>
          <w:lang w:val="it-IT"/>
        </w:rPr>
      </w:pPr>
      <w:bookmarkStart w:id="0" w:name="_GoBack"/>
      <w:bookmarkEnd w:id="0"/>
    </w:p>
    <w:p w:rsidR="000514A1" w:rsidRPr="00E2140B" w:rsidRDefault="000514A1" w:rsidP="00A75899">
      <w:pPr>
        <w:jc w:val="both"/>
        <w:rPr>
          <w:rStyle w:val="tpa1"/>
          <w:b/>
          <w:bCs/>
          <w:lang w:val="it-IT"/>
        </w:rPr>
      </w:pPr>
    </w:p>
    <w:p w:rsidR="00647871" w:rsidRPr="00E2140B" w:rsidRDefault="00D20B54" w:rsidP="00A75899">
      <w:pPr>
        <w:jc w:val="both"/>
        <w:rPr>
          <w:rStyle w:val="tpa1"/>
          <w:b/>
          <w:bCs/>
          <w:lang w:val="it-IT"/>
        </w:rPr>
      </w:pPr>
      <w:r w:rsidRPr="00E2140B">
        <w:rPr>
          <w:rStyle w:val="tpa1"/>
          <w:b/>
          <w:bCs/>
          <w:lang w:val="it-IT"/>
        </w:rPr>
        <w:t>ANEXA NR. 5: TARIFE DE T</w:t>
      </w:r>
      <w:r w:rsidR="00E8135C" w:rsidRPr="00E2140B">
        <w:rPr>
          <w:rStyle w:val="tpa1"/>
          <w:b/>
          <w:bCs/>
          <w:lang w:val="it-IT"/>
        </w:rPr>
        <w:t xml:space="preserve">RECERE pentru utilizarea podurilor peste Dunăre </w:t>
      </w:r>
      <w:r w:rsidR="00E8135C" w:rsidRPr="00E2140B">
        <w:rPr>
          <w:rStyle w:val="tpa1"/>
          <w:b/>
          <w:bCs/>
          <w:lang w:val="ro-RO"/>
        </w:rPr>
        <w:t>între</w:t>
      </w:r>
      <w:r w:rsidRPr="00E2140B">
        <w:rPr>
          <w:rStyle w:val="tpa1"/>
          <w:b/>
          <w:bCs/>
          <w:lang w:val="it-IT"/>
        </w:rPr>
        <w:t xml:space="preserve"> Feteşti </w:t>
      </w:r>
      <w:r w:rsidR="00E8135C" w:rsidRPr="00E2140B">
        <w:rPr>
          <w:rStyle w:val="tpa1"/>
          <w:b/>
          <w:bCs/>
          <w:lang w:val="it-IT"/>
        </w:rPr>
        <w:t>și</w:t>
      </w:r>
      <w:r w:rsidRPr="00E2140B">
        <w:rPr>
          <w:rStyle w:val="tpa1"/>
          <w:b/>
          <w:bCs/>
          <w:lang w:val="it-IT"/>
        </w:rPr>
        <w:t xml:space="preserve"> Cernavodă</w:t>
      </w:r>
    </w:p>
    <w:p w:rsidR="007C3376" w:rsidRPr="00E2140B" w:rsidRDefault="007C3376" w:rsidP="00A75899">
      <w:pPr>
        <w:jc w:val="both"/>
        <w:rPr>
          <w:rStyle w:val="tpa1"/>
          <w:b/>
          <w:bCs/>
          <w:lang w:val="it-IT"/>
        </w:rPr>
      </w:pPr>
    </w:p>
    <w:tbl>
      <w:tblPr>
        <w:tblW w:w="9542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3803"/>
        <w:gridCol w:w="1170"/>
        <w:gridCol w:w="1260"/>
        <w:gridCol w:w="2679"/>
      </w:tblGrid>
      <w:tr w:rsidR="00647871" w:rsidRPr="00E2140B" w:rsidTr="00541264">
        <w:trPr>
          <w:trHeight w:val="300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647871" w:rsidP="00647871">
            <w:pPr>
              <w:jc w:val="center"/>
            </w:pPr>
            <w:r w:rsidRPr="00E2140B">
              <w:t>Nr. crt.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647871" w:rsidP="00647871">
            <w:pPr>
              <w:jc w:val="center"/>
            </w:pPr>
            <w:r w:rsidRPr="00E2140B">
              <w:t>Categorie vehicul rutier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647871" w:rsidP="00647871">
            <w:pPr>
              <w:jc w:val="center"/>
            </w:pPr>
            <w:r w:rsidRPr="00E2140B">
              <w:t>Tarif – lei (cu TVA inclus)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647871" w:rsidP="00647871">
            <w:pPr>
              <w:jc w:val="center"/>
            </w:pPr>
            <w:r w:rsidRPr="00E2140B">
              <w:t>Nr. Treceri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64" w:rsidRPr="00541264" w:rsidRDefault="00647871" w:rsidP="00541264">
            <w:pPr>
              <w:jc w:val="center"/>
            </w:pPr>
            <w:r w:rsidRPr="00E2140B">
              <w:t>Valabilitate</w:t>
            </w:r>
            <w:r w:rsidR="00541264" w:rsidRPr="00541264">
              <w:rPr>
                <w:vertAlign w:val="superscript"/>
              </w:rPr>
              <w:t>*)</w:t>
            </w:r>
          </w:p>
        </w:tc>
      </w:tr>
      <w:tr w:rsidR="00647871" w:rsidRPr="00E2140B" w:rsidTr="0067325E">
        <w:trPr>
          <w:trHeight w:val="986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1" w:rsidRPr="00E2140B" w:rsidRDefault="00647871" w:rsidP="00647871"/>
        </w:tc>
        <w:tc>
          <w:tcPr>
            <w:tcW w:w="3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871" w:rsidRPr="00E2140B" w:rsidRDefault="00647871" w:rsidP="00647871"/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1" w:rsidRPr="00E2140B" w:rsidRDefault="00647871" w:rsidP="00647871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1" w:rsidRPr="00E2140B" w:rsidRDefault="00647871" w:rsidP="00647871"/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1" w:rsidRPr="00E2140B" w:rsidRDefault="00647871" w:rsidP="00647871"/>
        </w:tc>
      </w:tr>
      <w:tr w:rsidR="00F1352C" w:rsidRPr="00E2140B" w:rsidTr="0067325E">
        <w:trPr>
          <w:trHeight w:val="986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E2140B" w:rsidRDefault="00F1352C" w:rsidP="00647871">
            <w:pPr>
              <w:jc w:val="center"/>
            </w:pPr>
            <w:r w:rsidRPr="00E2140B">
              <w:t>1</w:t>
            </w:r>
          </w:p>
          <w:p w:rsidR="00F1352C" w:rsidRPr="00E2140B" w:rsidRDefault="00F1352C" w:rsidP="00647871">
            <w:pPr>
              <w:jc w:val="center"/>
            </w:pPr>
          </w:p>
          <w:p w:rsidR="00F1352C" w:rsidRPr="00E2140B" w:rsidRDefault="00F1352C" w:rsidP="00647871">
            <w:pPr>
              <w:jc w:val="center"/>
            </w:pPr>
          </w:p>
          <w:p w:rsidR="00F1352C" w:rsidRPr="00E2140B" w:rsidRDefault="00F1352C" w:rsidP="00647871">
            <w:pPr>
              <w:jc w:val="center"/>
            </w:pP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B4" w:rsidRDefault="00B45FB4" w:rsidP="00647871"/>
          <w:p w:rsidR="00F1352C" w:rsidRDefault="00F1352C" w:rsidP="00941CB0">
            <w:pPr>
              <w:jc w:val="both"/>
            </w:pPr>
            <w:r w:rsidRPr="00E2140B">
              <w:t>a) Vehicule rutiere de transport persoane cu cel mult 8+1 locuri pe scaune (inclusiv conducătorul auto) -  autoturisme</w:t>
            </w:r>
          </w:p>
          <w:p w:rsidR="007576E8" w:rsidRDefault="007576E8" w:rsidP="00941CB0">
            <w:pPr>
              <w:jc w:val="both"/>
            </w:pPr>
            <w:r w:rsidRPr="00E2140B">
              <w:t xml:space="preserve">b)Vehicule rutiere cu masa totală maximă autorizată mai mică sau egală cu 3,5 tone, exclusiv vehiculele rutiere de transport </w:t>
            </w:r>
            <w:r w:rsidR="00B45FB4">
              <w:t>perso</w:t>
            </w:r>
            <w:r w:rsidR="00941CB0">
              <w:t>an</w:t>
            </w:r>
            <w:r w:rsidR="00B45FB4">
              <w:t>e</w:t>
            </w:r>
          </w:p>
          <w:p w:rsidR="00B45FB4" w:rsidRPr="00E2140B" w:rsidRDefault="00B45FB4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E2140B" w:rsidRDefault="00F1352C" w:rsidP="00647871">
            <w:pPr>
              <w:jc w:val="center"/>
            </w:pPr>
            <w:r w:rsidRPr="00E2140B">
              <w:t>13,00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E2140B" w:rsidRDefault="00F1352C" w:rsidP="00647871">
            <w:pPr>
              <w:jc w:val="center"/>
            </w:pPr>
            <w:r w:rsidRPr="00E2140B"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FF58BB" w:rsidRDefault="00FF58BB" w:rsidP="00FF58BB">
            <w:pPr>
              <w:jc w:val="center"/>
              <w:rPr>
                <w:lang w:val="ro-RO"/>
              </w:rPr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F1352C" w:rsidRPr="00E2140B" w:rsidTr="0067325E">
        <w:trPr>
          <w:trHeight w:val="1049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52C" w:rsidRPr="00E2140B" w:rsidRDefault="00F1352C" w:rsidP="00647871"/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52C" w:rsidRPr="00E2140B" w:rsidRDefault="00F1352C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E2140B" w:rsidRDefault="00F1352C" w:rsidP="00647871">
            <w:pPr>
              <w:jc w:val="center"/>
            </w:pPr>
            <w:r w:rsidRPr="00E2140B">
              <w:t>26,00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E2140B" w:rsidRDefault="00F1352C" w:rsidP="00647871">
            <w:pPr>
              <w:jc w:val="center"/>
            </w:pPr>
            <w:r w:rsidRPr="00E2140B"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E2140B" w:rsidRDefault="00FF58BB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F1352C" w:rsidRPr="00E2140B" w:rsidTr="006855AA">
        <w:trPr>
          <w:trHeight w:val="644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52C" w:rsidRPr="00E2140B" w:rsidRDefault="00F1352C" w:rsidP="00647871"/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52C" w:rsidRPr="00E2140B" w:rsidRDefault="00F1352C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E2140B" w:rsidRDefault="001E547C" w:rsidP="00E2140B">
            <w:pPr>
              <w:jc w:val="center"/>
            </w:pPr>
            <w:r>
              <w:t>208</w:t>
            </w:r>
            <w:r w:rsidR="00F1352C" w:rsidRPr="00E2140B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E2140B" w:rsidRDefault="00F1352C" w:rsidP="00647871">
            <w:pPr>
              <w:jc w:val="center"/>
            </w:pPr>
            <w:r w:rsidRPr="00E2140B"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52C" w:rsidRPr="00E2140B" w:rsidRDefault="00FF58BB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A52041" w:rsidRPr="00E2140B" w:rsidTr="000670BF">
        <w:trPr>
          <w:trHeight w:val="1094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A52041" w:rsidP="00647871">
            <w:pPr>
              <w:jc w:val="center"/>
            </w:pPr>
            <w:r w:rsidRPr="00E2140B">
              <w:t>2</w:t>
            </w: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CB0" w:rsidRDefault="00941CB0" w:rsidP="00014D53">
            <w:pPr>
              <w:jc w:val="both"/>
            </w:pPr>
          </w:p>
          <w:p w:rsidR="00A52041" w:rsidRDefault="00A52041" w:rsidP="00014D53">
            <w:pPr>
              <w:jc w:val="both"/>
            </w:pPr>
            <w:r w:rsidRPr="00E2140B">
              <w:t>a)Vehicule rutiere de transport persoane cu mai mult de 9 locuri pe scaune (inclusiv conducătorul auto) şi maximum 23 de locuri pe scaune (inclusiv conducătorul auto)</w:t>
            </w:r>
          </w:p>
          <w:p w:rsidR="00014D53" w:rsidRDefault="00014D53" w:rsidP="00014D53">
            <w:pPr>
              <w:jc w:val="both"/>
            </w:pPr>
            <w:r w:rsidRPr="00E2140B">
              <w:t>b)Vehicule rutiere cu masa totală maximă autorizată mai mare de 3,5 tone şi mai mică de 12,0 tone, exclusiv vehiculele rutiere de transport persoane</w:t>
            </w:r>
          </w:p>
          <w:p w:rsidR="00014D53" w:rsidRPr="00E2140B" w:rsidRDefault="00014D53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A52041" w:rsidP="00E2140B">
            <w:pPr>
              <w:jc w:val="center"/>
            </w:pPr>
            <w:r w:rsidRPr="00E2140B">
              <w:t>4</w:t>
            </w:r>
            <w:r w:rsidR="001E547C">
              <w:t>7</w:t>
            </w:r>
            <w:r w:rsidRPr="00E2140B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A52041" w:rsidP="00647871">
            <w:pPr>
              <w:jc w:val="center"/>
            </w:pPr>
            <w:r w:rsidRPr="00E2140B"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014D53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A52041" w:rsidRPr="00E2140B" w:rsidTr="000670BF">
        <w:trPr>
          <w:trHeight w:val="115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041" w:rsidRPr="00E2140B" w:rsidRDefault="00A52041" w:rsidP="00647871"/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41" w:rsidRPr="00E2140B" w:rsidRDefault="00A52041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A52041" w:rsidP="00E2140B">
            <w:pPr>
              <w:jc w:val="center"/>
            </w:pPr>
            <w:r w:rsidRPr="00E2140B">
              <w:t>9</w:t>
            </w:r>
            <w:r w:rsidR="001E547C">
              <w:t>4</w:t>
            </w:r>
            <w:r w:rsidRPr="00E2140B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A52041" w:rsidP="00647871">
            <w:pPr>
              <w:jc w:val="center"/>
            </w:pPr>
            <w:r w:rsidRPr="00E2140B"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014D53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A52041" w:rsidRPr="00E2140B" w:rsidTr="00541264">
        <w:trPr>
          <w:trHeight w:val="701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041" w:rsidRPr="00E2140B" w:rsidRDefault="00A52041" w:rsidP="00647871"/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2041" w:rsidRPr="00E2140B" w:rsidRDefault="00A52041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A52041" w:rsidP="00E2140B">
            <w:pPr>
              <w:jc w:val="center"/>
            </w:pPr>
            <w:r w:rsidRPr="00E2140B">
              <w:t>8</w:t>
            </w:r>
            <w:r w:rsidR="001E547C">
              <w:t>18</w:t>
            </w:r>
            <w:r w:rsidRPr="00E2140B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A52041" w:rsidP="00647871">
            <w:pPr>
              <w:jc w:val="center"/>
            </w:pPr>
            <w:r w:rsidRPr="00E2140B"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041" w:rsidRPr="00E2140B" w:rsidRDefault="00014D53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7C3376" w:rsidRPr="00E2140B" w:rsidTr="00921B68">
        <w:trPr>
          <w:trHeight w:val="1004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7C3376" w:rsidP="00647871">
            <w:pPr>
              <w:jc w:val="center"/>
            </w:pPr>
            <w:r w:rsidRPr="00E2140B">
              <w:t>3</w:t>
            </w:r>
          </w:p>
        </w:tc>
        <w:tc>
          <w:tcPr>
            <w:tcW w:w="3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B68" w:rsidRDefault="00921B68" w:rsidP="00647871"/>
          <w:p w:rsidR="000670BF" w:rsidRDefault="007C3376" w:rsidP="00647871">
            <w:r w:rsidRPr="00E2140B">
              <w:t>a)Vehicule rutiere de transport persoane cu mai mult de 23 de locuri pe scaune (inclusiv conducătorul auto)</w:t>
            </w:r>
          </w:p>
          <w:p w:rsidR="000670BF" w:rsidRDefault="00EA127D" w:rsidP="00647871">
            <w:r w:rsidRPr="00E2140B">
              <w:t xml:space="preserve">b)Vehicule rutiere cu masa totală maximă autorizată mai mare sau egală cu 12,0 tone şi cu maximum 3 axe (inclusiv), exclusiv vehiculele rutiere de transport </w:t>
            </w:r>
            <w:r w:rsidR="007634FC">
              <w:t>perso</w:t>
            </w:r>
            <w:r w:rsidR="00921B68">
              <w:t>a</w:t>
            </w:r>
            <w:r w:rsidR="007634FC">
              <w:t>n</w:t>
            </w:r>
            <w:r w:rsidR="00921B68">
              <w:t>e</w:t>
            </w:r>
          </w:p>
          <w:p w:rsidR="00921B68" w:rsidRPr="00E2140B" w:rsidRDefault="00921B68" w:rsidP="00647871"/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7C3376" w:rsidP="00E2140B">
            <w:pPr>
              <w:jc w:val="center"/>
            </w:pPr>
            <w:r w:rsidRPr="00E2140B">
              <w:t>6</w:t>
            </w:r>
            <w:r w:rsidR="001E547C">
              <w:t>4</w:t>
            </w:r>
            <w:r w:rsidRPr="00E2140B"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7C3376" w:rsidP="00647871">
            <w:pPr>
              <w:jc w:val="center"/>
            </w:pPr>
            <w:r w:rsidRPr="00E2140B"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921B68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7C3376" w:rsidRPr="00E2140B" w:rsidTr="00BC42B7">
        <w:trPr>
          <w:trHeight w:val="986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376" w:rsidRPr="00E2140B" w:rsidRDefault="007C3376" w:rsidP="00647871"/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76" w:rsidRPr="00E2140B" w:rsidRDefault="007C3376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1E547C" w:rsidP="00E2140B">
            <w:pPr>
              <w:jc w:val="center"/>
            </w:pPr>
            <w:r>
              <w:t>128</w:t>
            </w:r>
            <w:r w:rsidR="007C3376" w:rsidRPr="00E2140B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7C3376" w:rsidP="00647871">
            <w:pPr>
              <w:jc w:val="center"/>
            </w:pPr>
            <w:r w:rsidRPr="00E2140B"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921B68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7C3376" w:rsidRPr="00E2140B" w:rsidTr="00121BDD">
        <w:trPr>
          <w:trHeight w:val="79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3376" w:rsidRPr="00E2140B" w:rsidRDefault="007C3376" w:rsidP="00647871"/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376" w:rsidRPr="00E2140B" w:rsidRDefault="007C3376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1E547C" w:rsidP="00E2140B">
            <w:pPr>
              <w:jc w:val="center"/>
            </w:pPr>
            <w:r>
              <w:t>1.114</w:t>
            </w:r>
            <w:r w:rsidR="007C3376" w:rsidRPr="00E2140B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7C3376" w:rsidP="00647871">
            <w:pPr>
              <w:jc w:val="center"/>
            </w:pPr>
            <w:r w:rsidRPr="00E2140B"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376" w:rsidRPr="00E2140B" w:rsidRDefault="00921B68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647871" w:rsidRPr="00E2140B" w:rsidTr="00541264">
        <w:trPr>
          <w:trHeight w:val="638"/>
          <w:jc w:val="center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7C3376" w:rsidP="00647871">
            <w:pPr>
              <w:jc w:val="center"/>
            </w:pPr>
            <w:r w:rsidRPr="00E2140B">
              <w:t>4</w:t>
            </w:r>
          </w:p>
        </w:tc>
        <w:tc>
          <w:tcPr>
            <w:tcW w:w="3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647871" w:rsidP="00647871">
            <w:r w:rsidRPr="00E2140B">
              <w:t>Vehicule rutiere cu masa totală maximă autorizată mai mare sau egală cu 12,0 tone şi cu minimum 4 axe (inclusiv), exclusiv vehiculele rutiere de transport persoane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9F303B" w:rsidP="00E2140B">
            <w:pPr>
              <w:jc w:val="center"/>
            </w:pPr>
            <w:r w:rsidRPr="00E2140B">
              <w:t>9</w:t>
            </w:r>
            <w:r w:rsidR="004608F7">
              <w:t>1</w:t>
            </w:r>
            <w:r w:rsidR="000B7931" w:rsidRPr="00E2140B">
              <w:t>,</w:t>
            </w:r>
            <w:r w:rsidR="00647871" w:rsidRPr="00E2140B"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647871" w:rsidP="00647871">
            <w:pPr>
              <w:jc w:val="center"/>
            </w:pPr>
            <w:r w:rsidRPr="00E2140B"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1A69D2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9F303B" w:rsidRPr="00E2140B" w:rsidTr="00541264">
        <w:trPr>
          <w:trHeight w:val="825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03B" w:rsidRPr="00E2140B" w:rsidRDefault="009F303B" w:rsidP="00647871"/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03B" w:rsidRPr="00E2140B" w:rsidRDefault="009F303B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3B" w:rsidRPr="00E2140B" w:rsidRDefault="004608F7" w:rsidP="00E2140B">
            <w:pPr>
              <w:jc w:val="center"/>
            </w:pPr>
            <w:r>
              <w:t>18</w:t>
            </w:r>
            <w:r w:rsidR="00E2140B">
              <w:t>2</w:t>
            </w:r>
            <w:r w:rsidR="009F303B" w:rsidRPr="00E2140B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3B" w:rsidRPr="00E2140B" w:rsidRDefault="009F303B" w:rsidP="00647871">
            <w:pPr>
              <w:jc w:val="center"/>
            </w:pPr>
            <w:r w:rsidRPr="00E2140B"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03B" w:rsidRPr="00E2140B" w:rsidRDefault="001A69D2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  <w:tr w:rsidR="00647871" w:rsidRPr="00E2140B" w:rsidTr="00121BDD">
        <w:trPr>
          <w:trHeight w:val="599"/>
          <w:jc w:val="center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871" w:rsidRPr="00E2140B" w:rsidRDefault="00647871" w:rsidP="00647871"/>
        </w:tc>
        <w:tc>
          <w:tcPr>
            <w:tcW w:w="3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871" w:rsidRPr="00E2140B" w:rsidRDefault="00647871" w:rsidP="00647871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4608F7" w:rsidP="00E2140B">
            <w:pPr>
              <w:jc w:val="center"/>
            </w:pPr>
            <w:r>
              <w:t>1.584</w:t>
            </w:r>
            <w:r w:rsidR="000B7931" w:rsidRPr="00E2140B">
              <w:t>,</w:t>
            </w:r>
            <w:r w:rsidR="00647871" w:rsidRPr="00E2140B"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647871" w:rsidP="00647871">
            <w:pPr>
              <w:jc w:val="center"/>
            </w:pPr>
            <w:r w:rsidRPr="00E2140B">
              <w:t>20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871" w:rsidRPr="00E2140B" w:rsidRDefault="001A69D2" w:rsidP="00647871">
            <w:pPr>
              <w:jc w:val="center"/>
            </w:pPr>
            <w:r>
              <w:t>12 luni de la data achit</w:t>
            </w:r>
            <w:r>
              <w:rPr>
                <w:lang w:val="ro-RO"/>
              </w:rPr>
              <w:t>ării</w:t>
            </w:r>
          </w:p>
        </w:tc>
      </w:tr>
    </w:tbl>
    <w:p w:rsidR="00ED0869" w:rsidRDefault="00ED0869" w:rsidP="00ED0869">
      <w:pPr>
        <w:tabs>
          <w:tab w:val="left" w:pos="534"/>
          <w:tab w:val="left" w:pos="2906"/>
          <w:tab w:val="left" w:pos="4076"/>
          <w:tab w:val="left" w:pos="5246"/>
          <w:tab w:val="left" w:pos="6669"/>
          <w:tab w:val="left" w:pos="6905"/>
        </w:tabs>
        <w:jc w:val="both"/>
        <w:rPr>
          <w:bCs/>
          <w:lang w:val="ro-RO"/>
        </w:rPr>
      </w:pPr>
    </w:p>
    <w:p w:rsidR="00331ED5" w:rsidRPr="00B377E6" w:rsidRDefault="005B3960" w:rsidP="007E09E7">
      <w:pPr>
        <w:ind w:left="900" w:hanging="900"/>
        <w:jc w:val="both"/>
      </w:pPr>
      <w:r w:rsidRPr="00ED0869">
        <w:rPr>
          <w:bCs/>
          <w:lang w:val="ro-RO"/>
        </w:rPr>
        <w:t xml:space="preserve"> </w:t>
      </w:r>
      <w:r w:rsidR="00B52539">
        <w:rPr>
          <w:bCs/>
          <w:lang w:val="ro-RO"/>
        </w:rPr>
        <w:t>NOTĂ</w:t>
      </w:r>
      <w:r w:rsidR="00644E3D">
        <w:rPr>
          <w:bCs/>
          <w:lang w:val="ro-RO"/>
        </w:rPr>
        <w:t>:</w:t>
      </w:r>
      <w:r w:rsidR="00331ED5" w:rsidRPr="00331ED5">
        <w:t xml:space="preserve"> </w:t>
      </w:r>
      <w:r w:rsidR="00331ED5">
        <w:t>Tariful de trecere se poate</w:t>
      </w:r>
      <w:r w:rsidR="002576A5">
        <w:t xml:space="preserve"> achita în numerar sau cu card ș</w:t>
      </w:r>
      <w:r w:rsidR="00331ED5">
        <w:t xml:space="preserve">i în Agenția de Încasare Fetești numai </w:t>
      </w:r>
      <w:r w:rsidR="000010AF">
        <w:t>pe benzile marginale unde există operator și barieră, inscripț</w:t>
      </w:r>
      <w:r w:rsidR="00331ED5">
        <w:t xml:space="preserve">ionate cu semnul </w:t>
      </w:r>
      <w:r w:rsidR="000010AF">
        <w:t>„cash” și numai pentru o singură trecere, avâ</w:t>
      </w:r>
      <w:r w:rsidR="00331ED5">
        <w:t>nd valabilitatea acelei treceri.</w:t>
      </w:r>
    </w:p>
    <w:p w:rsidR="00541264" w:rsidRPr="006A74F7" w:rsidRDefault="00541264" w:rsidP="007E09E7">
      <w:pPr>
        <w:tabs>
          <w:tab w:val="left" w:pos="900"/>
          <w:tab w:val="left" w:pos="2906"/>
          <w:tab w:val="left" w:pos="4076"/>
          <w:tab w:val="left" w:pos="5246"/>
          <w:tab w:val="left" w:pos="6669"/>
          <w:tab w:val="left" w:pos="6905"/>
        </w:tabs>
        <w:ind w:left="900" w:hanging="900"/>
        <w:jc w:val="both"/>
        <w:rPr>
          <w:bCs/>
        </w:rPr>
      </w:pPr>
      <w:r>
        <w:rPr>
          <w:bCs/>
          <w:lang w:val="ro-RO"/>
        </w:rPr>
        <w:tab/>
      </w:r>
      <w:r w:rsidR="00AB083F">
        <w:rPr>
          <w:bCs/>
          <w:lang w:val="ro-RO"/>
        </w:rPr>
        <w:t>*) perioada maximă î</w:t>
      </w:r>
      <w:r>
        <w:rPr>
          <w:bCs/>
          <w:lang w:val="ro-RO"/>
        </w:rPr>
        <w:t xml:space="preserve">n care se pot efectua </w:t>
      </w:r>
      <w:r w:rsidR="00AB083F">
        <w:rPr>
          <w:bCs/>
        </w:rPr>
        <w:t>trecerile achitate</w:t>
      </w:r>
    </w:p>
    <w:sectPr w:rsidR="00541264" w:rsidRPr="006A74F7" w:rsidSect="00B377E6">
      <w:pgSz w:w="11909" w:h="16834" w:code="9"/>
      <w:pgMar w:top="360" w:right="1109" w:bottom="360" w:left="1411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37" w:rsidRDefault="00DB2037" w:rsidP="00DF4127">
      <w:r>
        <w:separator/>
      </w:r>
    </w:p>
  </w:endnote>
  <w:endnote w:type="continuationSeparator" w:id="0">
    <w:p w:rsidR="00DB2037" w:rsidRDefault="00DB2037" w:rsidP="00D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37" w:rsidRDefault="00DB2037" w:rsidP="00DF4127">
      <w:r>
        <w:separator/>
      </w:r>
    </w:p>
  </w:footnote>
  <w:footnote w:type="continuationSeparator" w:id="0">
    <w:p w:rsidR="00DB2037" w:rsidRDefault="00DB2037" w:rsidP="00D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0C92"/>
    <w:multiLevelType w:val="hybridMultilevel"/>
    <w:tmpl w:val="10363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A56F0"/>
    <w:multiLevelType w:val="hybridMultilevel"/>
    <w:tmpl w:val="1A102C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60BB"/>
    <w:multiLevelType w:val="hybridMultilevel"/>
    <w:tmpl w:val="6B30AD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94157"/>
    <w:multiLevelType w:val="hybridMultilevel"/>
    <w:tmpl w:val="77AA18EC"/>
    <w:lvl w:ilvl="0" w:tplc="65C83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34CD0"/>
    <w:multiLevelType w:val="hybridMultilevel"/>
    <w:tmpl w:val="26724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5E79DF"/>
    <w:multiLevelType w:val="hybridMultilevel"/>
    <w:tmpl w:val="50C86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43132"/>
    <w:multiLevelType w:val="hybridMultilevel"/>
    <w:tmpl w:val="9C54F3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F50F27"/>
    <w:multiLevelType w:val="hybridMultilevel"/>
    <w:tmpl w:val="F954B0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985847"/>
    <w:multiLevelType w:val="hybridMultilevel"/>
    <w:tmpl w:val="BC2A2C96"/>
    <w:lvl w:ilvl="0" w:tplc="55AC149A">
      <w:start w:val="1"/>
      <w:numFmt w:val="upperLetter"/>
      <w:lvlText w:val="%1."/>
      <w:lvlJc w:val="left"/>
      <w:pPr>
        <w:ind w:left="900" w:hanging="540"/>
      </w:pPr>
      <w:rPr>
        <w:rFonts w:cs="Times New Roman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F97056B"/>
    <w:multiLevelType w:val="hybridMultilevel"/>
    <w:tmpl w:val="BA002E4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58E"/>
    <w:rsid w:val="000010AF"/>
    <w:rsid w:val="00001776"/>
    <w:rsid w:val="00014D53"/>
    <w:rsid w:val="000514A1"/>
    <w:rsid w:val="000670BF"/>
    <w:rsid w:val="000A321E"/>
    <w:rsid w:val="000B127B"/>
    <w:rsid w:val="000B7931"/>
    <w:rsid w:val="000D1C92"/>
    <w:rsid w:val="000F32FF"/>
    <w:rsid w:val="00101AF4"/>
    <w:rsid w:val="00104E72"/>
    <w:rsid w:val="00121BDD"/>
    <w:rsid w:val="0012538C"/>
    <w:rsid w:val="00137658"/>
    <w:rsid w:val="00177393"/>
    <w:rsid w:val="0018250A"/>
    <w:rsid w:val="00193940"/>
    <w:rsid w:val="00196D08"/>
    <w:rsid w:val="001A6775"/>
    <w:rsid w:val="001A69D2"/>
    <w:rsid w:val="001B0605"/>
    <w:rsid w:val="001B7C82"/>
    <w:rsid w:val="001C7FE6"/>
    <w:rsid w:val="001E547C"/>
    <w:rsid w:val="00201DD4"/>
    <w:rsid w:val="00230A0E"/>
    <w:rsid w:val="00243548"/>
    <w:rsid w:val="002439B4"/>
    <w:rsid w:val="002576A5"/>
    <w:rsid w:val="00264652"/>
    <w:rsid w:val="00271D99"/>
    <w:rsid w:val="0027288B"/>
    <w:rsid w:val="00277D2A"/>
    <w:rsid w:val="002A20F9"/>
    <w:rsid w:val="002B5663"/>
    <w:rsid w:val="0030563B"/>
    <w:rsid w:val="00311A0F"/>
    <w:rsid w:val="00314AFF"/>
    <w:rsid w:val="00322DA4"/>
    <w:rsid w:val="003260E7"/>
    <w:rsid w:val="00331ED5"/>
    <w:rsid w:val="003327E6"/>
    <w:rsid w:val="00341F6A"/>
    <w:rsid w:val="003442D3"/>
    <w:rsid w:val="00357940"/>
    <w:rsid w:val="00361ABD"/>
    <w:rsid w:val="00361E99"/>
    <w:rsid w:val="00364B3F"/>
    <w:rsid w:val="00364DC8"/>
    <w:rsid w:val="00364EC1"/>
    <w:rsid w:val="0036543F"/>
    <w:rsid w:val="00370269"/>
    <w:rsid w:val="00371942"/>
    <w:rsid w:val="00376489"/>
    <w:rsid w:val="00382386"/>
    <w:rsid w:val="00384E63"/>
    <w:rsid w:val="0039652B"/>
    <w:rsid w:val="003C2D12"/>
    <w:rsid w:val="004123A3"/>
    <w:rsid w:val="00417527"/>
    <w:rsid w:val="004325E9"/>
    <w:rsid w:val="00433150"/>
    <w:rsid w:val="00443FC2"/>
    <w:rsid w:val="004511DE"/>
    <w:rsid w:val="004608F7"/>
    <w:rsid w:val="0048430D"/>
    <w:rsid w:val="004974F3"/>
    <w:rsid w:val="004A4B57"/>
    <w:rsid w:val="004F7357"/>
    <w:rsid w:val="00511264"/>
    <w:rsid w:val="00513B30"/>
    <w:rsid w:val="00513B6A"/>
    <w:rsid w:val="00523E18"/>
    <w:rsid w:val="00525805"/>
    <w:rsid w:val="005263EE"/>
    <w:rsid w:val="00537544"/>
    <w:rsid w:val="00541264"/>
    <w:rsid w:val="0054278C"/>
    <w:rsid w:val="00550BC7"/>
    <w:rsid w:val="00563EC5"/>
    <w:rsid w:val="005718BB"/>
    <w:rsid w:val="00590DBC"/>
    <w:rsid w:val="00594850"/>
    <w:rsid w:val="00597E4D"/>
    <w:rsid w:val="005B0798"/>
    <w:rsid w:val="005B0BB4"/>
    <w:rsid w:val="005B103F"/>
    <w:rsid w:val="005B19EB"/>
    <w:rsid w:val="005B3960"/>
    <w:rsid w:val="005B7102"/>
    <w:rsid w:val="005C4CF0"/>
    <w:rsid w:val="005D6D08"/>
    <w:rsid w:val="005E7290"/>
    <w:rsid w:val="00613B09"/>
    <w:rsid w:val="00630FB4"/>
    <w:rsid w:val="00641832"/>
    <w:rsid w:val="00644E3D"/>
    <w:rsid w:val="00647871"/>
    <w:rsid w:val="006601FF"/>
    <w:rsid w:val="0066375C"/>
    <w:rsid w:val="0067325E"/>
    <w:rsid w:val="00675917"/>
    <w:rsid w:val="00681989"/>
    <w:rsid w:val="006855AA"/>
    <w:rsid w:val="0069136D"/>
    <w:rsid w:val="006A12F4"/>
    <w:rsid w:val="006B158E"/>
    <w:rsid w:val="006B4EDB"/>
    <w:rsid w:val="006F0783"/>
    <w:rsid w:val="0070240F"/>
    <w:rsid w:val="0070320D"/>
    <w:rsid w:val="0070633B"/>
    <w:rsid w:val="007209CF"/>
    <w:rsid w:val="007418CA"/>
    <w:rsid w:val="007454BA"/>
    <w:rsid w:val="00746AD0"/>
    <w:rsid w:val="007576E8"/>
    <w:rsid w:val="00761753"/>
    <w:rsid w:val="00762265"/>
    <w:rsid w:val="007634FC"/>
    <w:rsid w:val="007900AF"/>
    <w:rsid w:val="0079788B"/>
    <w:rsid w:val="007A7E52"/>
    <w:rsid w:val="007C3376"/>
    <w:rsid w:val="007C444C"/>
    <w:rsid w:val="007D7833"/>
    <w:rsid w:val="007D7AF3"/>
    <w:rsid w:val="007E09E7"/>
    <w:rsid w:val="007F2086"/>
    <w:rsid w:val="008018F1"/>
    <w:rsid w:val="00816F03"/>
    <w:rsid w:val="00820599"/>
    <w:rsid w:val="0085028A"/>
    <w:rsid w:val="00894CB9"/>
    <w:rsid w:val="008B0D77"/>
    <w:rsid w:val="008B27F7"/>
    <w:rsid w:val="008C588F"/>
    <w:rsid w:val="008D667B"/>
    <w:rsid w:val="009022C6"/>
    <w:rsid w:val="00911457"/>
    <w:rsid w:val="00915B70"/>
    <w:rsid w:val="00921B68"/>
    <w:rsid w:val="00925760"/>
    <w:rsid w:val="0093205B"/>
    <w:rsid w:val="00936F61"/>
    <w:rsid w:val="00937477"/>
    <w:rsid w:val="00941CB0"/>
    <w:rsid w:val="009436D5"/>
    <w:rsid w:val="00976025"/>
    <w:rsid w:val="009C2D97"/>
    <w:rsid w:val="009D6841"/>
    <w:rsid w:val="009E5524"/>
    <w:rsid w:val="009F303B"/>
    <w:rsid w:val="009F66D0"/>
    <w:rsid w:val="00A33F55"/>
    <w:rsid w:val="00A443E1"/>
    <w:rsid w:val="00A52041"/>
    <w:rsid w:val="00A5581D"/>
    <w:rsid w:val="00A56109"/>
    <w:rsid w:val="00A73CE6"/>
    <w:rsid w:val="00A75899"/>
    <w:rsid w:val="00AA35AC"/>
    <w:rsid w:val="00AB083F"/>
    <w:rsid w:val="00AB481C"/>
    <w:rsid w:val="00AF3057"/>
    <w:rsid w:val="00B2229B"/>
    <w:rsid w:val="00B377E6"/>
    <w:rsid w:val="00B419AA"/>
    <w:rsid w:val="00B45FB4"/>
    <w:rsid w:val="00B52539"/>
    <w:rsid w:val="00B631E3"/>
    <w:rsid w:val="00B674B1"/>
    <w:rsid w:val="00B764B3"/>
    <w:rsid w:val="00B83CCF"/>
    <w:rsid w:val="00B92BA1"/>
    <w:rsid w:val="00BB48AD"/>
    <w:rsid w:val="00BB6ACC"/>
    <w:rsid w:val="00BC42B7"/>
    <w:rsid w:val="00BD5977"/>
    <w:rsid w:val="00BE10E3"/>
    <w:rsid w:val="00BE6FAE"/>
    <w:rsid w:val="00BE7793"/>
    <w:rsid w:val="00C5053E"/>
    <w:rsid w:val="00C50D77"/>
    <w:rsid w:val="00C665AC"/>
    <w:rsid w:val="00C756E1"/>
    <w:rsid w:val="00C80432"/>
    <w:rsid w:val="00C808EF"/>
    <w:rsid w:val="00CA198B"/>
    <w:rsid w:val="00CA2BF3"/>
    <w:rsid w:val="00CB0ACA"/>
    <w:rsid w:val="00CB76D4"/>
    <w:rsid w:val="00CF7EEB"/>
    <w:rsid w:val="00D0313C"/>
    <w:rsid w:val="00D07663"/>
    <w:rsid w:val="00D20B54"/>
    <w:rsid w:val="00D32291"/>
    <w:rsid w:val="00D6153F"/>
    <w:rsid w:val="00DB0903"/>
    <w:rsid w:val="00DB2037"/>
    <w:rsid w:val="00DD0BD0"/>
    <w:rsid w:val="00DE5F92"/>
    <w:rsid w:val="00DE788D"/>
    <w:rsid w:val="00DF1E75"/>
    <w:rsid w:val="00DF4127"/>
    <w:rsid w:val="00E04465"/>
    <w:rsid w:val="00E1701A"/>
    <w:rsid w:val="00E2140B"/>
    <w:rsid w:val="00E21B5C"/>
    <w:rsid w:val="00E21B60"/>
    <w:rsid w:val="00E4257B"/>
    <w:rsid w:val="00E618FB"/>
    <w:rsid w:val="00E74119"/>
    <w:rsid w:val="00E8135C"/>
    <w:rsid w:val="00E84828"/>
    <w:rsid w:val="00EA127D"/>
    <w:rsid w:val="00EA5073"/>
    <w:rsid w:val="00ED0869"/>
    <w:rsid w:val="00EF2A06"/>
    <w:rsid w:val="00F1352C"/>
    <w:rsid w:val="00F15E0D"/>
    <w:rsid w:val="00F161E9"/>
    <w:rsid w:val="00F639B1"/>
    <w:rsid w:val="00F746A3"/>
    <w:rsid w:val="00F81EF2"/>
    <w:rsid w:val="00F82195"/>
    <w:rsid w:val="00FB3E05"/>
    <w:rsid w:val="00FD2D0F"/>
    <w:rsid w:val="00FD3182"/>
    <w:rsid w:val="00FE7CF8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8B1034-1685-47EC-B2F4-C4F446F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D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uiPriority w:val="99"/>
    <w:rsid w:val="00D0313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0313C"/>
    <w:pPr>
      <w:ind w:left="720"/>
    </w:pPr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4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1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4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1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0FF8-98BE-4342-A0D7-32671C63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General User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User</dc:creator>
  <cp:lastModifiedBy>user</cp:lastModifiedBy>
  <cp:revision>2</cp:revision>
  <cp:lastPrinted>2018-12-07T15:37:00Z</cp:lastPrinted>
  <dcterms:created xsi:type="dcterms:W3CDTF">2018-12-07T15:37:00Z</dcterms:created>
  <dcterms:modified xsi:type="dcterms:W3CDTF">2018-12-07T15:37:00Z</dcterms:modified>
</cp:coreProperties>
</file>