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EA0DF7" w:rsidTr="002F515D">
        <w:trPr>
          <w:trHeight w:hRule="exact" w:val="851"/>
        </w:trPr>
        <w:tc>
          <w:tcPr>
            <w:tcW w:w="1276" w:type="dxa"/>
            <w:tcBorders>
              <w:bottom w:val="single" w:sz="4" w:space="0" w:color="auto"/>
            </w:tcBorders>
          </w:tcPr>
          <w:p w:rsidR="003D1DF3" w:rsidRPr="00D70F60" w:rsidRDefault="003D1DF3" w:rsidP="00F01516">
            <w:pPr>
              <w:rPr>
                <w:lang w:val="ro-RO"/>
              </w:rPr>
            </w:pPr>
            <w:bookmarkStart w:id="0" w:name="_GoBack"/>
            <w:bookmarkEnd w:id="0"/>
          </w:p>
        </w:tc>
        <w:tc>
          <w:tcPr>
            <w:tcW w:w="2268" w:type="dxa"/>
            <w:tcBorders>
              <w:bottom w:val="single" w:sz="4" w:space="0" w:color="auto"/>
            </w:tcBorders>
            <w:vAlign w:val="bottom"/>
          </w:tcPr>
          <w:p w:rsidR="003D1DF3" w:rsidRPr="00D70F60" w:rsidRDefault="002F515D" w:rsidP="00F01516">
            <w:pPr>
              <w:spacing w:after="80" w:line="300" w:lineRule="exact"/>
              <w:rPr>
                <w:sz w:val="28"/>
                <w:lang w:val="ro-RO"/>
              </w:rPr>
            </w:pPr>
            <w:r w:rsidRPr="00D70F60">
              <w:rPr>
                <w:sz w:val="28"/>
                <w:lang w:val="ro-RO"/>
              </w:rPr>
              <w:t>Națiunile Unite</w:t>
            </w:r>
          </w:p>
        </w:tc>
        <w:tc>
          <w:tcPr>
            <w:tcW w:w="6095" w:type="dxa"/>
            <w:gridSpan w:val="2"/>
            <w:tcBorders>
              <w:bottom w:val="single" w:sz="4" w:space="0" w:color="auto"/>
            </w:tcBorders>
            <w:vAlign w:val="bottom"/>
          </w:tcPr>
          <w:p w:rsidR="002F515D" w:rsidRPr="00D70F60" w:rsidRDefault="002F515D" w:rsidP="00020AC3">
            <w:pPr>
              <w:jc w:val="right"/>
              <w:rPr>
                <w:sz w:val="40"/>
                <w:lang w:val="ro-RO"/>
              </w:rPr>
            </w:pPr>
            <w:r w:rsidRPr="00CB3ECB">
              <w:rPr>
                <w:sz w:val="28"/>
                <w:lang w:val="ro-RO"/>
              </w:rPr>
              <w:t xml:space="preserve">Anexa </w:t>
            </w:r>
            <w:r w:rsidR="003C3C0C">
              <w:rPr>
                <w:sz w:val="28"/>
                <w:lang w:val="ro-RO"/>
              </w:rPr>
              <w:t>2</w:t>
            </w:r>
            <w:r w:rsidR="00CB3ECB" w:rsidRPr="00CB3ECB">
              <w:rPr>
                <w:sz w:val="28"/>
                <w:lang w:val="ro-RO"/>
              </w:rPr>
              <w:t xml:space="preserve"> </w:t>
            </w:r>
            <w:r w:rsidR="00CB3ECB" w:rsidRPr="00CB3ECB">
              <w:rPr>
                <w:lang w:val="ro-RO"/>
              </w:rPr>
              <w:t xml:space="preserve"> </w:t>
            </w:r>
            <w:r w:rsidR="00CB3ECB">
              <w:rPr>
                <w:sz w:val="28"/>
                <w:lang w:val="ro-RO"/>
              </w:rPr>
              <w:t xml:space="preserve">la OMT nr. </w:t>
            </w:r>
            <w:r w:rsidR="00EA0DF7">
              <w:rPr>
                <w:sz w:val="28"/>
                <w:lang w:val="ro-RO"/>
              </w:rPr>
              <w:t>……</w:t>
            </w:r>
            <w:r w:rsidR="00CB3ECB">
              <w:rPr>
                <w:sz w:val="28"/>
                <w:lang w:val="ro-RO"/>
              </w:rPr>
              <w:t>../2019</w:t>
            </w:r>
          </w:p>
          <w:p w:rsidR="003D1DF3" w:rsidRPr="00D70F60" w:rsidRDefault="00020AC3" w:rsidP="00020AC3">
            <w:pPr>
              <w:jc w:val="right"/>
              <w:rPr>
                <w:lang w:val="ro-RO"/>
              </w:rPr>
            </w:pPr>
            <w:r w:rsidRPr="00D70F60">
              <w:rPr>
                <w:sz w:val="40"/>
                <w:lang w:val="ro-RO"/>
              </w:rPr>
              <w:t>ECE</w:t>
            </w:r>
            <w:r w:rsidRPr="00D70F60">
              <w:rPr>
                <w:lang w:val="ro-RO"/>
              </w:rPr>
              <w:t>/TRANS/WP.15/240/Corr.1</w:t>
            </w:r>
          </w:p>
        </w:tc>
      </w:tr>
      <w:tr w:rsidR="003D1DF3" w:rsidRPr="00EA0DF7" w:rsidTr="00F01516">
        <w:trPr>
          <w:trHeight w:hRule="exact" w:val="2835"/>
        </w:trPr>
        <w:tc>
          <w:tcPr>
            <w:tcW w:w="1276" w:type="dxa"/>
            <w:tcBorders>
              <w:top w:val="single" w:sz="4" w:space="0" w:color="auto"/>
              <w:bottom w:val="single" w:sz="12" w:space="0" w:color="auto"/>
            </w:tcBorders>
          </w:tcPr>
          <w:p w:rsidR="003D1DF3" w:rsidRPr="00D70F60" w:rsidRDefault="00367E6A" w:rsidP="00F01516">
            <w:pPr>
              <w:spacing w:before="120"/>
              <w:jc w:val="center"/>
              <w:rPr>
                <w:lang w:val="ro-RO"/>
              </w:rPr>
            </w:pPr>
            <w:r w:rsidRPr="00D70F60">
              <w:rPr>
                <w:noProof/>
                <w:lang w:val="ro-RO" w:eastAsia="ro-RO"/>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D70F60" w:rsidRDefault="002F515D" w:rsidP="00F01516">
            <w:pPr>
              <w:spacing w:before="120" w:line="420" w:lineRule="exact"/>
              <w:rPr>
                <w:b/>
                <w:sz w:val="40"/>
                <w:szCs w:val="40"/>
                <w:lang w:val="ro-RO"/>
              </w:rPr>
            </w:pPr>
            <w:r w:rsidRPr="00D70F60">
              <w:rPr>
                <w:b/>
                <w:sz w:val="40"/>
                <w:szCs w:val="40"/>
                <w:lang w:val="ro-RO"/>
              </w:rPr>
              <w:t>Consiliul economic și social</w:t>
            </w:r>
          </w:p>
        </w:tc>
        <w:tc>
          <w:tcPr>
            <w:tcW w:w="2835" w:type="dxa"/>
            <w:tcBorders>
              <w:top w:val="single" w:sz="4" w:space="0" w:color="auto"/>
              <w:bottom w:val="single" w:sz="12" w:space="0" w:color="auto"/>
            </w:tcBorders>
          </w:tcPr>
          <w:p w:rsidR="003D1DF3" w:rsidRPr="00D70F60" w:rsidRDefault="00020AC3" w:rsidP="00020AC3">
            <w:pPr>
              <w:spacing w:before="240" w:line="240" w:lineRule="exact"/>
              <w:rPr>
                <w:lang w:val="ro-RO"/>
              </w:rPr>
            </w:pPr>
            <w:r w:rsidRPr="00D70F60">
              <w:rPr>
                <w:lang w:val="ro-RO"/>
              </w:rPr>
              <w:t>Distr. g</w:t>
            </w:r>
            <w:r w:rsidR="002F515D" w:rsidRPr="00D70F60">
              <w:rPr>
                <w:lang w:val="ro-RO"/>
              </w:rPr>
              <w:t>e</w:t>
            </w:r>
            <w:r w:rsidRPr="00D70F60">
              <w:rPr>
                <w:lang w:val="ro-RO"/>
              </w:rPr>
              <w:t>n</w:t>
            </w:r>
            <w:r w:rsidR="002F515D" w:rsidRPr="00D70F60">
              <w:rPr>
                <w:lang w:val="ro-RO"/>
              </w:rPr>
              <w:t>e</w:t>
            </w:r>
            <w:r w:rsidRPr="00D70F60">
              <w:rPr>
                <w:lang w:val="ro-RO"/>
              </w:rPr>
              <w:t>ral</w:t>
            </w:r>
            <w:r w:rsidR="002F515D" w:rsidRPr="00D70F60">
              <w:rPr>
                <w:lang w:val="ro-RO"/>
              </w:rPr>
              <w:t>ă</w:t>
            </w:r>
          </w:p>
          <w:p w:rsidR="00020AC3" w:rsidRPr="00D70F60" w:rsidRDefault="00B03A18" w:rsidP="00020AC3">
            <w:pPr>
              <w:spacing w:line="240" w:lineRule="exact"/>
              <w:rPr>
                <w:lang w:val="ro-RO"/>
              </w:rPr>
            </w:pPr>
            <w:r w:rsidRPr="00D70F60">
              <w:rPr>
                <w:lang w:val="ro-RO"/>
              </w:rPr>
              <w:t>6</w:t>
            </w:r>
            <w:r w:rsidR="0036439B" w:rsidRPr="00D70F60">
              <w:rPr>
                <w:lang w:val="ro-RO"/>
              </w:rPr>
              <w:t xml:space="preserve"> </w:t>
            </w:r>
            <w:r w:rsidR="002F515D" w:rsidRPr="00D70F60">
              <w:rPr>
                <w:lang w:val="ro-RO"/>
              </w:rPr>
              <w:t>iunie</w:t>
            </w:r>
            <w:r w:rsidR="00020AC3" w:rsidRPr="00D70F60">
              <w:rPr>
                <w:lang w:val="ro-RO"/>
              </w:rPr>
              <w:t xml:space="preserve"> 2018</w:t>
            </w:r>
          </w:p>
          <w:p w:rsidR="00020AC3" w:rsidRPr="00D70F60" w:rsidRDefault="002F515D" w:rsidP="00020AC3">
            <w:pPr>
              <w:spacing w:line="240" w:lineRule="exact"/>
              <w:rPr>
                <w:lang w:val="ro-RO"/>
              </w:rPr>
            </w:pPr>
            <w:r w:rsidRPr="00D70F60">
              <w:rPr>
                <w:lang w:val="ro-RO"/>
              </w:rPr>
              <w:t>Română</w:t>
            </w:r>
          </w:p>
          <w:p w:rsidR="00020AC3" w:rsidRPr="00D70F60" w:rsidRDefault="00020AC3" w:rsidP="002F515D">
            <w:pPr>
              <w:spacing w:line="240" w:lineRule="exact"/>
              <w:rPr>
                <w:lang w:val="ro-RO"/>
              </w:rPr>
            </w:pPr>
            <w:r w:rsidRPr="00D70F60">
              <w:rPr>
                <w:lang w:val="ro-RO"/>
              </w:rPr>
              <w:t xml:space="preserve">Original: </w:t>
            </w:r>
            <w:r w:rsidR="002F515D" w:rsidRPr="00D70F60">
              <w:rPr>
                <w:lang w:val="ro-RO"/>
              </w:rPr>
              <w:t>engleză și franceză</w:t>
            </w:r>
            <w:r w:rsidRPr="00D70F60">
              <w:rPr>
                <w:lang w:val="ro-RO"/>
              </w:rPr>
              <w:t xml:space="preserve"> </w:t>
            </w:r>
          </w:p>
        </w:tc>
      </w:tr>
    </w:tbl>
    <w:p w:rsidR="002F515D" w:rsidRPr="00D70F60" w:rsidRDefault="002F515D" w:rsidP="002F515D">
      <w:pPr>
        <w:spacing w:before="120"/>
        <w:rPr>
          <w:b/>
          <w:sz w:val="28"/>
          <w:szCs w:val="28"/>
          <w:lang w:val="ro-RO"/>
        </w:rPr>
      </w:pPr>
      <w:r w:rsidRPr="00D70F60">
        <w:rPr>
          <w:b/>
          <w:sz w:val="28"/>
          <w:szCs w:val="28"/>
          <w:lang w:val="ro-RO"/>
        </w:rPr>
        <w:t>Comisia Economică pentru Europa</w:t>
      </w:r>
    </w:p>
    <w:p w:rsidR="002F515D" w:rsidRPr="00D70F60" w:rsidRDefault="002F515D" w:rsidP="002F515D">
      <w:pPr>
        <w:spacing w:before="120"/>
        <w:rPr>
          <w:sz w:val="28"/>
          <w:szCs w:val="28"/>
          <w:lang w:val="ro-RO"/>
        </w:rPr>
      </w:pPr>
      <w:r w:rsidRPr="00D70F60">
        <w:rPr>
          <w:sz w:val="28"/>
          <w:szCs w:val="28"/>
          <w:lang w:val="ro-RO"/>
        </w:rPr>
        <w:t>Comitetul pentru Transporturi Interioare</w:t>
      </w:r>
    </w:p>
    <w:p w:rsidR="002F515D" w:rsidRPr="00D70F60" w:rsidRDefault="002F515D" w:rsidP="002F515D">
      <w:pPr>
        <w:spacing w:before="120"/>
        <w:rPr>
          <w:b/>
          <w:sz w:val="24"/>
          <w:szCs w:val="24"/>
          <w:lang w:val="ro-RO"/>
        </w:rPr>
      </w:pPr>
      <w:r w:rsidRPr="00D70F60">
        <w:rPr>
          <w:b/>
          <w:sz w:val="24"/>
          <w:szCs w:val="24"/>
          <w:lang w:val="ro-RO"/>
        </w:rPr>
        <w:t>Grupul de lucru pentru transportul mărfurilor periculoase</w:t>
      </w:r>
    </w:p>
    <w:p w:rsidR="002F515D" w:rsidRPr="00D70F60" w:rsidRDefault="002F515D" w:rsidP="002F515D">
      <w:pPr>
        <w:spacing w:before="120"/>
        <w:rPr>
          <w:b/>
          <w:sz w:val="24"/>
          <w:szCs w:val="24"/>
          <w:lang w:val="ro-RO"/>
        </w:rPr>
      </w:pPr>
    </w:p>
    <w:p w:rsidR="002F515D" w:rsidRPr="00D70F60" w:rsidRDefault="002F515D" w:rsidP="002F515D">
      <w:pPr>
        <w:pStyle w:val="HChG"/>
        <w:rPr>
          <w:lang w:val="ro-RO"/>
        </w:rPr>
      </w:pPr>
      <w:r w:rsidRPr="00D70F60">
        <w:rPr>
          <w:lang w:val="ro-RO"/>
        </w:rPr>
        <w:tab/>
      </w:r>
      <w:r w:rsidRPr="00D70F60">
        <w:rPr>
          <w:lang w:val="ro-RO"/>
        </w:rPr>
        <w:tab/>
        <w:t>Acordul european referitor la transportul rutier internaţional al mărfurilor periculoase (ADR)</w:t>
      </w:r>
    </w:p>
    <w:p w:rsidR="002F515D" w:rsidRPr="00D70F60" w:rsidRDefault="002F515D" w:rsidP="002F515D">
      <w:pPr>
        <w:pStyle w:val="H1G"/>
        <w:outlineLvl w:val="0"/>
        <w:rPr>
          <w:lang w:val="ro-RO"/>
        </w:rPr>
      </w:pPr>
      <w:r w:rsidRPr="00D70F60">
        <w:rPr>
          <w:lang w:val="ro-RO"/>
        </w:rPr>
        <w:tab/>
      </w:r>
      <w:r w:rsidRPr="00D70F60">
        <w:rPr>
          <w:lang w:val="ro-RO"/>
        </w:rPr>
        <w:tab/>
        <w:t>Amendamente la anexele A şi B ale ADR</w:t>
      </w:r>
    </w:p>
    <w:p w:rsidR="00020AC3" w:rsidRPr="00D70F60" w:rsidRDefault="00020AC3" w:rsidP="005747B8">
      <w:pPr>
        <w:pStyle w:val="H23G"/>
        <w:rPr>
          <w:lang w:val="ro-RO"/>
        </w:rPr>
      </w:pPr>
      <w:r w:rsidRPr="00D70F60">
        <w:rPr>
          <w:lang w:val="ro-RO"/>
        </w:rPr>
        <w:tab/>
      </w:r>
      <w:r w:rsidRPr="00D70F60">
        <w:rPr>
          <w:lang w:val="ro-RO"/>
        </w:rPr>
        <w:tab/>
        <w:t>Rectifica</w:t>
      </w:r>
      <w:r w:rsidR="001B5421" w:rsidRPr="00D70F60">
        <w:rPr>
          <w:lang w:val="ro-RO"/>
        </w:rPr>
        <w:t>re</w:t>
      </w:r>
    </w:p>
    <w:p w:rsidR="005747B8" w:rsidRPr="00D70F60" w:rsidRDefault="005747B8" w:rsidP="005747B8">
      <w:pPr>
        <w:pStyle w:val="H23G"/>
        <w:rPr>
          <w:lang w:val="ro-RO"/>
        </w:rPr>
      </w:pPr>
      <w:r w:rsidRPr="00D70F60">
        <w:rPr>
          <w:lang w:val="ro-RO"/>
        </w:rPr>
        <w:tab/>
      </w:r>
      <w:r w:rsidR="0036439B" w:rsidRPr="00D70F60">
        <w:rPr>
          <w:lang w:val="ro-RO"/>
        </w:rPr>
        <w:t>1.</w:t>
      </w:r>
      <w:r w:rsidRPr="00D70F60">
        <w:rPr>
          <w:lang w:val="ro-RO"/>
        </w:rPr>
        <w:tab/>
      </w:r>
      <w:r w:rsidR="001B5421" w:rsidRPr="00D70F60">
        <w:rPr>
          <w:lang w:val="ro-RO"/>
        </w:rPr>
        <w:t>Capitolul</w:t>
      </w:r>
      <w:r w:rsidRPr="00D70F60">
        <w:rPr>
          <w:lang w:val="ro-RO"/>
        </w:rPr>
        <w:t xml:space="preserve"> 1.6, amend</w:t>
      </w:r>
      <w:r w:rsidR="00D70F60">
        <w:rPr>
          <w:lang w:val="ro-RO"/>
        </w:rPr>
        <w:t>a</w:t>
      </w:r>
      <w:r w:rsidRPr="00D70F60">
        <w:rPr>
          <w:lang w:val="ro-RO"/>
        </w:rPr>
        <w:t>ment</w:t>
      </w:r>
      <w:r w:rsidR="00FC120E" w:rsidRPr="00D70F60">
        <w:rPr>
          <w:lang w:val="ro-RO"/>
        </w:rPr>
        <w:t>ul de</w:t>
      </w:r>
      <w:r w:rsidRPr="00D70F60">
        <w:rPr>
          <w:lang w:val="ro-RO"/>
        </w:rPr>
        <w:t xml:space="preserve"> </w:t>
      </w:r>
      <w:r w:rsidR="00FC120E" w:rsidRPr="00D70F60">
        <w:rPr>
          <w:lang w:val="ro-RO"/>
        </w:rPr>
        <w:t>la</w:t>
      </w:r>
      <w:r w:rsidRPr="00D70F60">
        <w:rPr>
          <w:lang w:val="ro-RO"/>
        </w:rPr>
        <w:t xml:space="preserve"> 1.6.1.40 </w:t>
      </w:r>
      <w:r w:rsidR="00FC120E" w:rsidRPr="00D70F60">
        <w:rPr>
          <w:lang w:val="ro-RO"/>
        </w:rPr>
        <w:t>care viza înlocuirea</w:t>
      </w:r>
      <w:r w:rsidR="004A2BEC" w:rsidRPr="00D70F60">
        <w:rPr>
          <w:lang w:val="ro-RO"/>
        </w:rPr>
        <w:t xml:space="preserve"> </w:t>
      </w:r>
      <w:r w:rsidR="00700B8B" w:rsidRPr="00421874">
        <w:rPr>
          <w:lang w:val="ro-RO"/>
        </w:rPr>
        <w:t>„</w:t>
      </w:r>
      <w:r w:rsidR="005B4099">
        <w:rPr>
          <w:lang w:val="ro-RO"/>
        </w:rPr>
        <w:t>eticheta</w:t>
      </w:r>
      <w:r w:rsidR="005B4099" w:rsidRPr="00421874">
        <w:rPr>
          <w:lang w:val="ro-RO"/>
        </w:rPr>
        <w:t xml:space="preserve"> de risc </w:t>
      </w:r>
      <w:r w:rsidR="005B4099">
        <w:rPr>
          <w:lang w:val="ro-RO"/>
        </w:rPr>
        <w:t>secundar</w:t>
      </w:r>
      <w:r w:rsidR="005B4099" w:rsidRPr="00660131">
        <w:rPr>
          <w:lang w:val="ro-RO"/>
        </w:rPr>
        <w:t>”</w:t>
      </w:r>
      <w:r w:rsidR="005B4099" w:rsidRPr="00421874">
        <w:rPr>
          <w:lang w:val="ro-RO"/>
        </w:rPr>
        <w:t xml:space="preserve"> cu </w:t>
      </w:r>
      <w:r w:rsidR="005B4099" w:rsidRPr="00995AE9">
        <w:rPr>
          <w:szCs w:val="22"/>
          <w:lang w:val="ro-RO"/>
        </w:rPr>
        <w:t>„</w:t>
      </w:r>
      <w:r w:rsidR="005B4099">
        <w:rPr>
          <w:lang w:val="ro-RO"/>
        </w:rPr>
        <w:t>eticheta</w:t>
      </w:r>
      <w:r w:rsidR="005B4099" w:rsidRPr="00421874">
        <w:rPr>
          <w:lang w:val="ro-RO"/>
        </w:rPr>
        <w:t xml:space="preserve"> de pericol </w:t>
      </w:r>
      <w:r w:rsidR="005B4099">
        <w:rPr>
          <w:lang w:val="ro-RO"/>
        </w:rPr>
        <w:t>secundar</w:t>
      </w:r>
      <w:r w:rsidR="005B4099" w:rsidRPr="00660131">
        <w:rPr>
          <w:lang w:val="ro-RO"/>
        </w:rPr>
        <w:t>”</w:t>
      </w:r>
    </w:p>
    <w:p w:rsidR="005747B8" w:rsidRPr="00D70F60" w:rsidRDefault="001B5421" w:rsidP="005747B8">
      <w:pPr>
        <w:pStyle w:val="SingleTxtG"/>
        <w:rPr>
          <w:i/>
          <w:lang w:val="ro-RO"/>
        </w:rPr>
      </w:pPr>
      <w:r w:rsidRPr="00D70F60">
        <w:rPr>
          <w:i/>
          <w:lang w:val="ro-RO"/>
        </w:rPr>
        <w:t>Se șterge</w:t>
      </w:r>
    </w:p>
    <w:p w:rsidR="00694C7F" w:rsidRPr="00D70F60" w:rsidRDefault="005747B8" w:rsidP="005747B8">
      <w:pPr>
        <w:pStyle w:val="H23G"/>
        <w:rPr>
          <w:lang w:val="ro-RO"/>
        </w:rPr>
      </w:pPr>
      <w:r w:rsidRPr="00D70F60">
        <w:rPr>
          <w:lang w:val="ro-RO"/>
        </w:rPr>
        <w:tab/>
      </w:r>
      <w:r w:rsidR="0036439B" w:rsidRPr="00D70F60">
        <w:rPr>
          <w:lang w:val="ro-RO"/>
        </w:rPr>
        <w:t>2.</w:t>
      </w:r>
      <w:r w:rsidRPr="00D70F60">
        <w:rPr>
          <w:lang w:val="ro-RO"/>
        </w:rPr>
        <w:tab/>
      </w:r>
      <w:r w:rsidR="001B5421" w:rsidRPr="00D70F60">
        <w:rPr>
          <w:lang w:val="ro-RO"/>
        </w:rPr>
        <w:t>Capitolul</w:t>
      </w:r>
      <w:r w:rsidR="00694C7F" w:rsidRPr="00D70F60">
        <w:rPr>
          <w:lang w:val="ro-RO"/>
        </w:rPr>
        <w:t xml:space="preserve"> 1.6, </w:t>
      </w:r>
      <w:r w:rsidR="00FC120E" w:rsidRPr="00D70F60">
        <w:rPr>
          <w:lang w:val="ro-RO"/>
        </w:rPr>
        <w:t>noua măsură tranzitorie</w:t>
      </w:r>
      <w:r w:rsidR="00694C7F" w:rsidRPr="00D70F60">
        <w:rPr>
          <w:lang w:val="ro-RO"/>
        </w:rPr>
        <w:t xml:space="preserve"> 1.6.1.44</w:t>
      </w:r>
      <w:r w:rsidR="008B47ED" w:rsidRPr="00D70F60">
        <w:rPr>
          <w:lang w:val="ro-RO"/>
        </w:rPr>
        <w:t xml:space="preserve">, </w:t>
      </w:r>
      <w:r w:rsidR="00FC120E" w:rsidRPr="00D70F60">
        <w:rPr>
          <w:lang w:val="ro-RO"/>
        </w:rPr>
        <w:t>la sfârșit</w:t>
      </w:r>
    </w:p>
    <w:p w:rsidR="00694C7F" w:rsidRPr="00D70F60" w:rsidRDefault="001B5421" w:rsidP="00694C7F">
      <w:pPr>
        <w:pStyle w:val="SingleTxtG"/>
        <w:rPr>
          <w:lang w:val="ro-RO"/>
        </w:rPr>
      </w:pPr>
      <w:r w:rsidRPr="00D70F60">
        <w:rPr>
          <w:i/>
          <w:iCs/>
          <w:lang w:val="ro-RO"/>
        </w:rPr>
        <w:t>Se înlocuiește</w:t>
      </w:r>
      <w:r w:rsidR="00694C7F" w:rsidRPr="00D70F60">
        <w:rPr>
          <w:i/>
          <w:iCs/>
          <w:lang w:val="ro-RO"/>
        </w:rPr>
        <w:t xml:space="preserve"> </w:t>
      </w:r>
      <w:r w:rsidR="00700B8B" w:rsidRPr="00421874">
        <w:rPr>
          <w:lang w:val="ro-RO"/>
        </w:rPr>
        <w:t>„</w:t>
      </w:r>
      <w:r w:rsidR="008B47ED" w:rsidRPr="00D70F60">
        <w:rPr>
          <w:lang w:val="ro-RO"/>
        </w:rPr>
        <w:t>n</w:t>
      </w:r>
      <w:r w:rsidR="00602C74">
        <w:rPr>
          <w:lang w:val="ro-RO"/>
        </w:rPr>
        <w:t>u</w:t>
      </w:r>
      <w:r w:rsidR="008B47ED" w:rsidRPr="00D70F60">
        <w:rPr>
          <w:lang w:val="ro-RO"/>
        </w:rPr>
        <w:t>m</w:t>
      </w:r>
      <w:r w:rsidR="00700B8B">
        <w:rPr>
          <w:lang w:val="ro-RO"/>
        </w:rPr>
        <w:t>i</w:t>
      </w:r>
      <w:r w:rsidR="00D70F60" w:rsidRPr="00D70F60">
        <w:rPr>
          <w:lang w:val="ro-RO"/>
        </w:rPr>
        <w:t>”</w:t>
      </w:r>
      <w:r w:rsidR="008B47ED" w:rsidRPr="00D70F60">
        <w:rPr>
          <w:lang w:val="ro-RO"/>
        </w:rPr>
        <w:t xml:space="preserve"> </w:t>
      </w:r>
      <w:r w:rsidR="004A2BEC" w:rsidRPr="00D70F60">
        <w:rPr>
          <w:i/>
          <w:iCs/>
          <w:lang w:val="ro-RO"/>
        </w:rPr>
        <w:t>cu</w:t>
      </w:r>
      <w:r w:rsidR="00694C7F" w:rsidRPr="00D70F60">
        <w:rPr>
          <w:i/>
          <w:iCs/>
          <w:lang w:val="ro-RO"/>
        </w:rPr>
        <w:t xml:space="preserve"> </w:t>
      </w:r>
      <w:r w:rsidR="004A2BEC" w:rsidRPr="00D70F60">
        <w:rPr>
          <w:lang w:val="ro-RO"/>
        </w:rPr>
        <w:t>”</w:t>
      </w:r>
      <w:r w:rsidR="008B47ED" w:rsidRPr="00D70F60">
        <w:rPr>
          <w:lang w:val="ro-RO"/>
        </w:rPr>
        <w:t>d</w:t>
      </w:r>
      <w:r w:rsidR="00700B8B">
        <w:rPr>
          <w:lang w:val="ro-RO"/>
        </w:rPr>
        <w:t>e</w:t>
      </w:r>
      <w:r w:rsidR="008B47ED" w:rsidRPr="00D70F60">
        <w:rPr>
          <w:lang w:val="ro-RO"/>
        </w:rPr>
        <w:t>se</w:t>
      </w:r>
      <w:r w:rsidR="00700B8B">
        <w:rPr>
          <w:lang w:val="ro-RO"/>
        </w:rPr>
        <w:t>mna</w:t>
      </w:r>
      <w:r w:rsidR="00D70F60" w:rsidRPr="00D70F60">
        <w:rPr>
          <w:lang w:val="ro-RO"/>
        </w:rPr>
        <w:t>”</w:t>
      </w:r>
      <w:r w:rsidR="00700B8B">
        <w:rPr>
          <w:lang w:val="ro-RO"/>
        </w:rPr>
        <w:t>.</w:t>
      </w:r>
    </w:p>
    <w:p w:rsidR="001C749D" w:rsidRPr="00D70F60" w:rsidRDefault="001C749D" w:rsidP="001C749D">
      <w:pPr>
        <w:pStyle w:val="H23G"/>
        <w:rPr>
          <w:lang w:val="ro-RO"/>
        </w:rPr>
      </w:pPr>
      <w:r w:rsidRPr="00D70F60">
        <w:rPr>
          <w:lang w:val="ro-RO"/>
        </w:rPr>
        <w:tab/>
      </w:r>
      <w:r w:rsidR="0036439B" w:rsidRPr="00D70F60">
        <w:rPr>
          <w:lang w:val="ro-RO"/>
        </w:rPr>
        <w:t>3.</w:t>
      </w:r>
      <w:r w:rsidRPr="00D70F60">
        <w:rPr>
          <w:lang w:val="ro-RO"/>
        </w:rPr>
        <w:tab/>
      </w:r>
      <w:r w:rsidR="001B5421" w:rsidRPr="00D70F60">
        <w:rPr>
          <w:lang w:val="ro-RO"/>
        </w:rPr>
        <w:t>Capitolul</w:t>
      </w:r>
      <w:r w:rsidRPr="00D70F60">
        <w:rPr>
          <w:lang w:val="ro-RO"/>
        </w:rPr>
        <w:t xml:space="preserve"> 1.6, </w:t>
      </w:r>
      <w:r w:rsidR="00FC120E" w:rsidRPr="00D70F60">
        <w:rPr>
          <w:lang w:val="ro-RO"/>
        </w:rPr>
        <w:t xml:space="preserve">noua măsură tranzitorie </w:t>
      </w:r>
      <w:r w:rsidRPr="00D70F60">
        <w:rPr>
          <w:lang w:val="ro-RO"/>
        </w:rPr>
        <w:t>1.6.3.49</w:t>
      </w:r>
    </w:p>
    <w:p w:rsidR="001C749D" w:rsidRPr="00D70F60" w:rsidRDefault="001B5421" w:rsidP="001C3FC8">
      <w:pPr>
        <w:pStyle w:val="SingleTxtG"/>
        <w:rPr>
          <w:lang w:val="ro-RO"/>
        </w:rPr>
      </w:pPr>
      <w:r w:rsidRPr="00D70F60">
        <w:rPr>
          <w:i/>
          <w:lang w:val="ro-RO"/>
        </w:rPr>
        <w:t>Se înlocuiește</w:t>
      </w:r>
      <w:r w:rsidR="001C749D" w:rsidRPr="00D70F60">
        <w:rPr>
          <w:lang w:val="ro-RO"/>
        </w:rPr>
        <w:t xml:space="preserve"> </w:t>
      </w:r>
      <w:r w:rsidR="00700B8B" w:rsidRPr="00421874">
        <w:rPr>
          <w:lang w:val="ro-RO"/>
        </w:rPr>
        <w:t>„</w:t>
      </w:r>
      <w:r w:rsidR="005B4099" w:rsidRPr="00FA4863">
        <w:rPr>
          <w:lang w:val="ro-RO"/>
        </w:rPr>
        <w:t>presiunea nominală a discului</w:t>
      </w:r>
      <w:r w:rsidR="005B4099">
        <w:rPr>
          <w:lang w:val="ro-RO"/>
        </w:rPr>
        <w:t xml:space="preserve"> de rupere</w:t>
      </w:r>
      <w:r w:rsidR="00D70F60" w:rsidRPr="00D70F60">
        <w:rPr>
          <w:lang w:val="ro-RO"/>
        </w:rPr>
        <w:t>”</w:t>
      </w:r>
      <w:r w:rsidR="001C749D" w:rsidRPr="00D70F60">
        <w:rPr>
          <w:lang w:val="ro-RO"/>
        </w:rPr>
        <w:t xml:space="preserve"> </w:t>
      </w:r>
      <w:r w:rsidR="00FC120E" w:rsidRPr="00D70F60">
        <w:rPr>
          <w:i/>
          <w:lang w:val="ro-RO"/>
        </w:rPr>
        <w:t>cu</w:t>
      </w:r>
      <w:r w:rsidR="001C749D" w:rsidRPr="00D70F60">
        <w:rPr>
          <w:lang w:val="ro-RO"/>
        </w:rPr>
        <w:t xml:space="preserve"> </w:t>
      </w:r>
      <w:bookmarkStart w:id="1" w:name="_Hlk516041120"/>
      <w:r w:rsidR="00700B8B" w:rsidRPr="00421874">
        <w:rPr>
          <w:lang w:val="ro-RO"/>
        </w:rPr>
        <w:t>„</w:t>
      </w:r>
      <w:bookmarkEnd w:id="1"/>
      <w:r w:rsidR="005B4099" w:rsidRPr="00FA4863">
        <w:rPr>
          <w:lang w:val="ro-RO"/>
        </w:rPr>
        <w:t xml:space="preserve">presiunea </w:t>
      </w:r>
      <w:r w:rsidR="005B4099">
        <w:rPr>
          <w:lang w:val="ro-RO"/>
        </w:rPr>
        <w:t>de spargere</w:t>
      </w:r>
      <w:r w:rsidR="005B4099" w:rsidRPr="00FA4863">
        <w:rPr>
          <w:lang w:val="ro-RO"/>
        </w:rPr>
        <w:t xml:space="preserve"> a discului</w:t>
      </w:r>
      <w:r w:rsidR="005B4099">
        <w:rPr>
          <w:lang w:val="ro-RO"/>
        </w:rPr>
        <w:t xml:space="preserve"> de rupere</w:t>
      </w:r>
      <w:r w:rsidR="00D70F60" w:rsidRPr="00D70F60">
        <w:rPr>
          <w:lang w:val="ro-RO"/>
        </w:rPr>
        <w:t>”</w:t>
      </w:r>
      <w:r w:rsidR="00700B8B">
        <w:rPr>
          <w:lang w:val="ro-RO"/>
        </w:rPr>
        <w:t>.</w:t>
      </w:r>
    </w:p>
    <w:p w:rsidR="00D962F1" w:rsidRPr="00D70F60" w:rsidRDefault="00D962F1" w:rsidP="00D962F1">
      <w:pPr>
        <w:pStyle w:val="H23G"/>
        <w:rPr>
          <w:lang w:val="ro-RO"/>
        </w:rPr>
      </w:pPr>
      <w:r w:rsidRPr="00D70F60">
        <w:rPr>
          <w:lang w:val="ro-RO"/>
        </w:rPr>
        <w:tab/>
        <w:t>4.</w:t>
      </w:r>
      <w:r w:rsidRPr="00D70F60">
        <w:rPr>
          <w:lang w:val="ro-RO"/>
        </w:rPr>
        <w:tab/>
      </w:r>
      <w:r w:rsidR="001B5421" w:rsidRPr="00D70F60">
        <w:rPr>
          <w:lang w:val="ro-RO"/>
        </w:rPr>
        <w:t>Capitolul</w:t>
      </w:r>
      <w:r w:rsidRPr="00D70F60">
        <w:rPr>
          <w:lang w:val="ro-RO"/>
        </w:rPr>
        <w:t xml:space="preserve"> 1.6, </w:t>
      </w:r>
      <w:r w:rsidR="00FC120E" w:rsidRPr="00D70F60">
        <w:rPr>
          <w:lang w:val="ro-RO"/>
        </w:rPr>
        <w:t>după noua măsură tranzitorie</w:t>
      </w:r>
      <w:r w:rsidRPr="00D70F60">
        <w:rPr>
          <w:lang w:val="ro-RO"/>
        </w:rPr>
        <w:t xml:space="preserve"> 1.6.3.53</w:t>
      </w:r>
    </w:p>
    <w:p w:rsidR="00D962F1" w:rsidRPr="00D70F60" w:rsidRDefault="00FC120E" w:rsidP="00D962F1">
      <w:pPr>
        <w:pStyle w:val="SingleTxtG"/>
        <w:rPr>
          <w:iCs/>
          <w:lang w:val="ro-RO"/>
        </w:rPr>
      </w:pPr>
      <w:r w:rsidRPr="00D70F60">
        <w:rPr>
          <w:i/>
          <w:lang w:val="ro-RO"/>
        </w:rPr>
        <w:t>Se adaugă</w:t>
      </w:r>
      <w:r w:rsidR="00D962F1" w:rsidRPr="00D70F60">
        <w:rPr>
          <w:i/>
          <w:lang w:val="ro-RO"/>
        </w:rPr>
        <w:t xml:space="preserve"> </w:t>
      </w:r>
      <w:r w:rsidR="00700B8B" w:rsidRPr="00421874">
        <w:rPr>
          <w:lang w:val="ro-RO"/>
        </w:rPr>
        <w:t>„</w:t>
      </w:r>
      <w:r w:rsidRPr="00D70F60">
        <w:rPr>
          <w:iCs/>
          <w:lang w:val="ro-RO"/>
        </w:rPr>
        <w:t>Se renumerotează</w:t>
      </w:r>
      <w:r w:rsidR="00D962F1" w:rsidRPr="00D70F60">
        <w:rPr>
          <w:iCs/>
          <w:lang w:val="ro-RO"/>
        </w:rPr>
        <w:t xml:space="preserve"> 1.6.3.50 </w:t>
      </w:r>
      <w:r w:rsidRPr="00D70F60">
        <w:rPr>
          <w:iCs/>
          <w:lang w:val="ro-RO"/>
        </w:rPr>
        <w:t>ca</w:t>
      </w:r>
      <w:r w:rsidR="00D962F1" w:rsidRPr="00D70F60">
        <w:rPr>
          <w:iCs/>
          <w:lang w:val="ro-RO"/>
        </w:rPr>
        <w:t xml:space="preserve"> 1.6.3.100</w:t>
      </w:r>
      <w:r w:rsidR="00D9295D" w:rsidRPr="00D70F60">
        <w:rPr>
          <w:lang w:val="ro-RO"/>
        </w:rPr>
        <w:t>”</w:t>
      </w:r>
      <w:r w:rsidR="00D962F1" w:rsidRPr="00D70F60">
        <w:rPr>
          <w:iCs/>
          <w:lang w:val="ro-RO"/>
        </w:rPr>
        <w:t>.</w:t>
      </w:r>
    </w:p>
    <w:p w:rsidR="001C3FC8" w:rsidRPr="00D70F60" w:rsidRDefault="001C3FC8" w:rsidP="001C3FC8">
      <w:pPr>
        <w:pStyle w:val="H23G"/>
        <w:rPr>
          <w:lang w:val="ro-RO"/>
        </w:rPr>
      </w:pPr>
      <w:r w:rsidRPr="00D70F60">
        <w:rPr>
          <w:lang w:val="ro-RO"/>
        </w:rPr>
        <w:tab/>
      </w:r>
      <w:r w:rsidR="00D962F1" w:rsidRPr="00D70F60">
        <w:rPr>
          <w:lang w:val="ro-RO"/>
        </w:rPr>
        <w:t>5</w:t>
      </w:r>
      <w:r w:rsidR="0036439B" w:rsidRPr="00D70F60">
        <w:rPr>
          <w:lang w:val="ro-RO"/>
        </w:rPr>
        <w:t>.</w:t>
      </w:r>
      <w:r w:rsidRPr="00D70F60">
        <w:rPr>
          <w:lang w:val="ro-RO"/>
        </w:rPr>
        <w:tab/>
      </w:r>
      <w:r w:rsidR="001B5421" w:rsidRPr="00D70F60">
        <w:rPr>
          <w:lang w:val="ro-RO"/>
        </w:rPr>
        <w:t>Capitolul</w:t>
      </w:r>
      <w:r w:rsidRPr="00D70F60">
        <w:rPr>
          <w:lang w:val="ro-RO"/>
        </w:rPr>
        <w:t xml:space="preserve"> 1.6, </w:t>
      </w:r>
      <w:r w:rsidR="00FC120E" w:rsidRPr="00D70F60">
        <w:rPr>
          <w:lang w:val="ro-RO"/>
        </w:rPr>
        <w:t xml:space="preserve">noua măsură tranzitorie </w:t>
      </w:r>
      <w:r w:rsidRPr="00D70F60">
        <w:rPr>
          <w:lang w:val="ro-RO"/>
        </w:rPr>
        <w:t>1.6.4.51</w:t>
      </w:r>
    </w:p>
    <w:p w:rsidR="001C3FC8" w:rsidRPr="00D70F60" w:rsidRDefault="001B5421" w:rsidP="001C3FC8">
      <w:pPr>
        <w:pStyle w:val="SingleTxtG"/>
        <w:rPr>
          <w:lang w:val="ro-RO"/>
        </w:rPr>
      </w:pPr>
      <w:r w:rsidRPr="00D70F60">
        <w:rPr>
          <w:i/>
          <w:lang w:val="ro-RO"/>
        </w:rPr>
        <w:t>Se înlocuiește</w:t>
      </w:r>
      <w:r w:rsidR="001C3FC8" w:rsidRPr="00D70F60">
        <w:rPr>
          <w:lang w:val="ro-RO"/>
        </w:rPr>
        <w:t xml:space="preserve"> </w:t>
      </w:r>
      <w:r w:rsidR="00700B8B" w:rsidRPr="00421874">
        <w:rPr>
          <w:lang w:val="ro-RO"/>
        </w:rPr>
        <w:t>„</w:t>
      </w:r>
      <w:r w:rsidR="005B4099" w:rsidRPr="00FA4863">
        <w:rPr>
          <w:lang w:val="ro-RO"/>
        </w:rPr>
        <w:t>presiunea nominală a discului</w:t>
      </w:r>
      <w:r w:rsidR="005B4099">
        <w:rPr>
          <w:lang w:val="ro-RO"/>
        </w:rPr>
        <w:t xml:space="preserve"> de rupere</w:t>
      </w:r>
      <w:r w:rsidR="00D9295D" w:rsidRPr="00D70F60">
        <w:rPr>
          <w:lang w:val="ro-RO"/>
        </w:rPr>
        <w:t>”</w:t>
      </w:r>
      <w:r w:rsidR="001C3FC8" w:rsidRPr="00D70F60">
        <w:rPr>
          <w:lang w:val="ro-RO"/>
        </w:rPr>
        <w:t xml:space="preserve"> </w:t>
      </w:r>
      <w:r w:rsidR="00FC120E" w:rsidRPr="00D70F60">
        <w:rPr>
          <w:i/>
          <w:lang w:val="ro-RO"/>
        </w:rPr>
        <w:t>cu</w:t>
      </w:r>
      <w:r w:rsidR="001C3FC8" w:rsidRPr="00D70F60">
        <w:rPr>
          <w:lang w:val="ro-RO"/>
        </w:rPr>
        <w:t xml:space="preserve"> </w:t>
      </w:r>
      <w:r w:rsidR="00700B8B" w:rsidRPr="00421874">
        <w:rPr>
          <w:lang w:val="ro-RO"/>
        </w:rPr>
        <w:t>„</w:t>
      </w:r>
      <w:r w:rsidR="005B4099" w:rsidRPr="00FA4863">
        <w:rPr>
          <w:lang w:val="ro-RO"/>
        </w:rPr>
        <w:t xml:space="preserve">presiunea </w:t>
      </w:r>
      <w:r w:rsidR="005B4099">
        <w:rPr>
          <w:lang w:val="ro-RO"/>
        </w:rPr>
        <w:t>de spargere</w:t>
      </w:r>
      <w:r w:rsidR="005B4099" w:rsidRPr="00FA4863">
        <w:rPr>
          <w:lang w:val="ro-RO"/>
        </w:rPr>
        <w:t xml:space="preserve"> a discului</w:t>
      </w:r>
      <w:r w:rsidR="005B4099">
        <w:rPr>
          <w:lang w:val="ro-RO"/>
        </w:rPr>
        <w:t xml:space="preserve"> de rupere</w:t>
      </w:r>
      <w:r w:rsidR="00D9295D" w:rsidRPr="00D70F60">
        <w:rPr>
          <w:lang w:val="ro-RO"/>
        </w:rPr>
        <w:t>”</w:t>
      </w:r>
    </w:p>
    <w:p w:rsidR="00694C7F" w:rsidRPr="00D70F60" w:rsidRDefault="0036439B" w:rsidP="0036439B">
      <w:pPr>
        <w:pStyle w:val="H23G"/>
        <w:rPr>
          <w:lang w:val="ro-RO"/>
        </w:rPr>
      </w:pPr>
      <w:r w:rsidRPr="00D70F60">
        <w:rPr>
          <w:lang w:val="ro-RO"/>
        </w:rPr>
        <w:tab/>
        <w:t>6.</w:t>
      </w:r>
      <w:r w:rsidRPr="00D70F60">
        <w:rPr>
          <w:lang w:val="ro-RO"/>
        </w:rPr>
        <w:tab/>
      </w:r>
      <w:r w:rsidR="001B5421" w:rsidRPr="00D70F60">
        <w:rPr>
          <w:lang w:val="ro-RO"/>
        </w:rPr>
        <w:t>Capitolul</w:t>
      </w:r>
      <w:r w:rsidR="00694C7F" w:rsidRPr="00D70F60">
        <w:rPr>
          <w:lang w:val="ro-RO"/>
        </w:rPr>
        <w:t xml:space="preserve"> 1.8, amend</w:t>
      </w:r>
      <w:r w:rsidR="00852575">
        <w:rPr>
          <w:lang w:val="ro-RO"/>
        </w:rPr>
        <w:t>a</w:t>
      </w:r>
      <w:r w:rsidR="00694C7F" w:rsidRPr="00D70F60">
        <w:rPr>
          <w:lang w:val="ro-RO"/>
        </w:rPr>
        <w:t>ment</w:t>
      </w:r>
      <w:r w:rsidR="006716D6">
        <w:rPr>
          <w:lang w:val="ro-RO"/>
        </w:rPr>
        <w:t>ul de</w:t>
      </w:r>
      <w:r w:rsidR="00694C7F" w:rsidRPr="00D70F60">
        <w:rPr>
          <w:lang w:val="ro-RO"/>
        </w:rPr>
        <w:t xml:space="preserve"> </w:t>
      </w:r>
      <w:r w:rsidR="006716D6">
        <w:rPr>
          <w:lang w:val="ro-RO"/>
        </w:rPr>
        <w:t>la</w:t>
      </w:r>
      <w:r w:rsidR="00694C7F" w:rsidRPr="00D70F60">
        <w:rPr>
          <w:lang w:val="ro-RO"/>
        </w:rPr>
        <w:t xml:space="preserve"> 1.8.3.1</w:t>
      </w:r>
    </w:p>
    <w:p w:rsidR="00694C7F" w:rsidRPr="00D70F60" w:rsidRDefault="001B5421" w:rsidP="00694C7F">
      <w:pPr>
        <w:pStyle w:val="SingleTxtG"/>
        <w:rPr>
          <w:lang w:val="ro-RO"/>
        </w:rPr>
      </w:pPr>
      <w:r w:rsidRPr="00D70F60">
        <w:rPr>
          <w:i/>
          <w:iCs/>
          <w:lang w:val="ro-RO"/>
        </w:rPr>
        <w:t>Se înlocuiește</w:t>
      </w:r>
      <w:r w:rsidR="00694C7F" w:rsidRPr="00D70F60">
        <w:rPr>
          <w:i/>
          <w:iCs/>
          <w:lang w:val="ro-RO"/>
        </w:rPr>
        <w:t xml:space="preserve"> </w:t>
      </w:r>
      <w:r w:rsidR="00FC120E" w:rsidRPr="00D70F60">
        <w:rPr>
          <w:lang w:val="ro-RO"/>
        </w:rPr>
        <w:t>textul existent cu</w:t>
      </w:r>
      <w:r w:rsidR="00694C7F" w:rsidRPr="00D70F60">
        <w:rPr>
          <w:lang w:val="ro-RO"/>
        </w:rPr>
        <w:t>:</w:t>
      </w:r>
    </w:p>
    <w:p w:rsidR="00694C7F" w:rsidRPr="00852575" w:rsidRDefault="00694C7F" w:rsidP="005B4099">
      <w:pPr>
        <w:pStyle w:val="SingleTxtG"/>
        <w:rPr>
          <w:lang w:val="ro-RO"/>
        </w:rPr>
      </w:pPr>
      <w:r w:rsidRPr="00D70F60">
        <w:rPr>
          <w:lang w:val="ro-RO"/>
        </w:rPr>
        <w:t>1.8.3.1</w:t>
      </w:r>
      <w:r w:rsidRPr="00D70F60">
        <w:rPr>
          <w:lang w:val="ro-RO"/>
        </w:rPr>
        <w:tab/>
      </w:r>
      <w:r w:rsidRPr="00D70F60">
        <w:rPr>
          <w:lang w:val="ro-RO"/>
        </w:rPr>
        <w:tab/>
      </w:r>
      <w:r w:rsidR="005B4099">
        <w:rPr>
          <w:lang w:val="ro-RO"/>
        </w:rPr>
        <w:t>La început, se înlocuiește</w:t>
      </w:r>
      <w:r w:rsidR="004A2BEC" w:rsidRPr="00D70F60">
        <w:rPr>
          <w:lang w:val="ro-RO"/>
        </w:rPr>
        <w:t xml:space="preserve"> </w:t>
      </w:r>
      <w:r w:rsidR="00700B8B" w:rsidRPr="00421874">
        <w:rPr>
          <w:lang w:val="ro-RO"/>
        </w:rPr>
        <w:t>„</w:t>
      </w:r>
      <w:r w:rsidR="005B4099" w:rsidRPr="00852575">
        <w:rPr>
          <w:lang w:val="ro-RO"/>
        </w:rPr>
        <w:t xml:space="preserve">a cărei activitate include transportul rutier de mărfuri periculoase, sau operaţiunile de ambalare, încărcare, umplere sau descărcare  legate </w:t>
      </w:r>
      <w:r w:rsidR="005B4099" w:rsidRPr="00852575">
        <w:rPr>
          <w:lang w:val="ro-RO"/>
        </w:rPr>
        <w:lastRenderedPageBreak/>
        <w:t>de aceste transporturi</w:t>
      </w:r>
      <w:r w:rsidRPr="00D70F60">
        <w:rPr>
          <w:lang w:val="ro-RO"/>
        </w:rPr>
        <w:t>, </w:t>
      </w:r>
      <w:r w:rsidR="004A2BEC" w:rsidRPr="00D70F60">
        <w:rPr>
          <w:lang w:val="ro-RO"/>
        </w:rPr>
        <w:t>”</w:t>
      </w:r>
      <w:r w:rsidR="005B4099">
        <w:rPr>
          <w:lang w:val="ro-RO"/>
        </w:rPr>
        <w:t xml:space="preserve"> cu </w:t>
      </w:r>
      <w:bookmarkStart w:id="2" w:name="_Hlk516041360"/>
      <w:r w:rsidR="00700B8B" w:rsidRPr="00421874">
        <w:rPr>
          <w:lang w:val="ro-RO"/>
        </w:rPr>
        <w:t>„</w:t>
      </w:r>
      <w:r w:rsidR="00852575" w:rsidRPr="00852575">
        <w:rPr>
          <w:lang w:val="ro-RO"/>
        </w:rPr>
        <w:t>a cărei activitate include expediția sau transportul rutier de mărfuri periculoase ori operaţiunile conexe de ambalare, încărcare, umplere sau descărcare  legate de aceste transporturi</w:t>
      </w:r>
      <w:r w:rsidRPr="00D70F60">
        <w:rPr>
          <w:lang w:val="ro-RO"/>
        </w:rPr>
        <w:t>,</w:t>
      </w:r>
      <w:bookmarkEnd w:id="2"/>
      <w:r w:rsidRPr="00D70F60">
        <w:rPr>
          <w:lang w:val="ro-RO"/>
        </w:rPr>
        <w:t> </w:t>
      </w:r>
      <w:r w:rsidR="004A2BEC" w:rsidRPr="00D70F60">
        <w:rPr>
          <w:lang w:val="ro-RO"/>
        </w:rPr>
        <w:t>”</w:t>
      </w:r>
      <w:r w:rsidRPr="00D70F60">
        <w:rPr>
          <w:lang w:val="ro-RO"/>
        </w:rPr>
        <w:t xml:space="preserve">. </w:t>
      </w:r>
    </w:p>
    <w:p w:rsidR="003656F1" w:rsidRPr="00D70F60" w:rsidRDefault="003656F1" w:rsidP="003656F1">
      <w:pPr>
        <w:pStyle w:val="H23G"/>
        <w:rPr>
          <w:lang w:val="ro-RO"/>
        </w:rPr>
      </w:pPr>
      <w:r w:rsidRPr="00D70F60">
        <w:rPr>
          <w:lang w:val="ro-RO"/>
        </w:rPr>
        <w:tab/>
      </w:r>
      <w:r w:rsidR="0036439B" w:rsidRPr="00D70F60">
        <w:rPr>
          <w:lang w:val="ro-RO"/>
        </w:rPr>
        <w:t>7.</w:t>
      </w:r>
      <w:r w:rsidRPr="00D70F60">
        <w:rPr>
          <w:lang w:val="ro-RO"/>
        </w:rPr>
        <w:tab/>
      </w:r>
      <w:r w:rsidR="001B5421" w:rsidRPr="00D70F60">
        <w:rPr>
          <w:lang w:val="ro-RO"/>
        </w:rPr>
        <w:t>Capitolul</w:t>
      </w:r>
      <w:r w:rsidRPr="00D70F60">
        <w:rPr>
          <w:lang w:val="ro-RO"/>
        </w:rPr>
        <w:t xml:space="preserve"> 2.1, nou</w:t>
      </w:r>
      <w:r w:rsidR="00852575">
        <w:rPr>
          <w:lang w:val="ro-RO"/>
        </w:rPr>
        <w:t>a</w:t>
      </w:r>
      <w:r w:rsidRPr="00D70F60">
        <w:rPr>
          <w:lang w:val="ro-RO"/>
        </w:rPr>
        <w:t xml:space="preserve"> sec</w:t>
      </w:r>
      <w:r w:rsidR="00852575">
        <w:rPr>
          <w:lang w:val="ro-RO"/>
        </w:rPr>
        <w:t>țiune</w:t>
      </w:r>
      <w:r w:rsidRPr="00D70F60">
        <w:rPr>
          <w:lang w:val="ro-RO"/>
        </w:rPr>
        <w:t xml:space="preserve"> 2.1.5, </w:t>
      </w:r>
      <w:r w:rsidR="00852575">
        <w:rPr>
          <w:lang w:val="ro-RO"/>
        </w:rPr>
        <w:t>în nota de după</w:t>
      </w:r>
      <w:r w:rsidRPr="00D70F60">
        <w:rPr>
          <w:lang w:val="ro-RO"/>
        </w:rPr>
        <w:t xml:space="preserve"> tit</w:t>
      </w:r>
      <w:r w:rsidR="00852575">
        <w:rPr>
          <w:lang w:val="ro-RO"/>
        </w:rPr>
        <w:t>lu</w:t>
      </w:r>
    </w:p>
    <w:p w:rsidR="003656F1" w:rsidRPr="00D70F60" w:rsidRDefault="001B5421" w:rsidP="003656F1">
      <w:pPr>
        <w:pStyle w:val="SingleTxtG"/>
        <w:rPr>
          <w:iCs/>
          <w:lang w:val="ro-RO"/>
        </w:rPr>
      </w:pPr>
      <w:r w:rsidRPr="00D70F60">
        <w:rPr>
          <w:i/>
          <w:lang w:val="ro-RO"/>
        </w:rPr>
        <w:t>Se înlocuiește</w:t>
      </w:r>
      <w:r w:rsidR="003656F1" w:rsidRPr="00D70F60">
        <w:rPr>
          <w:i/>
          <w:lang w:val="ro-RO"/>
        </w:rPr>
        <w:t xml:space="preserve"> </w:t>
      </w:r>
      <w:r w:rsidR="00700B8B" w:rsidRPr="00421874">
        <w:rPr>
          <w:lang w:val="ro-RO"/>
        </w:rPr>
        <w:t>„</w:t>
      </w:r>
      <w:r w:rsidR="003656F1" w:rsidRPr="00D70F60">
        <w:rPr>
          <w:iCs/>
          <w:lang w:val="ro-RO"/>
        </w:rPr>
        <w:t xml:space="preserve">3537 </w:t>
      </w:r>
      <w:r w:rsidR="004A2BEC" w:rsidRPr="00D70F60">
        <w:rPr>
          <w:iCs/>
          <w:lang w:val="ro-RO"/>
        </w:rPr>
        <w:t>și</w:t>
      </w:r>
      <w:r w:rsidR="003656F1" w:rsidRPr="00D70F60">
        <w:rPr>
          <w:iCs/>
          <w:lang w:val="ro-RO"/>
        </w:rPr>
        <w:t xml:space="preserve"> 3548</w:t>
      </w:r>
      <w:r w:rsidR="00D9295D" w:rsidRPr="00D70F60">
        <w:rPr>
          <w:lang w:val="ro-RO"/>
        </w:rPr>
        <w:t>”</w:t>
      </w:r>
      <w:r w:rsidR="003656F1" w:rsidRPr="00D70F60">
        <w:rPr>
          <w:iCs/>
          <w:lang w:val="ro-RO"/>
        </w:rPr>
        <w:t xml:space="preserve"> </w:t>
      </w:r>
      <w:r w:rsidR="004A2BEC" w:rsidRPr="00D70F60">
        <w:rPr>
          <w:i/>
          <w:lang w:val="ro-RO"/>
        </w:rPr>
        <w:t>cu</w:t>
      </w:r>
      <w:r w:rsidR="003656F1" w:rsidRPr="00D70F60">
        <w:rPr>
          <w:i/>
          <w:lang w:val="ro-RO"/>
        </w:rPr>
        <w:t xml:space="preserve"> </w:t>
      </w:r>
      <w:r w:rsidR="00700B8B" w:rsidRPr="00421874">
        <w:rPr>
          <w:lang w:val="ro-RO"/>
        </w:rPr>
        <w:t>„</w:t>
      </w:r>
      <w:r w:rsidR="003656F1" w:rsidRPr="00D70F60">
        <w:rPr>
          <w:iCs/>
          <w:lang w:val="ro-RO"/>
        </w:rPr>
        <w:t xml:space="preserve">3537 </w:t>
      </w:r>
      <w:r w:rsidR="004A2BEC" w:rsidRPr="00D70F60">
        <w:rPr>
          <w:iCs/>
          <w:lang w:val="ro-RO"/>
        </w:rPr>
        <w:t>la</w:t>
      </w:r>
      <w:r w:rsidR="003656F1" w:rsidRPr="00D70F60">
        <w:rPr>
          <w:iCs/>
          <w:lang w:val="ro-RO"/>
        </w:rPr>
        <w:t xml:space="preserve"> 3548</w:t>
      </w:r>
      <w:r w:rsidR="00D9295D" w:rsidRPr="00D70F60">
        <w:rPr>
          <w:lang w:val="ro-RO"/>
        </w:rPr>
        <w:t>”</w:t>
      </w:r>
      <w:r w:rsidR="00B740CC">
        <w:rPr>
          <w:iCs/>
          <w:lang w:val="ro-RO"/>
        </w:rPr>
        <w:t>.</w:t>
      </w:r>
    </w:p>
    <w:p w:rsidR="005A6DB4" w:rsidRPr="00D70F60" w:rsidRDefault="00FE7542" w:rsidP="0036439B">
      <w:pPr>
        <w:pStyle w:val="H23G"/>
        <w:rPr>
          <w:lang w:val="ro-RO"/>
        </w:rPr>
      </w:pPr>
      <w:r w:rsidRPr="00D70F60">
        <w:rPr>
          <w:lang w:val="ro-RO"/>
        </w:rPr>
        <w:tab/>
        <w:t>8.</w:t>
      </w:r>
      <w:r w:rsidRPr="00D70F60">
        <w:rPr>
          <w:lang w:val="ro-RO"/>
        </w:rPr>
        <w:tab/>
      </w:r>
      <w:r w:rsidR="001B5421" w:rsidRPr="00D70F60">
        <w:rPr>
          <w:lang w:val="ro-RO"/>
        </w:rPr>
        <w:t>Capitolul</w:t>
      </w:r>
      <w:r w:rsidR="005A6DB4" w:rsidRPr="00D70F60">
        <w:rPr>
          <w:lang w:val="ro-RO"/>
        </w:rPr>
        <w:t xml:space="preserve"> 2.2, </w:t>
      </w:r>
      <w:r w:rsidR="00852575">
        <w:rPr>
          <w:lang w:val="ro-RO"/>
        </w:rPr>
        <w:t xml:space="preserve">amendamentul </w:t>
      </w:r>
      <w:r w:rsidR="00B76EB0">
        <w:rPr>
          <w:lang w:val="ro-RO"/>
        </w:rPr>
        <w:t xml:space="preserve">de </w:t>
      </w:r>
      <w:r w:rsidR="00852575">
        <w:rPr>
          <w:lang w:val="ro-RO"/>
        </w:rPr>
        <w:t>la</w:t>
      </w:r>
      <w:r w:rsidR="005A6DB4" w:rsidRPr="00D70F60">
        <w:rPr>
          <w:lang w:val="ro-RO"/>
        </w:rPr>
        <w:t xml:space="preserve"> 2.2.51.1.3</w:t>
      </w:r>
    </w:p>
    <w:p w:rsidR="005A6DB4" w:rsidRPr="00D70F60" w:rsidRDefault="001B5421" w:rsidP="005A6DB4">
      <w:pPr>
        <w:pStyle w:val="SingleTxtG"/>
        <w:rPr>
          <w:lang w:val="ro-RO"/>
        </w:rPr>
      </w:pPr>
      <w:r w:rsidRPr="00D70F60">
        <w:rPr>
          <w:i/>
          <w:iCs/>
          <w:lang w:val="ro-RO"/>
        </w:rPr>
        <w:t>Se înlocuiește</w:t>
      </w:r>
      <w:r w:rsidR="005A6DB4" w:rsidRPr="00D70F60">
        <w:rPr>
          <w:i/>
          <w:iCs/>
          <w:lang w:val="ro-RO"/>
        </w:rPr>
        <w:t xml:space="preserve"> </w:t>
      </w:r>
      <w:r w:rsidR="00700B8B" w:rsidRPr="00421874">
        <w:rPr>
          <w:lang w:val="ro-RO"/>
        </w:rPr>
        <w:t>„</w:t>
      </w:r>
      <w:r w:rsidR="00602C74">
        <w:rPr>
          <w:lang w:val="ro-RO"/>
        </w:rPr>
        <w:t>alineatul al</w:t>
      </w:r>
      <w:r w:rsidR="004A2BEC" w:rsidRPr="00D70F60">
        <w:rPr>
          <w:lang w:val="ro-RO"/>
        </w:rPr>
        <w:t xml:space="preserve"> treisprezecelea</w:t>
      </w:r>
      <w:r w:rsidR="00602C74">
        <w:rPr>
          <w:lang w:val="ro-RO"/>
        </w:rPr>
        <w:t xml:space="preserve"> al</w:t>
      </w:r>
      <w:r w:rsidR="00D9295D" w:rsidRPr="00D70F60">
        <w:rPr>
          <w:lang w:val="ro-RO"/>
        </w:rPr>
        <w:t>”</w:t>
      </w:r>
      <w:r w:rsidR="005A6DB4" w:rsidRPr="00D70F60">
        <w:rPr>
          <w:lang w:val="ro-RO"/>
        </w:rPr>
        <w:t xml:space="preserve"> </w:t>
      </w:r>
      <w:r w:rsidR="004A2BEC" w:rsidRPr="00D70F60">
        <w:rPr>
          <w:i/>
          <w:iCs/>
          <w:lang w:val="ro-RO"/>
        </w:rPr>
        <w:t>cu</w:t>
      </w:r>
      <w:r w:rsidR="004A2BEC" w:rsidRPr="00D70F60">
        <w:rPr>
          <w:lang w:val="ro-RO"/>
        </w:rPr>
        <w:t xml:space="preserve"> </w:t>
      </w:r>
      <w:r w:rsidR="00700B8B" w:rsidRPr="00421874">
        <w:rPr>
          <w:lang w:val="ro-RO"/>
        </w:rPr>
        <w:t>„</w:t>
      </w:r>
      <w:r w:rsidR="004A2BEC" w:rsidRPr="00D70F60">
        <w:rPr>
          <w:lang w:val="ro-RO"/>
        </w:rPr>
        <w:t>alineatele treisprezece și paisprezece</w:t>
      </w:r>
      <w:r w:rsidR="00602C74">
        <w:rPr>
          <w:lang w:val="ro-RO"/>
        </w:rPr>
        <w:t xml:space="preserve"> ale</w:t>
      </w:r>
      <w:r w:rsidR="00D9295D" w:rsidRPr="00D70F60">
        <w:rPr>
          <w:lang w:val="ro-RO"/>
        </w:rPr>
        <w:t>”</w:t>
      </w:r>
      <w:r w:rsidR="00B740CC">
        <w:rPr>
          <w:lang w:val="ro-RO"/>
        </w:rPr>
        <w:t>.</w:t>
      </w:r>
    </w:p>
    <w:p w:rsidR="005A6DB4" w:rsidRPr="00D70F60" w:rsidRDefault="00FE7542" w:rsidP="0036439B">
      <w:pPr>
        <w:pStyle w:val="H23G"/>
        <w:rPr>
          <w:lang w:val="ro-RO"/>
        </w:rPr>
      </w:pPr>
      <w:r w:rsidRPr="00D70F60">
        <w:rPr>
          <w:lang w:val="ro-RO"/>
        </w:rPr>
        <w:tab/>
        <w:t>9.</w:t>
      </w:r>
      <w:r w:rsidRPr="00D70F60">
        <w:rPr>
          <w:lang w:val="ro-RO"/>
        </w:rPr>
        <w:tab/>
      </w:r>
      <w:r w:rsidR="001B5421" w:rsidRPr="00D70F60">
        <w:rPr>
          <w:lang w:val="ro-RO"/>
        </w:rPr>
        <w:t>Capitolul</w:t>
      </w:r>
      <w:r w:rsidR="005A6DB4" w:rsidRPr="00D70F60">
        <w:rPr>
          <w:lang w:val="ro-RO"/>
        </w:rPr>
        <w:t xml:space="preserve"> 2.2, amend</w:t>
      </w:r>
      <w:r w:rsidR="00D9295D">
        <w:rPr>
          <w:lang w:val="ro-RO"/>
        </w:rPr>
        <w:t>a</w:t>
      </w:r>
      <w:r w:rsidR="005A6DB4" w:rsidRPr="00D70F60">
        <w:rPr>
          <w:lang w:val="ro-RO"/>
        </w:rPr>
        <w:t>ment</w:t>
      </w:r>
      <w:r w:rsidR="00852575">
        <w:rPr>
          <w:lang w:val="ro-RO"/>
        </w:rPr>
        <w:t xml:space="preserve">ul </w:t>
      </w:r>
      <w:r w:rsidR="00B76EB0">
        <w:rPr>
          <w:lang w:val="ro-RO"/>
        </w:rPr>
        <w:t xml:space="preserve">de </w:t>
      </w:r>
      <w:r w:rsidR="00852575">
        <w:rPr>
          <w:lang w:val="ro-RO"/>
        </w:rPr>
        <w:t>la</w:t>
      </w:r>
      <w:r w:rsidR="005A6DB4" w:rsidRPr="00D70F60">
        <w:rPr>
          <w:lang w:val="ro-RO"/>
        </w:rPr>
        <w:t xml:space="preserve"> 2.2.51.2.2, </w:t>
      </w:r>
      <w:bookmarkStart w:id="3" w:name="_Hlk516041739"/>
      <w:r w:rsidR="004A2BEC" w:rsidRPr="00D70F60">
        <w:rPr>
          <w:lang w:val="ro-RO"/>
        </w:rPr>
        <w:t xml:space="preserve">sub alineatul care se termină cu </w:t>
      </w:r>
      <w:r w:rsidR="00700B8B" w:rsidRPr="00421874">
        <w:rPr>
          <w:lang w:val="ro-RO"/>
        </w:rPr>
        <w:t>„</w:t>
      </w:r>
      <w:r w:rsidR="004A2BEC" w:rsidRPr="00D70F60">
        <w:rPr>
          <w:lang w:val="ro-RO"/>
        </w:rPr>
        <w:t>numărul ONU 2067”</w:t>
      </w:r>
      <w:bookmarkEnd w:id="3"/>
    </w:p>
    <w:p w:rsidR="005A6DB4" w:rsidRPr="00D70F60" w:rsidRDefault="004A2BEC" w:rsidP="005A6DB4">
      <w:pPr>
        <w:pStyle w:val="SingleTxtG"/>
        <w:rPr>
          <w:i/>
          <w:iCs/>
          <w:lang w:val="ro-RO"/>
        </w:rPr>
      </w:pPr>
      <w:r w:rsidRPr="00D70F60">
        <w:rPr>
          <w:i/>
          <w:iCs/>
          <w:lang w:val="ro-RO"/>
        </w:rPr>
        <w:t>Se introduce</w:t>
      </w:r>
    </w:p>
    <w:p w:rsidR="005A6DB4" w:rsidRPr="00852575" w:rsidRDefault="005A6DB4" w:rsidP="00F3117D">
      <w:pPr>
        <w:pStyle w:val="SingleTxtG"/>
        <w:rPr>
          <w:i/>
          <w:iCs/>
          <w:lang w:val="ro-RO"/>
        </w:rPr>
      </w:pPr>
      <w:bookmarkStart w:id="4" w:name="_Hlk516041680"/>
      <w:r w:rsidRPr="00D70F60">
        <w:rPr>
          <w:b/>
          <w:bCs/>
          <w:i/>
          <w:iCs/>
          <w:lang w:val="ro-RO"/>
        </w:rPr>
        <w:t>NOT</w:t>
      </w:r>
      <w:r w:rsidR="004A2BEC" w:rsidRPr="00D70F60">
        <w:rPr>
          <w:b/>
          <w:bCs/>
          <w:i/>
          <w:iCs/>
          <w:lang w:val="ro-RO"/>
        </w:rPr>
        <w:t>Ă</w:t>
      </w:r>
      <w:r w:rsidRPr="00D70F60">
        <w:rPr>
          <w:b/>
          <w:bCs/>
          <w:i/>
          <w:iCs/>
          <w:lang w:val="ro-RO"/>
        </w:rPr>
        <w:t>:</w:t>
      </w:r>
      <w:r w:rsidRPr="00D70F60">
        <w:rPr>
          <w:i/>
          <w:iCs/>
          <w:lang w:val="ro-RO"/>
        </w:rPr>
        <w:tab/>
      </w:r>
      <w:r w:rsidR="00852575" w:rsidRPr="00852575">
        <w:rPr>
          <w:i/>
          <w:iCs/>
          <w:lang w:val="ro-RO"/>
        </w:rPr>
        <w:t xml:space="preserve">Termenul "autoritate competentă" înseamnă autoritatea competentă a țării de origine. În cazul în care țara de origine nu este parte contractantă la ADR, clasificarea și condițiile de transport sunt recunoscute de autoritatea competentă din prima țară contractantă la ADR </w:t>
      </w:r>
      <w:r w:rsidR="00852575">
        <w:rPr>
          <w:i/>
          <w:iCs/>
          <w:lang w:val="ro-RO"/>
        </w:rPr>
        <w:t>la care ajunge</w:t>
      </w:r>
      <w:r w:rsidR="00852575" w:rsidRPr="00852575">
        <w:rPr>
          <w:i/>
          <w:iCs/>
          <w:lang w:val="ro-RO"/>
        </w:rPr>
        <w:t xml:space="preserve"> transport</w:t>
      </w:r>
      <w:r w:rsidR="00852575">
        <w:rPr>
          <w:i/>
          <w:iCs/>
          <w:lang w:val="ro-RO"/>
        </w:rPr>
        <w:t>ul</w:t>
      </w:r>
      <w:r w:rsidRPr="00D70F60">
        <w:rPr>
          <w:i/>
          <w:iCs/>
          <w:lang w:val="ro-RO"/>
        </w:rPr>
        <w:t>.</w:t>
      </w:r>
      <w:bookmarkEnd w:id="4"/>
    </w:p>
    <w:p w:rsidR="00CD49F0" w:rsidRPr="00D70F60" w:rsidRDefault="00CD49F0" w:rsidP="00CD49F0">
      <w:pPr>
        <w:pStyle w:val="H23G"/>
        <w:rPr>
          <w:lang w:val="ro-RO"/>
        </w:rPr>
      </w:pPr>
      <w:r w:rsidRPr="00D70F60">
        <w:rPr>
          <w:lang w:val="ro-RO"/>
        </w:rPr>
        <w:tab/>
      </w:r>
      <w:r w:rsidR="00FE7542" w:rsidRPr="00D70F60">
        <w:rPr>
          <w:lang w:val="ro-RO"/>
        </w:rPr>
        <w:t>10.</w:t>
      </w:r>
      <w:r w:rsidRPr="00D70F60">
        <w:rPr>
          <w:lang w:val="ro-RO"/>
        </w:rPr>
        <w:tab/>
      </w:r>
      <w:r w:rsidR="001B5421" w:rsidRPr="00D70F60">
        <w:rPr>
          <w:lang w:val="ro-RO"/>
        </w:rPr>
        <w:t>Capitolul</w:t>
      </w:r>
      <w:r w:rsidRPr="00D70F60">
        <w:rPr>
          <w:lang w:val="ro-RO"/>
        </w:rPr>
        <w:t xml:space="preserve"> 2.2, </w:t>
      </w:r>
      <w:r w:rsidR="00A24574">
        <w:rPr>
          <w:lang w:val="ro-RO"/>
        </w:rPr>
        <w:t xml:space="preserve">la </w:t>
      </w:r>
      <w:r w:rsidRPr="00D70F60">
        <w:rPr>
          <w:lang w:val="ro-RO"/>
        </w:rPr>
        <w:t>2.2.8.2.1</w:t>
      </w:r>
    </w:p>
    <w:p w:rsidR="00CD49F0" w:rsidRPr="003050F2" w:rsidRDefault="006716D6" w:rsidP="00CD49F0">
      <w:pPr>
        <w:pStyle w:val="SingleTxtG"/>
        <w:rPr>
          <w:color w:val="FF0000"/>
          <w:lang w:val="ro-RO"/>
        </w:rPr>
      </w:pPr>
      <w:r>
        <w:rPr>
          <w:color w:val="FF0000"/>
          <w:lang w:val="ro-RO"/>
        </w:rPr>
        <w:t>Nu face obiectul versiunii în română</w:t>
      </w:r>
    </w:p>
    <w:p w:rsidR="00CD49F0" w:rsidRPr="00D70F60" w:rsidRDefault="00CD49F0" w:rsidP="00CD49F0">
      <w:pPr>
        <w:pStyle w:val="H23G"/>
        <w:rPr>
          <w:lang w:val="ro-RO"/>
        </w:rPr>
      </w:pPr>
      <w:r w:rsidRPr="00D70F60">
        <w:rPr>
          <w:lang w:val="ro-RO"/>
        </w:rPr>
        <w:tab/>
      </w:r>
      <w:r w:rsidR="00FE7542" w:rsidRPr="00D70F60">
        <w:rPr>
          <w:lang w:val="ro-RO"/>
        </w:rPr>
        <w:t>11.</w:t>
      </w:r>
      <w:r w:rsidRPr="00D70F60">
        <w:rPr>
          <w:lang w:val="ro-RO"/>
        </w:rPr>
        <w:tab/>
      </w:r>
      <w:r w:rsidR="001B5421" w:rsidRPr="00D70F60">
        <w:rPr>
          <w:lang w:val="ro-RO"/>
        </w:rPr>
        <w:t>Capitolul</w:t>
      </w:r>
      <w:r w:rsidRPr="00D70F60">
        <w:rPr>
          <w:lang w:val="ro-RO"/>
        </w:rPr>
        <w:t xml:space="preserve"> 2.2, </w:t>
      </w:r>
      <w:r w:rsidR="00852575">
        <w:rPr>
          <w:lang w:val="ro-RO"/>
        </w:rPr>
        <w:t xml:space="preserve">amendamentul </w:t>
      </w:r>
      <w:r w:rsidR="00B76EB0">
        <w:rPr>
          <w:lang w:val="ro-RO"/>
        </w:rPr>
        <w:t xml:space="preserve">de </w:t>
      </w:r>
      <w:r w:rsidR="00852575">
        <w:rPr>
          <w:lang w:val="ro-RO"/>
        </w:rPr>
        <w:t>la</w:t>
      </w:r>
      <w:r w:rsidRPr="00D70F60">
        <w:rPr>
          <w:lang w:val="ro-RO"/>
        </w:rPr>
        <w:t xml:space="preserve"> 2.2.9.1.7, noul alin</w:t>
      </w:r>
      <w:r w:rsidR="008F4A55">
        <w:rPr>
          <w:lang w:val="ro-RO"/>
        </w:rPr>
        <w:t>eat</w:t>
      </w:r>
      <w:r w:rsidRPr="00D70F60">
        <w:rPr>
          <w:lang w:val="ro-RO"/>
        </w:rPr>
        <w:t xml:space="preserve"> g), </w:t>
      </w:r>
      <w:r w:rsidR="008F4A55">
        <w:rPr>
          <w:lang w:val="ro-RO"/>
        </w:rPr>
        <w:t>după</w:t>
      </w:r>
      <w:r w:rsidR="00700B8B">
        <w:rPr>
          <w:lang w:val="ro-RO"/>
        </w:rPr>
        <w:t xml:space="preserve"> </w:t>
      </w:r>
      <w:r w:rsidR="00700B8B" w:rsidRPr="00421874">
        <w:rPr>
          <w:lang w:val="ro-RO"/>
        </w:rPr>
        <w:t>„</w:t>
      </w:r>
      <w:r w:rsidRPr="00D70F60">
        <w:rPr>
          <w:lang w:val="ro-RO"/>
        </w:rPr>
        <w:t xml:space="preserve">pile </w:t>
      </w:r>
      <w:r w:rsidR="008F4A55">
        <w:rPr>
          <w:lang w:val="ro-RO"/>
        </w:rPr>
        <w:t>sa</w:t>
      </w:r>
      <w:r w:rsidRPr="00D70F60">
        <w:rPr>
          <w:lang w:val="ro-RO"/>
        </w:rPr>
        <w:t>u bateri</w:t>
      </w:r>
      <w:r w:rsidR="008F4A55">
        <w:rPr>
          <w:lang w:val="ro-RO"/>
        </w:rPr>
        <w:t>i</w:t>
      </w:r>
      <w:r w:rsidRPr="00D70F60">
        <w:rPr>
          <w:lang w:val="ro-RO"/>
        </w:rPr>
        <w:t> </w:t>
      </w:r>
      <w:r w:rsidR="004A2BEC" w:rsidRPr="00D70F60">
        <w:rPr>
          <w:lang w:val="ro-RO"/>
        </w:rPr>
        <w:t>”</w:t>
      </w:r>
    </w:p>
    <w:p w:rsidR="00CD49F0" w:rsidRPr="00D70F60" w:rsidRDefault="004A2BEC" w:rsidP="00CD49F0">
      <w:pPr>
        <w:pStyle w:val="SingleTxtG"/>
        <w:rPr>
          <w:lang w:val="ro-RO"/>
        </w:rPr>
      </w:pPr>
      <w:r w:rsidRPr="00D70F60">
        <w:rPr>
          <w:i/>
          <w:lang w:val="ro-RO"/>
        </w:rPr>
        <w:t>Se introduce</w:t>
      </w:r>
      <w:r w:rsidR="00CD49F0" w:rsidRPr="00D70F60">
        <w:rPr>
          <w:lang w:val="ro-RO"/>
        </w:rPr>
        <w:t xml:space="preserve"> </w:t>
      </w:r>
      <w:bookmarkStart w:id="5" w:name="_Hlk516042041"/>
      <w:r w:rsidR="00700B8B" w:rsidRPr="00421874">
        <w:rPr>
          <w:lang w:val="ro-RO"/>
        </w:rPr>
        <w:t>„</w:t>
      </w:r>
      <w:r w:rsidR="00F42C7B">
        <w:rPr>
          <w:lang w:val="ro-RO"/>
        </w:rPr>
        <w:t xml:space="preserve">, </w:t>
      </w:r>
      <w:r w:rsidR="00CD49F0" w:rsidRPr="00D70F60">
        <w:rPr>
          <w:lang w:val="ro-RO"/>
        </w:rPr>
        <w:t>fabri</w:t>
      </w:r>
      <w:r w:rsidR="00852575">
        <w:rPr>
          <w:lang w:val="ro-RO"/>
        </w:rPr>
        <w:t xml:space="preserve">cate </w:t>
      </w:r>
      <w:r w:rsidRPr="00D70F60">
        <w:rPr>
          <w:lang w:val="ro-RO"/>
        </w:rPr>
        <w:t>după</w:t>
      </w:r>
      <w:r w:rsidR="00CD49F0" w:rsidRPr="00D70F60">
        <w:rPr>
          <w:lang w:val="ro-RO"/>
        </w:rPr>
        <w:t xml:space="preserve"> 30 </w:t>
      </w:r>
      <w:r w:rsidRPr="00D70F60">
        <w:rPr>
          <w:lang w:val="ro-RO"/>
        </w:rPr>
        <w:t>iunie</w:t>
      </w:r>
      <w:r w:rsidR="00CD49F0" w:rsidRPr="00D70F60">
        <w:rPr>
          <w:lang w:val="ro-RO"/>
        </w:rPr>
        <w:t xml:space="preserve"> 2003</w:t>
      </w:r>
      <w:bookmarkEnd w:id="5"/>
      <w:r w:rsidR="00F42C7B">
        <w:rPr>
          <w:lang w:val="ro-RO"/>
        </w:rPr>
        <w:t xml:space="preserve">, </w:t>
      </w:r>
      <w:r w:rsidR="00D9295D" w:rsidRPr="00D70F60">
        <w:rPr>
          <w:lang w:val="ro-RO"/>
        </w:rPr>
        <w:t>”</w:t>
      </w:r>
      <w:r w:rsidR="00B740CC">
        <w:rPr>
          <w:lang w:val="ro-RO"/>
        </w:rPr>
        <w:t>.</w:t>
      </w:r>
    </w:p>
    <w:p w:rsidR="003656F1" w:rsidRPr="00D70F60" w:rsidRDefault="003656F1" w:rsidP="003656F1">
      <w:pPr>
        <w:pStyle w:val="H23G"/>
        <w:rPr>
          <w:lang w:val="ro-RO"/>
        </w:rPr>
      </w:pPr>
      <w:r w:rsidRPr="00D70F60">
        <w:rPr>
          <w:lang w:val="ro-RO"/>
        </w:rPr>
        <w:tab/>
      </w:r>
      <w:r w:rsidR="00FE7542" w:rsidRPr="00D70F60">
        <w:rPr>
          <w:lang w:val="ro-RO"/>
        </w:rPr>
        <w:t>12.</w:t>
      </w:r>
      <w:r w:rsidRPr="00D70F60">
        <w:rPr>
          <w:lang w:val="ro-RO"/>
        </w:rPr>
        <w:tab/>
      </w:r>
      <w:r w:rsidR="001B5421" w:rsidRPr="00D70F60">
        <w:rPr>
          <w:lang w:val="ro-RO"/>
        </w:rPr>
        <w:t>Capitolul</w:t>
      </w:r>
      <w:r w:rsidRPr="00D70F60">
        <w:rPr>
          <w:lang w:val="ro-RO"/>
        </w:rPr>
        <w:t xml:space="preserve"> 3.2, </w:t>
      </w:r>
      <w:r w:rsidR="004A2BEC" w:rsidRPr="00D70F60">
        <w:rPr>
          <w:lang w:val="ro-RO"/>
        </w:rPr>
        <w:t>tabelul</w:t>
      </w:r>
      <w:r w:rsidRPr="00D70F60">
        <w:rPr>
          <w:lang w:val="ro-RO"/>
        </w:rPr>
        <w:t xml:space="preserve"> A, </w:t>
      </w:r>
      <w:r w:rsidR="004A2BEC" w:rsidRPr="00D70F60">
        <w:rPr>
          <w:lang w:val="ro-RO"/>
        </w:rPr>
        <w:t>pentru</w:t>
      </w:r>
      <w:r w:rsidRPr="00D70F60">
        <w:rPr>
          <w:lang w:val="ro-RO"/>
        </w:rPr>
        <w:t xml:space="preserve"> </w:t>
      </w:r>
      <w:r w:rsidR="004A2BEC" w:rsidRPr="00D70F60">
        <w:rPr>
          <w:lang w:val="ro-RO"/>
        </w:rPr>
        <w:t>Nr. ONU</w:t>
      </w:r>
      <w:r w:rsidRPr="00D70F60">
        <w:rPr>
          <w:lang w:val="ro-RO"/>
        </w:rPr>
        <w:t xml:space="preserve"> 2071</w:t>
      </w:r>
    </w:p>
    <w:p w:rsidR="003656F1" w:rsidRPr="00D70F60" w:rsidRDefault="001B5421" w:rsidP="003656F1">
      <w:pPr>
        <w:pStyle w:val="SingleTxtG"/>
        <w:rPr>
          <w:lang w:val="ro-RO"/>
        </w:rPr>
      </w:pPr>
      <w:r w:rsidRPr="00D70F60">
        <w:rPr>
          <w:i/>
          <w:iCs/>
          <w:lang w:val="ro-RO"/>
        </w:rPr>
        <w:t>Se șterge</w:t>
      </w:r>
      <w:r w:rsidR="003656F1" w:rsidRPr="00D70F60">
        <w:rPr>
          <w:i/>
          <w:iCs/>
          <w:lang w:val="ro-RO"/>
        </w:rPr>
        <w:t xml:space="preserve"> </w:t>
      </w:r>
      <w:r w:rsidR="00694FAC" w:rsidRPr="00421874">
        <w:rPr>
          <w:lang w:val="ro-RO"/>
        </w:rPr>
        <w:t>„</w:t>
      </w:r>
      <w:r w:rsidR="00694FAC" w:rsidRPr="00694FAC">
        <w:rPr>
          <w:lang w:val="ro-RO"/>
        </w:rPr>
        <w:t>În coloana (3b), se adaugă „M11”</w:t>
      </w:r>
      <w:r w:rsidR="00694FAC">
        <w:rPr>
          <w:lang w:val="ro-RO"/>
        </w:rPr>
        <w:t>.</w:t>
      </w:r>
      <w:r w:rsidR="00694FAC" w:rsidRPr="00694FAC">
        <w:rPr>
          <w:lang w:val="ro-RO"/>
        </w:rPr>
        <w:t>”</w:t>
      </w:r>
      <w:r w:rsidR="00694FAC">
        <w:rPr>
          <w:lang w:val="ro-RO"/>
        </w:rPr>
        <w:t>.</w:t>
      </w:r>
    </w:p>
    <w:p w:rsidR="003656F1" w:rsidRPr="00D70F60" w:rsidRDefault="003656F1" w:rsidP="003656F1">
      <w:pPr>
        <w:pStyle w:val="H23G"/>
        <w:rPr>
          <w:lang w:val="ro-RO"/>
        </w:rPr>
      </w:pPr>
      <w:r w:rsidRPr="00D70F60">
        <w:rPr>
          <w:lang w:val="ro-RO"/>
        </w:rPr>
        <w:tab/>
      </w:r>
      <w:r w:rsidR="00FE7542" w:rsidRPr="00D70F60">
        <w:rPr>
          <w:lang w:val="ro-RO"/>
        </w:rPr>
        <w:t>13.</w:t>
      </w:r>
      <w:r w:rsidRPr="00D70F60">
        <w:rPr>
          <w:lang w:val="ro-RO"/>
        </w:rPr>
        <w:tab/>
      </w:r>
      <w:r w:rsidR="001B5421" w:rsidRPr="00D70F60">
        <w:rPr>
          <w:lang w:val="ro-RO"/>
        </w:rPr>
        <w:t>Capitolul</w:t>
      </w:r>
      <w:r w:rsidRPr="00D70F60">
        <w:rPr>
          <w:lang w:val="ro-RO"/>
        </w:rPr>
        <w:t xml:space="preserve"> 3.2, </w:t>
      </w:r>
      <w:r w:rsidR="004A2BEC" w:rsidRPr="00D70F60">
        <w:rPr>
          <w:lang w:val="ro-RO"/>
        </w:rPr>
        <w:t>tabelul</w:t>
      </w:r>
      <w:r w:rsidRPr="00D70F60">
        <w:rPr>
          <w:lang w:val="ro-RO"/>
        </w:rPr>
        <w:t xml:space="preserve"> A, </w:t>
      </w:r>
      <w:r w:rsidR="004A2BEC" w:rsidRPr="00D70F60">
        <w:rPr>
          <w:lang w:val="ro-RO"/>
        </w:rPr>
        <w:t>pentru</w:t>
      </w:r>
      <w:r w:rsidRPr="00D70F60">
        <w:rPr>
          <w:lang w:val="ro-RO"/>
        </w:rPr>
        <w:t xml:space="preserve"> </w:t>
      </w:r>
      <w:r w:rsidR="004A2BEC" w:rsidRPr="00D70F60">
        <w:rPr>
          <w:lang w:val="ro-RO"/>
        </w:rPr>
        <w:t>Nr. ONU</w:t>
      </w:r>
      <w:r w:rsidRPr="00D70F60">
        <w:rPr>
          <w:lang w:val="ro-RO"/>
        </w:rPr>
        <w:t xml:space="preserve"> 2381</w:t>
      </w:r>
    </w:p>
    <w:p w:rsidR="003656F1" w:rsidRPr="00D70F60" w:rsidRDefault="001B5421" w:rsidP="003656F1">
      <w:pPr>
        <w:pStyle w:val="SingleTxtG"/>
        <w:rPr>
          <w:iCs/>
          <w:lang w:val="ro-RO"/>
        </w:rPr>
      </w:pPr>
      <w:r w:rsidRPr="00D70F60">
        <w:rPr>
          <w:i/>
          <w:lang w:val="ro-RO"/>
        </w:rPr>
        <w:t>Se înlocuiește</w:t>
      </w:r>
      <w:r w:rsidR="003656F1" w:rsidRPr="00D70F60">
        <w:rPr>
          <w:i/>
          <w:lang w:val="ro-RO"/>
        </w:rPr>
        <w:t xml:space="preserve"> </w:t>
      </w:r>
      <w:r w:rsidR="00700B8B" w:rsidRPr="00421874">
        <w:rPr>
          <w:lang w:val="ro-RO"/>
        </w:rPr>
        <w:t>„</w:t>
      </w:r>
      <w:r w:rsidR="003656F1" w:rsidRPr="00D70F60">
        <w:rPr>
          <w:iCs/>
          <w:lang w:val="ro-RO"/>
        </w:rPr>
        <w:t>TP38</w:t>
      </w:r>
      <w:r w:rsidR="00D9295D" w:rsidRPr="00D70F60">
        <w:rPr>
          <w:lang w:val="ro-RO"/>
        </w:rPr>
        <w:t>”</w:t>
      </w:r>
      <w:r w:rsidR="003656F1" w:rsidRPr="00D70F60">
        <w:rPr>
          <w:iCs/>
          <w:lang w:val="ro-RO"/>
        </w:rPr>
        <w:t xml:space="preserve"> </w:t>
      </w:r>
      <w:r w:rsidR="004A2BEC" w:rsidRPr="008F4A55">
        <w:rPr>
          <w:lang w:val="ro-RO"/>
        </w:rPr>
        <w:t>cu</w:t>
      </w:r>
      <w:r w:rsidR="003656F1" w:rsidRPr="00D70F60">
        <w:rPr>
          <w:i/>
          <w:lang w:val="ro-RO"/>
        </w:rPr>
        <w:t xml:space="preserve"> </w:t>
      </w:r>
      <w:r w:rsidR="00700B8B" w:rsidRPr="00421874">
        <w:rPr>
          <w:lang w:val="ro-RO"/>
        </w:rPr>
        <w:t>„</w:t>
      </w:r>
      <w:r w:rsidR="003656F1" w:rsidRPr="00D70F60">
        <w:rPr>
          <w:iCs/>
          <w:lang w:val="ro-RO"/>
        </w:rPr>
        <w:t>TP39</w:t>
      </w:r>
      <w:r w:rsidR="00D9295D" w:rsidRPr="00D70F60">
        <w:rPr>
          <w:lang w:val="ro-RO"/>
        </w:rPr>
        <w:t>”</w:t>
      </w:r>
      <w:r w:rsidR="00B740CC">
        <w:rPr>
          <w:iCs/>
          <w:lang w:val="ro-RO"/>
        </w:rPr>
        <w:t>.</w:t>
      </w:r>
    </w:p>
    <w:p w:rsidR="003656F1" w:rsidRPr="00D70F60" w:rsidRDefault="003656F1" w:rsidP="003656F1">
      <w:pPr>
        <w:pStyle w:val="H23G"/>
        <w:rPr>
          <w:lang w:val="ro-RO"/>
        </w:rPr>
      </w:pPr>
      <w:r w:rsidRPr="00D70F60">
        <w:rPr>
          <w:lang w:val="ro-RO"/>
        </w:rPr>
        <w:tab/>
      </w:r>
      <w:r w:rsidR="00FE7542" w:rsidRPr="00D70F60">
        <w:rPr>
          <w:lang w:val="ro-RO"/>
        </w:rPr>
        <w:t>14.</w:t>
      </w:r>
      <w:r w:rsidRPr="00D70F60">
        <w:rPr>
          <w:lang w:val="ro-RO"/>
        </w:rPr>
        <w:tab/>
      </w:r>
      <w:r w:rsidR="001B5421" w:rsidRPr="00D70F60">
        <w:rPr>
          <w:lang w:val="ro-RO"/>
        </w:rPr>
        <w:t>Capitolul</w:t>
      </w:r>
      <w:r w:rsidRPr="00D70F60">
        <w:rPr>
          <w:lang w:val="ro-RO"/>
        </w:rPr>
        <w:t xml:space="preserve"> 3.2, </w:t>
      </w:r>
      <w:r w:rsidR="004A2BEC" w:rsidRPr="00D70F60">
        <w:rPr>
          <w:lang w:val="ro-RO"/>
        </w:rPr>
        <w:t>tabelul</w:t>
      </w:r>
      <w:r w:rsidRPr="00D70F60">
        <w:rPr>
          <w:lang w:val="ro-RO"/>
        </w:rPr>
        <w:t xml:space="preserve"> A, </w:t>
      </w:r>
      <w:r w:rsidR="004A2BEC" w:rsidRPr="00D70F60">
        <w:rPr>
          <w:lang w:val="ro-RO"/>
        </w:rPr>
        <w:t>pentru</w:t>
      </w:r>
      <w:r w:rsidRPr="00D70F60">
        <w:rPr>
          <w:lang w:val="ro-RO"/>
        </w:rPr>
        <w:t xml:space="preserve"> </w:t>
      </w:r>
      <w:r w:rsidR="004A2BEC" w:rsidRPr="00D70F60">
        <w:rPr>
          <w:lang w:val="ro-RO"/>
        </w:rPr>
        <w:t>Nr. ONU</w:t>
      </w:r>
      <w:r w:rsidRPr="00D70F60">
        <w:rPr>
          <w:lang w:val="ro-RO"/>
        </w:rPr>
        <w:t xml:space="preserve"> 3148</w:t>
      </w:r>
    </w:p>
    <w:p w:rsidR="003656F1" w:rsidRPr="00D70F60" w:rsidRDefault="001B5421" w:rsidP="003656F1">
      <w:pPr>
        <w:pStyle w:val="SingleTxtG"/>
        <w:rPr>
          <w:iCs/>
          <w:lang w:val="ro-RO"/>
        </w:rPr>
      </w:pPr>
      <w:r w:rsidRPr="00D70F60">
        <w:rPr>
          <w:i/>
          <w:lang w:val="ro-RO"/>
        </w:rPr>
        <w:t>Se înlocuiește</w:t>
      </w:r>
      <w:r w:rsidR="003656F1" w:rsidRPr="00D70F60">
        <w:rPr>
          <w:i/>
          <w:lang w:val="ro-RO"/>
        </w:rPr>
        <w:t xml:space="preserve"> </w:t>
      </w:r>
      <w:r w:rsidR="00700B8B" w:rsidRPr="00421874">
        <w:rPr>
          <w:lang w:val="ro-RO"/>
        </w:rPr>
        <w:t>„</w:t>
      </w:r>
      <w:r w:rsidR="003656F1" w:rsidRPr="00D70F60">
        <w:rPr>
          <w:iCs/>
          <w:lang w:val="ro-RO"/>
        </w:rPr>
        <w:t>TP39</w:t>
      </w:r>
      <w:r w:rsidR="00D9295D" w:rsidRPr="00D70F60">
        <w:rPr>
          <w:lang w:val="ro-RO"/>
        </w:rPr>
        <w:t>”</w:t>
      </w:r>
      <w:r w:rsidR="003656F1" w:rsidRPr="00D70F60">
        <w:rPr>
          <w:iCs/>
          <w:lang w:val="ro-RO"/>
        </w:rPr>
        <w:t xml:space="preserve"> </w:t>
      </w:r>
      <w:r w:rsidR="004A2BEC" w:rsidRPr="008F4A55">
        <w:rPr>
          <w:lang w:val="ro-RO"/>
        </w:rPr>
        <w:t>cu</w:t>
      </w:r>
      <w:r w:rsidR="003656F1" w:rsidRPr="00D70F60">
        <w:rPr>
          <w:i/>
          <w:lang w:val="ro-RO"/>
        </w:rPr>
        <w:t xml:space="preserve"> </w:t>
      </w:r>
      <w:r w:rsidR="00700B8B" w:rsidRPr="00421874">
        <w:rPr>
          <w:lang w:val="ro-RO"/>
        </w:rPr>
        <w:t>„</w:t>
      </w:r>
      <w:r w:rsidR="003656F1" w:rsidRPr="00D70F60">
        <w:rPr>
          <w:iCs/>
          <w:lang w:val="ro-RO"/>
        </w:rPr>
        <w:t>TP38</w:t>
      </w:r>
      <w:r w:rsidR="00D9295D" w:rsidRPr="00D70F60">
        <w:rPr>
          <w:lang w:val="ro-RO"/>
        </w:rPr>
        <w:t>”</w:t>
      </w:r>
      <w:r w:rsidR="00B740CC">
        <w:rPr>
          <w:iCs/>
          <w:lang w:val="ro-RO"/>
        </w:rPr>
        <w:t>.</w:t>
      </w:r>
    </w:p>
    <w:p w:rsidR="003656F1" w:rsidRPr="00D70F60" w:rsidRDefault="003656F1" w:rsidP="003656F1">
      <w:pPr>
        <w:pStyle w:val="H23G"/>
        <w:rPr>
          <w:lang w:val="ro-RO"/>
        </w:rPr>
      </w:pPr>
      <w:r w:rsidRPr="00D70F60">
        <w:rPr>
          <w:lang w:val="ro-RO"/>
        </w:rPr>
        <w:tab/>
      </w:r>
      <w:r w:rsidR="00FE7542" w:rsidRPr="00D70F60">
        <w:rPr>
          <w:lang w:val="ro-RO"/>
        </w:rPr>
        <w:t>15.</w:t>
      </w:r>
      <w:r w:rsidRPr="00D70F60">
        <w:rPr>
          <w:lang w:val="ro-RO"/>
        </w:rPr>
        <w:tab/>
      </w:r>
      <w:r w:rsidR="001B5421" w:rsidRPr="00D70F60">
        <w:rPr>
          <w:lang w:val="ro-RO"/>
        </w:rPr>
        <w:t>Capitolul</w:t>
      </w:r>
      <w:r w:rsidRPr="00D70F60">
        <w:rPr>
          <w:lang w:val="ro-RO"/>
        </w:rPr>
        <w:t xml:space="preserve"> 3.2, </w:t>
      </w:r>
      <w:r w:rsidR="004A2BEC" w:rsidRPr="00D70F60">
        <w:rPr>
          <w:lang w:val="ro-RO"/>
        </w:rPr>
        <w:t>tabelul</w:t>
      </w:r>
      <w:r w:rsidRPr="00D70F60">
        <w:rPr>
          <w:lang w:val="ro-RO"/>
        </w:rPr>
        <w:t xml:space="preserve"> A, </w:t>
      </w:r>
      <w:r w:rsidR="004A2BEC" w:rsidRPr="00D70F60">
        <w:rPr>
          <w:lang w:val="ro-RO"/>
        </w:rPr>
        <w:t>pentru</w:t>
      </w:r>
      <w:r w:rsidRPr="00D70F60">
        <w:rPr>
          <w:lang w:val="ro-RO"/>
        </w:rPr>
        <w:t xml:space="preserve"> N</w:t>
      </w:r>
      <w:r w:rsidR="004A2BEC" w:rsidRPr="00D70F60">
        <w:rPr>
          <w:lang w:val="ro-RO"/>
        </w:rPr>
        <w:t>r</w:t>
      </w:r>
      <w:r w:rsidRPr="00D70F60">
        <w:rPr>
          <w:lang w:val="ro-RO"/>
        </w:rPr>
        <w:t>. ONU 3528,</w:t>
      </w:r>
      <w:r w:rsidR="004A2BEC" w:rsidRPr="00D70F60">
        <w:rPr>
          <w:lang w:val="ro-RO"/>
        </w:rPr>
        <w:t xml:space="preserve"> </w:t>
      </w:r>
      <w:r w:rsidRPr="00D70F60">
        <w:rPr>
          <w:lang w:val="ro-RO"/>
        </w:rPr>
        <w:t xml:space="preserve"> 3529 </w:t>
      </w:r>
      <w:r w:rsidR="004A2BEC" w:rsidRPr="00D70F60">
        <w:rPr>
          <w:lang w:val="ro-RO"/>
        </w:rPr>
        <w:t>și</w:t>
      </w:r>
      <w:r w:rsidRPr="00D70F60">
        <w:rPr>
          <w:lang w:val="ro-RO"/>
        </w:rPr>
        <w:t xml:space="preserve"> 3530</w:t>
      </w:r>
    </w:p>
    <w:p w:rsidR="003656F1" w:rsidRPr="003050F2" w:rsidRDefault="006716D6" w:rsidP="003656F1">
      <w:pPr>
        <w:pStyle w:val="SingleTxtG"/>
        <w:rPr>
          <w:color w:val="FF0000"/>
          <w:lang w:val="ro-RO"/>
        </w:rPr>
      </w:pPr>
      <w:r>
        <w:rPr>
          <w:color w:val="FF0000"/>
          <w:lang w:val="ro-RO"/>
        </w:rPr>
        <w:t>Nu face obiectul versiunii în română</w:t>
      </w:r>
    </w:p>
    <w:p w:rsidR="00694C7F" w:rsidRPr="00D70F60" w:rsidRDefault="00FE7542" w:rsidP="0036439B">
      <w:pPr>
        <w:pStyle w:val="H23G"/>
        <w:rPr>
          <w:lang w:val="ro-RO"/>
        </w:rPr>
      </w:pPr>
      <w:r w:rsidRPr="00D70F60">
        <w:rPr>
          <w:lang w:val="ro-RO"/>
        </w:rPr>
        <w:tab/>
        <w:t>16.</w:t>
      </w:r>
      <w:r w:rsidRPr="00D70F60">
        <w:rPr>
          <w:lang w:val="ro-RO"/>
        </w:rPr>
        <w:tab/>
      </w:r>
      <w:r w:rsidR="001B5421" w:rsidRPr="00D70F60">
        <w:rPr>
          <w:lang w:val="ro-RO"/>
        </w:rPr>
        <w:t>Capitolul</w:t>
      </w:r>
      <w:r w:rsidR="00694C7F" w:rsidRPr="00D70F60">
        <w:rPr>
          <w:lang w:val="ro-RO"/>
        </w:rPr>
        <w:t xml:space="preserve"> 3.3, </w:t>
      </w:r>
      <w:r w:rsidR="00852575">
        <w:rPr>
          <w:lang w:val="ro-RO"/>
        </w:rPr>
        <w:t>amendament</w:t>
      </w:r>
      <w:r w:rsidR="008F4A55">
        <w:rPr>
          <w:lang w:val="ro-RO"/>
        </w:rPr>
        <w:t>ul</w:t>
      </w:r>
      <w:r w:rsidR="00694C7F" w:rsidRPr="00D70F60">
        <w:rPr>
          <w:lang w:val="ro-RO"/>
        </w:rPr>
        <w:t xml:space="preserve"> </w:t>
      </w:r>
      <w:r w:rsidR="00B76EB0">
        <w:rPr>
          <w:lang w:val="ro-RO"/>
        </w:rPr>
        <w:t xml:space="preserve">de </w:t>
      </w:r>
      <w:r w:rsidR="00694C7F" w:rsidRPr="00D70F60">
        <w:rPr>
          <w:lang w:val="ro-RO"/>
        </w:rPr>
        <w:t>la dispo</w:t>
      </w:r>
      <w:r w:rsidR="008F4A55">
        <w:rPr>
          <w:lang w:val="ro-RO"/>
        </w:rPr>
        <w:t xml:space="preserve">ziția </w:t>
      </w:r>
      <w:r w:rsidR="00694C7F" w:rsidRPr="00D70F60">
        <w:rPr>
          <w:lang w:val="ro-RO"/>
        </w:rPr>
        <w:t>sp</w:t>
      </w:r>
      <w:r w:rsidR="008F4A55">
        <w:rPr>
          <w:lang w:val="ro-RO"/>
        </w:rPr>
        <w:t>e</w:t>
      </w:r>
      <w:r w:rsidR="00694C7F" w:rsidRPr="00D70F60">
        <w:rPr>
          <w:lang w:val="ro-RO"/>
        </w:rPr>
        <w:t>cial</w:t>
      </w:r>
      <w:r w:rsidR="008F4A55">
        <w:rPr>
          <w:lang w:val="ro-RO"/>
        </w:rPr>
        <w:t>ă</w:t>
      </w:r>
      <w:r w:rsidR="00694C7F" w:rsidRPr="00D70F60">
        <w:rPr>
          <w:lang w:val="ro-RO"/>
        </w:rPr>
        <w:t xml:space="preserve"> 251, alin</w:t>
      </w:r>
      <w:r w:rsidR="008F4A55">
        <w:rPr>
          <w:lang w:val="ro-RO"/>
        </w:rPr>
        <w:t>e</w:t>
      </w:r>
      <w:r w:rsidR="00694C7F" w:rsidRPr="00D70F60">
        <w:rPr>
          <w:lang w:val="ro-RO"/>
        </w:rPr>
        <w:t>a</w:t>
      </w:r>
      <w:r w:rsidR="008F4A55">
        <w:rPr>
          <w:lang w:val="ro-RO"/>
        </w:rPr>
        <w:t>tul</w:t>
      </w:r>
      <w:r w:rsidR="00694C7F" w:rsidRPr="00D70F60">
        <w:rPr>
          <w:lang w:val="ro-RO"/>
        </w:rPr>
        <w:t xml:space="preserve"> a)</w:t>
      </w:r>
    </w:p>
    <w:p w:rsidR="00694C7F" w:rsidRPr="00D70F60" w:rsidRDefault="001B5421" w:rsidP="00694C7F">
      <w:pPr>
        <w:pStyle w:val="SingleTxtG"/>
        <w:rPr>
          <w:lang w:val="ro-RO"/>
        </w:rPr>
      </w:pPr>
      <w:r w:rsidRPr="00D70F60">
        <w:rPr>
          <w:i/>
          <w:iCs/>
          <w:lang w:val="ro-RO"/>
        </w:rPr>
        <w:t>Se înlocuiește</w:t>
      </w:r>
      <w:r w:rsidR="00694C7F" w:rsidRPr="00D70F60">
        <w:rPr>
          <w:lang w:val="ro-RO"/>
        </w:rPr>
        <w:t xml:space="preserve"> </w:t>
      </w:r>
      <w:r w:rsidR="00700B8B" w:rsidRPr="00421874">
        <w:rPr>
          <w:lang w:val="ro-RO"/>
        </w:rPr>
        <w:t>„</w:t>
      </w:r>
      <w:r w:rsidR="008F4A55" w:rsidRPr="00B5047A">
        <w:rPr>
          <w:iCs/>
          <w:lang w:val="ro-RO"/>
        </w:rPr>
        <w:t>sub cantitățile</w:t>
      </w:r>
      <w:r w:rsidR="00D9295D" w:rsidRPr="00D70F60">
        <w:rPr>
          <w:lang w:val="ro-RO"/>
        </w:rPr>
        <w:t>”</w:t>
      </w:r>
      <w:r w:rsidR="00694C7F" w:rsidRPr="00D70F60">
        <w:rPr>
          <w:lang w:val="ro-RO"/>
        </w:rPr>
        <w:t xml:space="preserve"> </w:t>
      </w:r>
      <w:r w:rsidR="004A2BEC" w:rsidRPr="00D70F60">
        <w:rPr>
          <w:i/>
          <w:iCs/>
          <w:lang w:val="ro-RO"/>
        </w:rPr>
        <w:t>cu</w:t>
      </w:r>
      <w:r w:rsidR="00694C7F" w:rsidRPr="00D70F60">
        <w:rPr>
          <w:i/>
          <w:iCs/>
          <w:lang w:val="ro-RO"/>
        </w:rPr>
        <w:t xml:space="preserve"> </w:t>
      </w:r>
      <w:bookmarkStart w:id="6" w:name="_Hlk516042473"/>
      <w:r w:rsidR="00700B8B" w:rsidRPr="00421874">
        <w:rPr>
          <w:lang w:val="ro-RO"/>
        </w:rPr>
        <w:t>„</w:t>
      </w:r>
      <w:bookmarkEnd w:id="6"/>
      <w:r w:rsidR="00B740CC">
        <w:rPr>
          <w:lang w:val="ro-RO"/>
        </w:rPr>
        <w:t>fără a</w:t>
      </w:r>
      <w:r w:rsidR="008F4A55">
        <w:rPr>
          <w:lang w:val="ro-RO"/>
        </w:rPr>
        <w:t xml:space="preserve"> depăș</w:t>
      </w:r>
      <w:r w:rsidR="00B740CC">
        <w:rPr>
          <w:lang w:val="ro-RO"/>
        </w:rPr>
        <w:t>i</w:t>
      </w:r>
      <w:r w:rsidR="008F4A55">
        <w:rPr>
          <w:lang w:val="ro-RO"/>
        </w:rPr>
        <w:t xml:space="preserve"> cantitățile</w:t>
      </w:r>
      <w:r w:rsidR="00D9295D" w:rsidRPr="00D70F60">
        <w:rPr>
          <w:lang w:val="ro-RO"/>
        </w:rPr>
        <w:t>”</w:t>
      </w:r>
      <w:r w:rsidR="00B740CC">
        <w:rPr>
          <w:lang w:val="ro-RO"/>
        </w:rPr>
        <w:t>.</w:t>
      </w:r>
    </w:p>
    <w:p w:rsidR="00B8706D" w:rsidRPr="00D70F60" w:rsidRDefault="00FE7542" w:rsidP="0036439B">
      <w:pPr>
        <w:pStyle w:val="H23G"/>
        <w:rPr>
          <w:lang w:val="ro-RO"/>
        </w:rPr>
      </w:pPr>
      <w:r w:rsidRPr="00D70F60">
        <w:rPr>
          <w:lang w:val="ro-RO"/>
        </w:rPr>
        <w:tab/>
        <w:t>17.</w:t>
      </w:r>
      <w:r w:rsidRPr="00D70F60">
        <w:rPr>
          <w:lang w:val="ro-RO"/>
        </w:rPr>
        <w:tab/>
      </w:r>
      <w:r w:rsidR="001B5421" w:rsidRPr="00D70F60">
        <w:rPr>
          <w:lang w:val="ro-RO"/>
        </w:rPr>
        <w:t>Capitolul</w:t>
      </w:r>
      <w:r w:rsidR="00B8706D" w:rsidRPr="00D70F60">
        <w:rPr>
          <w:lang w:val="ro-RO"/>
        </w:rPr>
        <w:t xml:space="preserve"> 3.3, </w:t>
      </w:r>
      <w:r w:rsidR="00852575">
        <w:rPr>
          <w:lang w:val="ro-RO"/>
        </w:rPr>
        <w:t>amendament</w:t>
      </w:r>
      <w:r w:rsidR="008F4A55">
        <w:rPr>
          <w:lang w:val="ro-RO"/>
        </w:rPr>
        <w:t>ul</w:t>
      </w:r>
      <w:r w:rsidR="006D33BA" w:rsidRPr="00D70F60">
        <w:rPr>
          <w:lang w:val="ro-RO"/>
        </w:rPr>
        <w:t xml:space="preserve"> </w:t>
      </w:r>
      <w:r w:rsidR="00B76EB0">
        <w:rPr>
          <w:lang w:val="ro-RO"/>
        </w:rPr>
        <w:t xml:space="preserve">de </w:t>
      </w:r>
      <w:r w:rsidR="006D33BA" w:rsidRPr="00D70F60">
        <w:rPr>
          <w:lang w:val="ro-RO"/>
        </w:rPr>
        <w:t>la dispo</w:t>
      </w:r>
      <w:r w:rsidR="008F4A55">
        <w:rPr>
          <w:lang w:val="ro-RO"/>
        </w:rPr>
        <w:t>z</w:t>
      </w:r>
      <w:r w:rsidR="006D33BA" w:rsidRPr="00D70F60">
        <w:rPr>
          <w:lang w:val="ro-RO"/>
        </w:rPr>
        <w:t>i</w:t>
      </w:r>
      <w:r w:rsidR="008F4A55">
        <w:rPr>
          <w:lang w:val="ro-RO"/>
        </w:rPr>
        <w:t>ția</w:t>
      </w:r>
      <w:r w:rsidR="006D33BA" w:rsidRPr="00D70F60">
        <w:rPr>
          <w:lang w:val="ro-RO"/>
        </w:rPr>
        <w:t xml:space="preserve"> sp</w:t>
      </w:r>
      <w:r w:rsidR="008F4A55">
        <w:rPr>
          <w:lang w:val="ro-RO"/>
        </w:rPr>
        <w:t>e</w:t>
      </w:r>
      <w:r w:rsidR="006D33BA" w:rsidRPr="00D70F60">
        <w:rPr>
          <w:lang w:val="ro-RO"/>
        </w:rPr>
        <w:t>cial</w:t>
      </w:r>
      <w:r w:rsidR="008F4A55">
        <w:rPr>
          <w:lang w:val="ro-RO"/>
        </w:rPr>
        <w:t>ă</w:t>
      </w:r>
      <w:r w:rsidR="006D33BA" w:rsidRPr="00D70F60">
        <w:rPr>
          <w:lang w:val="ro-RO"/>
        </w:rPr>
        <w:t xml:space="preserve"> 251, la </w:t>
      </w:r>
      <w:r w:rsidR="008F4A55">
        <w:rPr>
          <w:lang w:val="ro-RO"/>
        </w:rPr>
        <w:t xml:space="preserve">sfârșitul </w:t>
      </w:r>
      <w:r w:rsidR="006D33BA" w:rsidRPr="00D70F60">
        <w:rPr>
          <w:lang w:val="ro-RO"/>
        </w:rPr>
        <w:t>alin</w:t>
      </w:r>
      <w:r w:rsidR="008F4A55">
        <w:rPr>
          <w:lang w:val="ro-RO"/>
        </w:rPr>
        <w:t>eatului</w:t>
      </w:r>
      <w:r w:rsidR="006D33BA" w:rsidRPr="00D70F60">
        <w:rPr>
          <w:lang w:val="ro-RO"/>
        </w:rPr>
        <w:t xml:space="preserve"> a)</w:t>
      </w:r>
    </w:p>
    <w:p w:rsidR="00B8706D" w:rsidRPr="00D70F60" w:rsidRDefault="004A2BEC" w:rsidP="00694C7F">
      <w:pPr>
        <w:pStyle w:val="SingleTxtG"/>
        <w:rPr>
          <w:lang w:val="ro-RO"/>
        </w:rPr>
      </w:pPr>
      <w:r w:rsidRPr="00D70F60">
        <w:rPr>
          <w:i/>
          <w:iCs/>
          <w:lang w:val="ro-RO"/>
        </w:rPr>
        <w:t>Se introduce</w:t>
      </w:r>
      <w:r w:rsidR="00B8706D" w:rsidRPr="00D70F60">
        <w:rPr>
          <w:lang w:val="ro-RO"/>
        </w:rPr>
        <w:t xml:space="preserve"> </w:t>
      </w:r>
      <w:r w:rsidR="00700B8B" w:rsidRPr="00421874">
        <w:rPr>
          <w:lang w:val="ro-RO"/>
        </w:rPr>
        <w:t>„</w:t>
      </w:r>
      <w:r w:rsidR="00D70F60" w:rsidRPr="00D70F60">
        <w:rPr>
          <w:lang w:val="ro-RO"/>
        </w:rPr>
        <w:t>sau</w:t>
      </w:r>
      <w:r w:rsidR="00D9295D" w:rsidRPr="00D70F60">
        <w:rPr>
          <w:lang w:val="ro-RO"/>
        </w:rPr>
        <w:t>”</w:t>
      </w:r>
      <w:r w:rsidR="00B740CC">
        <w:rPr>
          <w:lang w:val="ro-RO"/>
        </w:rPr>
        <w:t>.</w:t>
      </w:r>
    </w:p>
    <w:p w:rsidR="005A6DB4" w:rsidRPr="00D70F60" w:rsidRDefault="00FE7542" w:rsidP="0036439B">
      <w:pPr>
        <w:pStyle w:val="H23G"/>
        <w:rPr>
          <w:lang w:val="ro-RO"/>
        </w:rPr>
      </w:pPr>
      <w:r w:rsidRPr="00D70F60">
        <w:rPr>
          <w:lang w:val="ro-RO"/>
        </w:rPr>
        <w:tab/>
        <w:t>18.</w:t>
      </w:r>
      <w:r w:rsidRPr="00D70F60">
        <w:rPr>
          <w:lang w:val="ro-RO"/>
        </w:rPr>
        <w:tab/>
      </w:r>
      <w:r w:rsidR="001B5421" w:rsidRPr="00D70F60">
        <w:rPr>
          <w:lang w:val="ro-RO"/>
        </w:rPr>
        <w:t>Capitolul</w:t>
      </w:r>
      <w:r w:rsidR="005A6DB4" w:rsidRPr="00D70F60">
        <w:rPr>
          <w:lang w:val="ro-RO"/>
        </w:rPr>
        <w:t xml:space="preserve"> 3.3, </w:t>
      </w:r>
      <w:r w:rsidR="00852575">
        <w:rPr>
          <w:lang w:val="ro-RO"/>
        </w:rPr>
        <w:t>amendament</w:t>
      </w:r>
      <w:r w:rsidR="008F4A55">
        <w:rPr>
          <w:lang w:val="ro-RO"/>
        </w:rPr>
        <w:t>ul</w:t>
      </w:r>
      <w:r w:rsidR="005A6DB4" w:rsidRPr="00D70F60">
        <w:rPr>
          <w:lang w:val="ro-RO"/>
        </w:rPr>
        <w:t xml:space="preserve"> </w:t>
      </w:r>
      <w:r w:rsidR="00B76EB0">
        <w:rPr>
          <w:lang w:val="ro-RO"/>
        </w:rPr>
        <w:t xml:space="preserve">de </w:t>
      </w:r>
      <w:r w:rsidR="005A6DB4" w:rsidRPr="00D70F60">
        <w:rPr>
          <w:lang w:val="ro-RO"/>
        </w:rPr>
        <w:t>la dispo</w:t>
      </w:r>
      <w:r w:rsidR="008F4A55">
        <w:rPr>
          <w:lang w:val="ro-RO"/>
        </w:rPr>
        <w:t>ziția</w:t>
      </w:r>
      <w:r w:rsidR="005A6DB4" w:rsidRPr="00D70F60">
        <w:rPr>
          <w:lang w:val="ro-RO"/>
        </w:rPr>
        <w:t xml:space="preserve"> sp</w:t>
      </w:r>
      <w:r w:rsidR="008F4A55">
        <w:rPr>
          <w:lang w:val="ro-RO"/>
        </w:rPr>
        <w:t>e</w:t>
      </w:r>
      <w:r w:rsidR="005A6DB4" w:rsidRPr="00D70F60">
        <w:rPr>
          <w:lang w:val="ro-RO"/>
        </w:rPr>
        <w:t>cial</w:t>
      </w:r>
      <w:r w:rsidR="008F4A55">
        <w:rPr>
          <w:lang w:val="ro-RO"/>
        </w:rPr>
        <w:t>ă</w:t>
      </w:r>
      <w:r w:rsidR="005A6DB4" w:rsidRPr="00D70F60">
        <w:rPr>
          <w:lang w:val="ro-RO"/>
        </w:rPr>
        <w:t xml:space="preserve"> 307, </w:t>
      </w:r>
      <w:r w:rsidR="008F4A55">
        <w:rPr>
          <w:lang w:val="ro-RO"/>
        </w:rPr>
        <w:t>a doua frază</w:t>
      </w:r>
    </w:p>
    <w:p w:rsidR="005A6DB4" w:rsidRPr="00D70F60" w:rsidRDefault="00694FAC" w:rsidP="005A6DB4">
      <w:pPr>
        <w:pStyle w:val="SingleTxtG"/>
        <w:rPr>
          <w:lang w:val="ro-RO"/>
        </w:rPr>
      </w:pPr>
      <w:r w:rsidRPr="00D70F60">
        <w:rPr>
          <w:i/>
          <w:iCs/>
          <w:lang w:val="ro-RO"/>
        </w:rPr>
        <w:t xml:space="preserve">Se înlocuiește </w:t>
      </w:r>
      <w:r w:rsidRPr="00421874">
        <w:rPr>
          <w:lang w:val="ro-RO"/>
        </w:rPr>
        <w:t>„</w:t>
      </w:r>
      <w:r>
        <w:rPr>
          <w:lang w:val="ro-RO"/>
        </w:rPr>
        <w:t>alineatul al</w:t>
      </w:r>
      <w:r w:rsidRPr="00D70F60">
        <w:rPr>
          <w:lang w:val="ro-RO"/>
        </w:rPr>
        <w:t xml:space="preserve"> treisprezecelea</w:t>
      </w:r>
      <w:r>
        <w:rPr>
          <w:lang w:val="ro-RO"/>
        </w:rPr>
        <w:t xml:space="preserve"> al</w:t>
      </w:r>
      <w:r w:rsidRPr="00D70F60">
        <w:rPr>
          <w:lang w:val="ro-RO"/>
        </w:rPr>
        <w:t xml:space="preserve">” </w:t>
      </w:r>
      <w:r w:rsidRPr="00D70F60">
        <w:rPr>
          <w:i/>
          <w:iCs/>
          <w:lang w:val="ro-RO"/>
        </w:rPr>
        <w:t>cu</w:t>
      </w:r>
      <w:r w:rsidRPr="00D70F60">
        <w:rPr>
          <w:lang w:val="ro-RO"/>
        </w:rPr>
        <w:t xml:space="preserve"> </w:t>
      </w:r>
      <w:r w:rsidRPr="00421874">
        <w:rPr>
          <w:lang w:val="ro-RO"/>
        </w:rPr>
        <w:t>„</w:t>
      </w:r>
      <w:r w:rsidRPr="00D70F60">
        <w:rPr>
          <w:lang w:val="ro-RO"/>
        </w:rPr>
        <w:t>alineatele treisprezece și paisprezece</w:t>
      </w:r>
      <w:r>
        <w:rPr>
          <w:lang w:val="ro-RO"/>
        </w:rPr>
        <w:t xml:space="preserve"> ale</w:t>
      </w:r>
      <w:r w:rsidRPr="00D70F60">
        <w:rPr>
          <w:lang w:val="ro-RO"/>
        </w:rPr>
        <w:t>”</w:t>
      </w:r>
      <w:r>
        <w:rPr>
          <w:lang w:val="ro-RO"/>
        </w:rPr>
        <w:t>.</w:t>
      </w:r>
    </w:p>
    <w:p w:rsidR="00694C7F" w:rsidRPr="00D70F60" w:rsidRDefault="00FE7542" w:rsidP="0036439B">
      <w:pPr>
        <w:pStyle w:val="H23G"/>
        <w:rPr>
          <w:lang w:val="ro-RO"/>
        </w:rPr>
      </w:pPr>
      <w:r w:rsidRPr="00D70F60">
        <w:rPr>
          <w:lang w:val="ro-RO"/>
        </w:rPr>
        <w:lastRenderedPageBreak/>
        <w:tab/>
        <w:t>19.</w:t>
      </w:r>
      <w:r w:rsidRPr="00D70F60">
        <w:rPr>
          <w:lang w:val="ro-RO"/>
        </w:rPr>
        <w:tab/>
      </w:r>
      <w:r w:rsidR="001B5421" w:rsidRPr="00D70F60">
        <w:rPr>
          <w:lang w:val="ro-RO"/>
        </w:rPr>
        <w:t>Capitolul</w:t>
      </w:r>
      <w:r w:rsidR="00694C7F" w:rsidRPr="00D70F60">
        <w:rPr>
          <w:lang w:val="ro-RO"/>
        </w:rPr>
        <w:t xml:space="preserve"> 3.3, </w:t>
      </w:r>
      <w:r w:rsidR="00942865" w:rsidRPr="00D70F60">
        <w:rPr>
          <w:lang w:val="ro-RO"/>
        </w:rPr>
        <w:t xml:space="preserve">noua dispoziție specială </w:t>
      </w:r>
      <w:r w:rsidR="00694C7F" w:rsidRPr="00D70F60">
        <w:rPr>
          <w:lang w:val="ro-RO"/>
        </w:rPr>
        <w:t xml:space="preserve">388, </w:t>
      </w:r>
      <w:r w:rsidR="00942865">
        <w:rPr>
          <w:lang w:val="ro-RO"/>
        </w:rPr>
        <w:t>al patrulea paragraf</w:t>
      </w:r>
    </w:p>
    <w:p w:rsidR="00694C7F" w:rsidRPr="00D70F60" w:rsidRDefault="001B5421" w:rsidP="00694C7F">
      <w:pPr>
        <w:pStyle w:val="SingleTxtG"/>
        <w:rPr>
          <w:b/>
          <w:bCs/>
          <w:lang w:val="ro-RO"/>
        </w:rPr>
      </w:pPr>
      <w:r w:rsidRPr="00D70F60">
        <w:rPr>
          <w:i/>
          <w:iCs/>
          <w:lang w:val="ro-RO"/>
        </w:rPr>
        <w:t>Se înlocuiește</w:t>
      </w:r>
      <w:r w:rsidR="00694C7F" w:rsidRPr="00D70F60">
        <w:rPr>
          <w:i/>
          <w:iCs/>
          <w:lang w:val="ro-RO"/>
        </w:rPr>
        <w:t xml:space="preserve"> </w:t>
      </w:r>
      <w:r w:rsidR="00D70F60" w:rsidRPr="00D70F60">
        <w:rPr>
          <w:lang w:val="ro-RO"/>
        </w:rPr>
        <w:t>textul existent cu</w:t>
      </w:r>
      <w:r w:rsidR="00694C7F" w:rsidRPr="00D70F60">
        <w:rPr>
          <w:lang w:val="ro-RO"/>
        </w:rPr>
        <w:t>:</w:t>
      </w:r>
    </w:p>
    <w:p w:rsidR="00694C7F" w:rsidRPr="00D70F60" w:rsidRDefault="00B740CC" w:rsidP="00F3117D">
      <w:pPr>
        <w:pStyle w:val="SingleTxtG"/>
        <w:rPr>
          <w:lang w:val="ro-RO"/>
        </w:rPr>
      </w:pPr>
      <w:bookmarkStart w:id="7" w:name="_Hlk516042602"/>
      <w:r w:rsidRPr="00B740CC">
        <w:rPr>
          <w:lang w:val="ro-RO"/>
        </w:rPr>
        <w:t xml:space="preserve">În cazul în care un vehicul este </w:t>
      </w:r>
      <w:r>
        <w:rPr>
          <w:lang w:val="ro-RO"/>
        </w:rPr>
        <w:t>propulsat</w:t>
      </w:r>
      <w:r w:rsidRPr="00B740CC">
        <w:rPr>
          <w:lang w:val="ro-RO"/>
        </w:rPr>
        <w:t xml:space="preserve"> de un motor cu ardere internă care funcționează </w:t>
      </w:r>
      <w:r>
        <w:rPr>
          <w:lang w:val="ro-RO"/>
        </w:rPr>
        <w:t xml:space="preserve">cu </w:t>
      </w:r>
      <w:r w:rsidRPr="00B740CC">
        <w:rPr>
          <w:lang w:val="ro-RO"/>
        </w:rPr>
        <w:t>lichid inflamabil și cu gaz inflamabil, trebuie a</w:t>
      </w:r>
      <w:r>
        <w:rPr>
          <w:lang w:val="ro-RO"/>
        </w:rPr>
        <w:t>locat la rubrica</w:t>
      </w:r>
      <w:r w:rsidRPr="00B740CC">
        <w:rPr>
          <w:lang w:val="ro-RO"/>
        </w:rPr>
        <w:t xml:space="preserve"> UN 3166</w:t>
      </w:r>
      <w:r>
        <w:rPr>
          <w:lang w:val="ro-RO"/>
        </w:rPr>
        <w:t xml:space="preserve"> </w:t>
      </w:r>
      <w:r w:rsidRPr="00B740CC">
        <w:rPr>
          <w:lang w:val="ro-RO"/>
        </w:rPr>
        <w:t xml:space="preserve">VEHICUL CU PROPULSIE CU </w:t>
      </w:r>
      <w:r>
        <w:rPr>
          <w:lang w:val="ro-RO"/>
        </w:rPr>
        <w:t>GAZ</w:t>
      </w:r>
      <w:r w:rsidRPr="00B740CC">
        <w:rPr>
          <w:lang w:val="ro-RO"/>
        </w:rPr>
        <w:t xml:space="preserve"> INFLAMABIL</w:t>
      </w:r>
      <w:r w:rsidR="00694C7F" w:rsidRPr="00D70F60">
        <w:rPr>
          <w:lang w:val="ro-RO"/>
        </w:rPr>
        <w:t>.</w:t>
      </w:r>
      <w:bookmarkEnd w:id="7"/>
    </w:p>
    <w:p w:rsidR="00E3356E" w:rsidRPr="00D70F60" w:rsidRDefault="00FE7542" w:rsidP="0036439B">
      <w:pPr>
        <w:pStyle w:val="H23G"/>
        <w:rPr>
          <w:lang w:val="ro-RO"/>
        </w:rPr>
      </w:pPr>
      <w:r w:rsidRPr="00D70F60">
        <w:rPr>
          <w:lang w:val="ro-RO"/>
        </w:rPr>
        <w:tab/>
        <w:t>20.</w:t>
      </w:r>
      <w:r w:rsidRPr="00D70F60">
        <w:rPr>
          <w:lang w:val="ro-RO"/>
        </w:rPr>
        <w:tab/>
      </w:r>
      <w:r w:rsidR="001B5421" w:rsidRPr="00D70F60">
        <w:rPr>
          <w:lang w:val="ro-RO"/>
        </w:rPr>
        <w:t>Capitolul</w:t>
      </w:r>
      <w:r w:rsidR="00E3356E" w:rsidRPr="00D70F60">
        <w:rPr>
          <w:lang w:val="ro-RO"/>
        </w:rPr>
        <w:t xml:space="preserve"> 3.3, </w:t>
      </w:r>
      <w:r w:rsidR="00D70F60" w:rsidRPr="00D70F60">
        <w:rPr>
          <w:lang w:val="ro-RO"/>
        </w:rPr>
        <w:t>noua dispoziție specială</w:t>
      </w:r>
      <w:r w:rsidR="00E3356E" w:rsidRPr="00D70F60">
        <w:rPr>
          <w:lang w:val="ro-RO"/>
        </w:rPr>
        <w:t xml:space="preserve"> 391</w:t>
      </w:r>
    </w:p>
    <w:p w:rsidR="00E3356E" w:rsidRPr="00D70F60" w:rsidRDefault="001B5421" w:rsidP="00E3356E">
      <w:pPr>
        <w:pStyle w:val="SingleTxtG"/>
        <w:rPr>
          <w:b/>
          <w:bCs/>
          <w:iCs/>
          <w:lang w:val="ro-RO"/>
        </w:rPr>
      </w:pPr>
      <w:r w:rsidRPr="00D70F60">
        <w:rPr>
          <w:i/>
          <w:iCs/>
          <w:lang w:val="ro-RO"/>
        </w:rPr>
        <w:t>Se înlocuiește</w:t>
      </w:r>
      <w:r w:rsidR="00E3356E" w:rsidRPr="00D70F60">
        <w:rPr>
          <w:i/>
          <w:iCs/>
          <w:lang w:val="ro-RO"/>
        </w:rPr>
        <w:t xml:space="preserve"> </w:t>
      </w:r>
      <w:r w:rsidR="00700B8B" w:rsidRPr="00421874">
        <w:rPr>
          <w:lang w:val="ro-RO"/>
        </w:rPr>
        <w:t>„</w:t>
      </w:r>
      <w:r w:rsidR="00E3356E" w:rsidRPr="00D70F60">
        <w:rPr>
          <w:lang w:val="ro-RO"/>
        </w:rPr>
        <w:t>391</w:t>
      </w:r>
      <w:r w:rsidR="00C6603D" w:rsidRPr="00D70F60">
        <w:rPr>
          <w:lang w:val="ro-RO"/>
        </w:rPr>
        <w:t xml:space="preserve"> </w:t>
      </w:r>
      <w:r w:rsidR="00C6603D" w:rsidRPr="00D70F60">
        <w:rPr>
          <w:iCs/>
          <w:lang w:val="ro-RO"/>
        </w:rPr>
        <w:t>(</w:t>
      </w:r>
      <w:r w:rsidR="00C6603D" w:rsidRPr="00700B8B">
        <w:rPr>
          <w:i/>
          <w:iCs/>
          <w:lang w:val="ro-RO"/>
        </w:rPr>
        <w:t>R</w:t>
      </w:r>
      <w:r w:rsidR="00D70F60" w:rsidRPr="00700B8B">
        <w:rPr>
          <w:i/>
          <w:iCs/>
          <w:lang w:val="ro-RO"/>
        </w:rPr>
        <w:t>ez</w:t>
      </w:r>
      <w:r w:rsidR="00C6603D" w:rsidRPr="00700B8B">
        <w:rPr>
          <w:i/>
          <w:iCs/>
          <w:lang w:val="ro-RO"/>
        </w:rPr>
        <w:t>erv</w:t>
      </w:r>
      <w:r w:rsidR="00D70F60" w:rsidRPr="00700B8B">
        <w:rPr>
          <w:i/>
          <w:iCs/>
          <w:lang w:val="ro-RO"/>
        </w:rPr>
        <w:t>at</w:t>
      </w:r>
      <w:r w:rsidR="00C6603D" w:rsidRPr="00D70F60">
        <w:rPr>
          <w:iCs/>
          <w:lang w:val="ro-RO"/>
        </w:rPr>
        <w:t>)</w:t>
      </w:r>
      <w:r w:rsidR="00942865" w:rsidRPr="00D70F60">
        <w:rPr>
          <w:lang w:val="ro-RO"/>
        </w:rPr>
        <w:t>”</w:t>
      </w:r>
      <w:r w:rsidR="00E3356E" w:rsidRPr="00D70F60">
        <w:rPr>
          <w:lang w:val="ro-RO"/>
        </w:rPr>
        <w:t xml:space="preserve"> </w:t>
      </w:r>
      <w:r w:rsidR="004A2BEC" w:rsidRPr="00D70F60">
        <w:rPr>
          <w:i/>
          <w:iCs/>
          <w:lang w:val="ro-RO"/>
        </w:rPr>
        <w:t>cu</w:t>
      </w:r>
      <w:r w:rsidR="00700B8B" w:rsidRPr="00421874">
        <w:rPr>
          <w:lang w:val="ro-RO"/>
        </w:rPr>
        <w:t>„</w:t>
      </w:r>
      <w:r w:rsidR="00D70F60" w:rsidRPr="00D70F60">
        <w:rPr>
          <w:lang w:val="ro-RO"/>
        </w:rPr>
        <w:t>”</w:t>
      </w:r>
      <w:r w:rsidR="00E3356E" w:rsidRPr="00D70F60">
        <w:rPr>
          <w:lang w:val="ro-RO"/>
        </w:rPr>
        <w:t>390-391</w:t>
      </w:r>
      <w:r w:rsidR="00C6603D" w:rsidRPr="00D70F60">
        <w:rPr>
          <w:lang w:val="ro-RO"/>
        </w:rPr>
        <w:t xml:space="preserve"> </w:t>
      </w:r>
      <w:r w:rsidR="00C6603D" w:rsidRPr="00D70F60">
        <w:rPr>
          <w:iCs/>
          <w:lang w:val="ro-RO"/>
        </w:rPr>
        <w:t>(</w:t>
      </w:r>
      <w:r w:rsidR="00C6603D" w:rsidRPr="00700B8B">
        <w:rPr>
          <w:i/>
          <w:iCs/>
          <w:lang w:val="ro-RO"/>
        </w:rPr>
        <w:t>R</w:t>
      </w:r>
      <w:r w:rsidR="00D70F60" w:rsidRPr="00700B8B">
        <w:rPr>
          <w:i/>
          <w:iCs/>
          <w:lang w:val="ro-RO"/>
        </w:rPr>
        <w:t>ez</w:t>
      </w:r>
      <w:r w:rsidR="00C6603D" w:rsidRPr="00700B8B">
        <w:rPr>
          <w:i/>
          <w:iCs/>
          <w:lang w:val="ro-RO"/>
        </w:rPr>
        <w:t>erv</w:t>
      </w:r>
      <w:r w:rsidR="00D70F60" w:rsidRPr="00700B8B">
        <w:rPr>
          <w:i/>
          <w:iCs/>
          <w:lang w:val="ro-RO"/>
        </w:rPr>
        <w:t>at</w:t>
      </w:r>
      <w:r w:rsidR="00700B8B" w:rsidRPr="00700B8B">
        <w:rPr>
          <w:i/>
          <w:iCs/>
          <w:lang w:val="ro-RO"/>
        </w:rPr>
        <w:t>e</w:t>
      </w:r>
      <w:r w:rsidR="00C6603D" w:rsidRPr="00D70F60">
        <w:rPr>
          <w:iCs/>
          <w:lang w:val="ro-RO"/>
        </w:rPr>
        <w:t>)</w:t>
      </w:r>
      <w:r w:rsidR="00942865" w:rsidRPr="00D70F60">
        <w:rPr>
          <w:lang w:val="ro-RO"/>
        </w:rPr>
        <w:t>”</w:t>
      </w:r>
      <w:r w:rsidR="00103A0B" w:rsidRPr="00103A0B">
        <w:rPr>
          <w:bCs/>
          <w:iCs/>
          <w:lang w:val="ro-RO"/>
        </w:rPr>
        <w:t>.</w:t>
      </w:r>
    </w:p>
    <w:p w:rsidR="001C3FC8" w:rsidRPr="00D70F60" w:rsidRDefault="001C3FC8" w:rsidP="001C3FC8">
      <w:pPr>
        <w:pStyle w:val="H23G"/>
        <w:rPr>
          <w:lang w:val="ro-RO"/>
        </w:rPr>
      </w:pPr>
      <w:r w:rsidRPr="00D70F60">
        <w:rPr>
          <w:lang w:val="ro-RO"/>
        </w:rPr>
        <w:tab/>
      </w:r>
      <w:r w:rsidR="00FE7542" w:rsidRPr="00D70F60">
        <w:rPr>
          <w:lang w:val="ro-RO"/>
        </w:rPr>
        <w:t>21.</w:t>
      </w:r>
      <w:r w:rsidRPr="00D70F60">
        <w:rPr>
          <w:lang w:val="ro-RO"/>
        </w:rPr>
        <w:tab/>
      </w:r>
      <w:r w:rsidR="001B5421" w:rsidRPr="00D70F60">
        <w:rPr>
          <w:lang w:val="ro-RO"/>
        </w:rPr>
        <w:t>Capitolul</w:t>
      </w:r>
      <w:r w:rsidRPr="00D70F60">
        <w:rPr>
          <w:lang w:val="ro-RO"/>
        </w:rPr>
        <w:t xml:space="preserve"> 3.3, </w:t>
      </w:r>
      <w:r w:rsidR="00D70F60" w:rsidRPr="00D70F60">
        <w:rPr>
          <w:lang w:val="ro-RO"/>
        </w:rPr>
        <w:t xml:space="preserve">noua dispoziție specială </w:t>
      </w:r>
      <w:r w:rsidRPr="00D70F60">
        <w:rPr>
          <w:lang w:val="ro-RO"/>
        </w:rPr>
        <w:t xml:space="preserve">392, </w:t>
      </w:r>
      <w:r w:rsidR="00D70F60" w:rsidRPr="00D70F60">
        <w:rPr>
          <w:lang w:val="ro-RO"/>
        </w:rPr>
        <w:t>la alineatul</w:t>
      </w:r>
      <w:r w:rsidRPr="00D70F60">
        <w:rPr>
          <w:lang w:val="ro-RO"/>
        </w:rPr>
        <w:t xml:space="preserve"> a), </w:t>
      </w:r>
      <w:r w:rsidR="00D70F60" w:rsidRPr="00D70F60">
        <w:rPr>
          <w:lang w:val="ro-RO"/>
        </w:rPr>
        <w:t>în tabel</w:t>
      </w:r>
      <w:bookmarkStart w:id="8" w:name="_Hlk516042795"/>
      <w:r w:rsidR="00D722D7" w:rsidRPr="00D70F60">
        <w:rPr>
          <w:lang w:val="ro-RO"/>
        </w:rPr>
        <w:t xml:space="preserve">, </w:t>
      </w:r>
      <w:r w:rsidR="00D70F60" w:rsidRPr="00D70F60">
        <w:rPr>
          <w:lang w:val="ro-RO"/>
        </w:rPr>
        <w:t xml:space="preserve">în prima coloană </w:t>
      </w:r>
      <w:r w:rsidRPr="00D70F60">
        <w:rPr>
          <w:lang w:val="ro-RO"/>
        </w:rPr>
        <w:t>(</w:t>
      </w:r>
      <w:r w:rsidR="00D70F60" w:rsidRPr="00D70F60">
        <w:rPr>
          <w:lang w:val="ro-RO"/>
        </w:rPr>
        <w:t>de cinci ori</w:t>
      </w:r>
      <w:r w:rsidRPr="00D70F60">
        <w:rPr>
          <w:lang w:val="ro-RO"/>
        </w:rPr>
        <w:t>)</w:t>
      </w:r>
      <w:bookmarkEnd w:id="8"/>
    </w:p>
    <w:p w:rsidR="001C3FC8" w:rsidRPr="00D70F60" w:rsidRDefault="001B5421" w:rsidP="001C3FC8">
      <w:pPr>
        <w:pStyle w:val="SingleTxtG"/>
        <w:rPr>
          <w:lang w:val="ro-RO"/>
        </w:rPr>
      </w:pPr>
      <w:r w:rsidRPr="00D70F60">
        <w:rPr>
          <w:i/>
          <w:lang w:val="ro-RO"/>
        </w:rPr>
        <w:t>Se înlocuiește</w:t>
      </w:r>
      <w:r w:rsidR="001C3FC8" w:rsidRPr="00D70F60">
        <w:rPr>
          <w:lang w:val="ro-RO"/>
        </w:rPr>
        <w:t xml:space="preserve"> </w:t>
      </w:r>
      <w:r w:rsidR="00700B8B" w:rsidRPr="00421874">
        <w:rPr>
          <w:lang w:val="ro-RO"/>
        </w:rPr>
        <w:t>„</w:t>
      </w:r>
      <w:r w:rsidR="001C3FC8" w:rsidRPr="00D70F60">
        <w:rPr>
          <w:lang w:val="ro-RO"/>
        </w:rPr>
        <w:t>R</w:t>
      </w:r>
      <w:r w:rsidR="00D70F60" w:rsidRPr="00D70F60">
        <w:rPr>
          <w:lang w:val="ro-RO"/>
        </w:rPr>
        <w:t>e</w:t>
      </w:r>
      <w:r w:rsidR="001C3FC8" w:rsidRPr="00D70F60">
        <w:rPr>
          <w:lang w:val="ro-RO"/>
        </w:rPr>
        <w:t>g</w:t>
      </w:r>
      <w:r w:rsidR="00D70F60" w:rsidRPr="00D70F60">
        <w:rPr>
          <w:lang w:val="ro-RO"/>
        </w:rPr>
        <w:t>u</w:t>
      </w:r>
      <w:r w:rsidR="001C3FC8" w:rsidRPr="00D70F60">
        <w:rPr>
          <w:lang w:val="ro-RO"/>
        </w:rPr>
        <w:t>l</w:t>
      </w:r>
      <w:r w:rsidR="00D70F60" w:rsidRPr="00D70F60">
        <w:rPr>
          <w:lang w:val="ro-RO"/>
        </w:rPr>
        <w:t>a</w:t>
      </w:r>
      <w:r w:rsidR="001C3FC8" w:rsidRPr="00D70F60">
        <w:rPr>
          <w:lang w:val="ro-RO"/>
        </w:rPr>
        <w:t>ment CE</w:t>
      </w:r>
      <w:r w:rsidR="00D70F60" w:rsidRPr="00D70F60">
        <w:rPr>
          <w:lang w:val="ro-RO"/>
        </w:rPr>
        <w:t>E-ONU</w:t>
      </w:r>
      <w:r w:rsidR="00942865" w:rsidRPr="00D70F60">
        <w:rPr>
          <w:lang w:val="ro-RO"/>
        </w:rPr>
        <w:t>”</w:t>
      </w:r>
      <w:r w:rsidR="001C3FC8" w:rsidRPr="00D70F60">
        <w:rPr>
          <w:lang w:val="ro-RO"/>
        </w:rPr>
        <w:t xml:space="preserve"> </w:t>
      </w:r>
      <w:r w:rsidR="004A2BEC" w:rsidRPr="00D70F60">
        <w:rPr>
          <w:i/>
          <w:lang w:val="ro-RO"/>
        </w:rPr>
        <w:t>cu</w:t>
      </w:r>
      <w:r w:rsidR="001C3FC8" w:rsidRPr="00D70F60">
        <w:rPr>
          <w:lang w:val="ro-RO"/>
        </w:rPr>
        <w:t xml:space="preserve"> </w:t>
      </w:r>
      <w:r w:rsidR="00700B8B" w:rsidRPr="00421874">
        <w:rPr>
          <w:lang w:val="ro-RO"/>
        </w:rPr>
        <w:t>„</w:t>
      </w:r>
      <w:r w:rsidR="001C3FC8" w:rsidRPr="00D70F60">
        <w:rPr>
          <w:lang w:val="ro-RO"/>
        </w:rPr>
        <w:t>R</w:t>
      </w:r>
      <w:r w:rsidR="00D70F60" w:rsidRPr="00D70F60">
        <w:rPr>
          <w:lang w:val="ro-RO"/>
        </w:rPr>
        <w:t>e</w:t>
      </w:r>
      <w:r w:rsidR="001C3FC8" w:rsidRPr="00D70F60">
        <w:rPr>
          <w:lang w:val="ro-RO"/>
        </w:rPr>
        <w:t>g</w:t>
      </w:r>
      <w:r w:rsidR="00D70F60" w:rsidRPr="00D70F60">
        <w:rPr>
          <w:lang w:val="ro-RO"/>
        </w:rPr>
        <w:t>u</w:t>
      </w:r>
      <w:r w:rsidR="001C3FC8" w:rsidRPr="00D70F60">
        <w:rPr>
          <w:lang w:val="ro-RO"/>
        </w:rPr>
        <w:t>l</w:t>
      </w:r>
      <w:r w:rsidR="00D70F60" w:rsidRPr="00D70F60">
        <w:rPr>
          <w:lang w:val="ro-RO"/>
        </w:rPr>
        <w:t>a</w:t>
      </w:r>
      <w:r w:rsidR="001C3FC8" w:rsidRPr="00D70F60">
        <w:rPr>
          <w:lang w:val="ro-RO"/>
        </w:rPr>
        <w:t>ment ONU</w:t>
      </w:r>
      <w:r w:rsidR="00942865" w:rsidRPr="00D70F60">
        <w:rPr>
          <w:lang w:val="ro-RO"/>
        </w:rPr>
        <w:t>”</w:t>
      </w:r>
      <w:r w:rsidR="00103A0B">
        <w:rPr>
          <w:lang w:val="ro-RO"/>
        </w:rPr>
        <w:t>.</w:t>
      </w:r>
    </w:p>
    <w:p w:rsidR="00190E18" w:rsidRPr="00D70F60" w:rsidRDefault="00190E18" w:rsidP="00190E18">
      <w:pPr>
        <w:pStyle w:val="H23G"/>
        <w:rPr>
          <w:lang w:val="ro-RO"/>
        </w:rPr>
      </w:pPr>
      <w:bookmarkStart w:id="9" w:name="_Hlk515971069"/>
      <w:r w:rsidRPr="00D70F60">
        <w:rPr>
          <w:lang w:val="ro-RO"/>
        </w:rPr>
        <w:tab/>
      </w:r>
      <w:r w:rsidR="00FE7542" w:rsidRPr="00D70F60">
        <w:rPr>
          <w:lang w:val="ro-RO"/>
        </w:rPr>
        <w:t>22.</w:t>
      </w:r>
      <w:r w:rsidRPr="00D70F60">
        <w:rPr>
          <w:lang w:val="ro-RO"/>
        </w:rPr>
        <w:tab/>
      </w:r>
      <w:r w:rsidR="001B5421" w:rsidRPr="00D70F60">
        <w:rPr>
          <w:lang w:val="ro-RO"/>
        </w:rPr>
        <w:t>Capitolul</w:t>
      </w:r>
      <w:r w:rsidRPr="00D70F60">
        <w:rPr>
          <w:lang w:val="ro-RO"/>
        </w:rPr>
        <w:t xml:space="preserve"> 3.3, </w:t>
      </w:r>
      <w:r w:rsidR="00D70F60" w:rsidRPr="00D70F60">
        <w:rPr>
          <w:lang w:val="ro-RO"/>
        </w:rPr>
        <w:t>noua dispoziție specială</w:t>
      </w:r>
      <w:r w:rsidRPr="00D70F60">
        <w:rPr>
          <w:lang w:val="ro-RO"/>
        </w:rPr>
        <w:t xml:space="preserve"> 392, </w:t>
      </w:r>
      <w:r w:rsidR="00D70F60" w:rsidRPr="00D70F60">
        <w:rPr>
          <w:lang w:val="ro-RO"/>
        </w:rPr>
        <w:t>la alineatul</w:t>
      </w:r>
      <w:r w:rsidRPr="00D70F60">
        <w:rPr>
          <w:lang w:val="ro-RO"/>
        </w:rPr>
        <w:t xml:space="preserve"> a), </w:t>
      </w:r>
      <w:r w:rsidR="00D70F60" w:rsidRPr="00D70F60">
        <w:rPr>
          <w:lang w:val="ro-RO"/>
        </w:rPr>
        <w:t>în</w:t>
      </w:r>
      <w:r w:rsidRPr="00D70F60">
        <w:rPr>
          <w:lang w:val="ro-RO"/>
        </w:rPr>
        <w:t xml:space="preserve"> </w:t>
      </w:r>
      <w:r w:rsidR="004A2BEC" w:rsidRPr="00D70F60">
        <w:rPr>
          <w:lang w:val="ro-RO"/>
        </w:rPr>
        <w:t>tabel</w:t>
      </w:r>
      <w:r w:rsidRPr="00D70F60">
        <w:rPr>
          <w:lang w:val="ro-RO"/>
        </w:rPr>
        <w:t xml:space="preserve">, </w:t>
      </w:r>
      <w:r w:rsidR="00D70F60" w:rsidRPr="00D70F60">
        <w:rPr>
          <w:lang w:val="ro-RO"/>
        </w:rPr>
        <w:t>la penultimul rând</w:t>
      </w:r>
      <w:r w:rsidRPr="00D70F60">
        <w:rPr>
          <w:lang w:val="ro-RO"/>
        </w:rPr>
        <w:t xml:space="preserve">, </w:t>
      </w:r>
      <w:r w:rsidR="00D70F60" w:rsidRPr="00D70F60">
        <w:rPr>
          <w:lang w:val="ro-RO"/>
        </w:rPr>
        <w:t>în a doua coloană</w:t>
      </w:r>
    </w:p>
    <w:p w:rsidR="00190E18" w:rsidRPr="00D70F60" w:rsidRDefault="001B5421" w:rsidP="00946268">
      <w:pPr>
        <w:pStyle w:val="SingleTxtG"/>
        <w:rPr>
          <w:lang w:val="ro-RO"/>
        </w:rPr>
      </w:pPr>
      <w:r w:rsidRPr="00D70F60">
        <w:rPr>
          <w:i/>
          <w:lang w:val="ro-RO"/>
        </w:rPr>
        <w:t>Se înlocuiește</w:t>
      </w:r>
      <w:r w:rsidR="00190E18" w:rsidRPr="00D70F60">
        <w:rPr>
          <w:lang w:val="ro-RO"/>
        </w:rPr>
        <w:t xml:space="preserve"> </w:t>
      </w:r>
      <w:r w:rsidR="00700B8B" w:rsidRPr="00421874">
        <w:rPr>
          <w:lang w:val="ro-RO"/>
        </w:rPr>
        <w:t>„</w:t>
      </w:r>
      <w:r w:rsidR="00190E18" w:rsidRPr="00D70F60">
        <w:rPr>
          <w:lang w:val="ro-RO"/>
        </w:rPr>
        <w:t>R</w:t>
      </w:r>
      <w:r w:rsidR="00D70F60" w:rsidRPr="00D70F60">
        <w:rPr>
          <w:lang w:val="ro-RO"/>
        </w:rPr>
        <w:t>e</w:t>
      </w:r>
      <w:r w:rsidR="00190E18" w:rsidRPr="00D70F60">
        <w:rPr>
          <w:lang w:val="ro-RO"/>
        </w:rPr>
        <w:t>g</w:t>
      </w:r>
      <w:r w:rsidR="00D70F60" w:rsidRPr="00D70F60">
        <w:rPr>
          <w:lang w:val="ro-RO"/>
        </w:rPr>
        <w:t>u</w:t>
      </w:r>
      <w:r w:rsidR="00190E18" w:rsidRPr="00D70F60">
        <w:rPr>
          <w:lang w:val="ro-RO"/>
        </w:rPr>
        <w:t>l</w:t>
      </w:r>
      <w:r w:rsidR="00D70F60" w:rsidRPr="00D70F60">
        <w:rPr>
          <w:lang w:val="ro-RO"/>
        </w:rPr>
        <w:t>a</w:t>
      </w:r>
      <w:r w:rsidR="00190E18" w:rsidRPr="00D70F60">
        <w:rPr>
          <w:lang w:val="ro-RO"/>
        </w:rPr>
        <w:t>ment</w:t>
      </w:r>
      <w:r w:rsidR="00D70F60" w:rsidRPr="00D70F60">
        <w:rPr>
          <w:lang w:val="ro-RO"/>
        </w:rPr>
        <w:t>ul</w:t>
      </w:r>
      <w:r w:rsidR="00190E18" w:rsidRPr="00D70F60">
        <w:rPr>
          <w:lang w:val="ro-RO"/>
        </w:rPr>
        <w:t xml:space="preserve"> C</w:t>
      </w:r>
      <w:r w:rsidR="00D70F60" w:rsidRPr="00D70F60">
        <w:rPr>
          <w:lang w:val="ro-RO"/>
        </w:rPr>
        <w:t>E</w:t>
      </w:r>
      <w:r w:rsidR="00190E18" w:rsidRPr="00D70F60">
        <w:rPr>
          <w:lang w:val="ro-RO"/>
        </w:rPr>
        <w:t>E</w:t>
      </w:r>
      <w:r w:rsidR="00D70F60" w:rsidRPr="00D70F60">
        <w:rPr>
          <w:lang w:val="ro-RO"/>
        </w:rPr>
        <w:t>-ONU</w:t>
      </w:r>
      <w:r w:rsidR="00190E18" w:rsidRPr="00D70F60">
        <w:rPr>
          <w:lang w:val="ro-RO"/>
        </w:rPr>
        <w:t xml:space="preserve"> N</w:t>
      </w:r>
      <w:r w:rsidR="00D70F60" w:rsidRPr="00D70F60">
        <w:rPr>
          <w:lang w:val="ro-RO"/>
        </w:rPr>
        <w:t>r.</w:t>
      </w:r>
      <w:r w:rsidR="00190E18" w:rsidRPr="00D70F60">
        <w:rPr>
          <w:lang w:val="ro-RO"/>
        </w:rPr>
        <w:t xml:space="preserve"> 134 </w:t>
      </w:r>
      <w:r w:rsidR="004A7CBE" w:rsidRPr="00421874">
        <w:rPr>
          <w:lang w:val="ro-RO"/>
        </w:rPr>
        <w:t>(V</w:t>
      </w:r>
      <w:r w:rsidR="004A7CBE">
        <w:rPr>
          <w:lang w:val="ro-RO"/>
        </w:rPr>
        <w:t>e</w:t>
      </w:r>
      <w:r w:rsidR="004A7CBE" w:rsidRPr="00421874">
        <w:rPr>
          <w:lang w:val="ro-RO"/>
        </w:rPr>
        <w:t>hicule</w:t>
      </w:r>
      <w:r w:rsidR="004A7CBE">
        <w:rPr>
          <w:lang w:val="ro-RO"/>
        </w:rPr>
        <w:t xml:space="preserve"> cu hidrogen și cu pilă de combustie</w:t>
      </w:r>
      <w:r w:rsidR="004A7CBE" w:rsidRPr="00421874">
        <w:rPr>
          <w:lang w:val="ro-RO"/>
        </w:rPr>
        <w:t xml:space="preserve"> (HFCV))</w:t>
      </w:r>
      <w:r w:rsidR="00942865" w:rsidRPr="00D70F60">
        <w:rPr>
          <w:lang w:val="ro-RO"/>
        </w:rPr>
        <w:t>”</w:t>
      </w:r>
      <w:r w:rsidR="00942865">
        <w:rPr>
          <w:lang w:val="ro-RO"/>
        </w:rPr>
        <w:t xml:space="preserve"> </w:t>
      </w:r>
      <w:r w:rsidR="004A2BEC" w:rsidRPr="00D70F60">
        <w:rPr>
          <w:i/>
          <w:lang w:val="ro-RO"/>
        </w:rPr>
        <w:t>cu</w:t>
      </w:r>
      <w:r w:rsidR="00190E18" w:rsidRPr="00D70F60">
        <w:rPr>
          <w:lang w:val="ro-RO"/>
        </w:rPr>
        <w:t xml:space="preserve"> </w:t>
      </w:r>
      <w:r w:rsidR="00700B8B" w:rsidRPr="00421874">
        <w:rPr>
          <w:lang w:val="ro-RO"/>
        </w:rPr>
        <w:t>„</w:t>
      </w:r>
      <w:r w:rsidR="004A7CBE" w:rsidRPr="00D70F60">
        <w:rPr>
          <w:lang w:val="ro-RO"/>
        </w:rPr>
        <w:t xml:space="preserve">Regulamentul </w:t>
      </w:r>
      <w:r w:rsidR="00150EA9">
        <w:rPr>
          <w:lang w:val="ro-RO"/>
        </w:rPr>
        <w:t>O</w:t>
      </w:r>
      <w:r w:rsidR="004A7CBE">
        <w:rPr>
          <w:lang w:val="ro-RO"/>
        </w:rPr>
        <w:t>N</w:t>
      </w:r>
      <w:r w:rsidR="00150EA9">
        <w:rPr>
          <w:lang w:val="ro-RO"/>
        </w:rPr>
        <w:t>U</w:t>
      </w:r>
      <w:r w:rsidR="004A7CBE" w:rsidRPr="00D70F60">
        <w:rPr>
          <w:lang w:val="ro-RO"/>
        </w:rPr>
        <w:t xml:space="preserve"> Nr. 134 </w:t>
      </w:r>
      <w:r w:rsidR="00190E18" w:rsidRPr="00D70F60">
        <w:rPr>
          <w:lang w:val="ro-RO"/>
        </w:rPr>
        <w:t>Prescrip</w:t>
      </w:r>
      <w:r w:rsidR="004A7CBE">
        <w:rPr>
          <w:lang w:val="ro-RO"/>
        </w:rPr>
        <w:t>ții</w:t>
      </w:r>
      <w:r w:rsidR="00190E18" w:rsidRPr="00D70F60">
        <w:rPr>
          <w:lang w:val="ro-RO"/>
        </w:rPr>
        <w:t xml:space="preserve"> </w:t>
      </w:r>
      <w:r w:rsidR="004A7CBE" w:rsidRPr="004A7CBE">
        <w:rPr>
          <w:lang w:val="ro-RO"/>
        </w:rPr>
        <w:t xml:space="preserve">uniforme privind omologarea autovehiculelor și a componentelor acestora în ceea ce privește </w:t>
      </w:r>
      <w:r w:rsidR="004A7CBE">
        <w:rPr>
          <w:lang w:val="ro-RO"/>
        </w:rPr>
        <w:t>prescripțiile</w:t>
      </w:r>
      <w:r w:rsidR="004A7CBE" w:rsidRPr="004A7CBE">
        <w:rPr>
          <w:lang w:val="ro-RO"/>
        </w:rPr>
        <w:t xml:space="preserve"> de siguranță ale vehiculelor pe bază de hidrogen</w:t>
      </w:r>
      <w:r w:rsidR="00942865" w:rsidRPr="00D70F60">
        <w:rPr>
          <w:lang w:val="ro-RO"/>
        </w:rPr>
        <w:t>”</w:t>
      </w:r>
      <w:r w:rsidR="004A7CBE">
        <w:rPr>
          <w:lang w:val="ro-RO"/>
        </w:rPr>
        <w:t>.</w:t>
      </w:r>
    </w:p>
    <w:bookmarkEnd w:id="9"/>
    <w:p w:rsidR="00DA0E51" w:rsidRPr="00D70F60" w:rsidRDefault="00FE7542" w:rsidP="0036439B">
      <w:pPr>
        <w:pStyle w:val="H23G"/>
        <w:rPr>
          <w:lang w:val="ro-RO"/>
        </w:rPr>
      </w:pPr>
      <w:r w:rsidRPr="00D70F60">
        <w:rPr>
          <w:lang w:val="ro-RO"/>
        </w:rPr>
        <w:tab/>
        <w:t>23.</w:t>
      </w:r>
      <w:r w:rsidRPr="00D70F60">
        <w:rPr>
          <w:lang w:val="ro-RO"/>
        </w:rPr>
        <w:tab/>
      </w:r>
      <w:r w:rsidR="001B5421" w:rsidRPr="00D70F60">
        <w:rPr>
          <w:lang w:val="ro-RO"/>
        </w:rPr>
        <w:t>Capitolul</w:t>
      </w:r>
      <w:r w:rsidR="00DA0E51" w:rsidRPr="00D70F60">
        <w:rPr>
          <w:lang w:val="ro-RO"/>
        </w:rPr>
        <w:t xml:space="preserve"> 3.3, </w:t>
      </w:r>
      <w:r w:rsidR="00D70F60" w:rsidRPr="00D70F60">
        <w:rPr>
          <w:lang w:val="ro-RO"/>
        </w:rPr>
        <w:t xml:space="preserve">noua dispoziție specială </w:t>
      </w:r>
      <w:r w:rsidR="00DA0E51" w:rsidRPr="00D70F60">
        <w:rPr>
          <w:lang w:val="ro-RO"/>
        </w:rPr>
        <w:t xml:space="preserve">392 </w:t>
      </w:r>
      <w:r w:rsidR="001500C7" w:rsidRPr="00D70F60">
        <w:rPr>
          <w:lang w:val="ro-RO"/>
        </w:rPr>
        <w:t>b</w:t>
      </w:r>
      <w:r w:rsidR="00DA0E51" w:rsidRPr="00D70F60">
        <w:rPr>
          <w:lang w:val="ro-RO"/>
        </w:rPr>
        <w:t xml:space="preserve">), </w:t>
      </w:r>
      <w:r w:rsidR="00B76EB0">
        <w:rPr>
          <w:lang w:val="ro-RO"/>
        </w:rPr>
        <w:t xml:space="preserve">în </w:t>
      </w:r>
      <w:r w:rsidR="00DA0E51" w:rsidRPr="00D70F60">
        <w:rPr>
          <w:lang w:val="ro-RO"/>
        </w:rPr>
        <w:t xml:space="preserve">Nota 1 </w:t>
      </w:r>
    </w:p>
    <w:p w:rsidR="00DA0E51" w:rsidRPr="00D70F60" w:rsidRDefault="001B5421" w:rsidP="00946268">
      <w:pPr>
        <w:pStyle w:val="SingleTxtG"/>
        <w:rPr>
          <w:lang w:val="ro-RO"/>
        </w:rPr>
      </w:pPr>
      <w:r w:rsidRPr="00D70F60">
        <w:rPr>
          <w:i/>
          <w:iCs/>
          <w:lang w:val="ro-RO"/>
        </w:rPr>
        <w:t>Se înlocuiește</w:t>
      </w:r>
      <w:r w:rsidR="00DC3135" w:rsidRPr="00D70F60">
        <w:rPr>
          <w:lang w:val="ro-RO"/>
        </w:rPr>
        <w:t xml:space="preserve"> </w:t>
      </w:r>
      <w:r w:rsidR="00700B8B" w:rsidRPr="00421874">
        <w:rPr>
          <w:lang w:val="ro-RO"/>
        </w:rPr>
        <w:t>„</w:t>
      </w:r>
      <w:r w:rsidR="00160909" w:rsidRPr="00160909">
        <w:rPr>
          <w:lang w:val="ro-RO"/>
        </w:rPr>
        <w:t>ISO 11623: 2015 Butelii transportabile de gaz – Inspecție și încercare periodică a buteliilor de gaz din material compozit</w:t>
      </w:r>
      <w:r w:rsidR="00942865" w:rsidRPr="00D70F60">
        <w:rPr>
          <w:lang w:val="ro-RO"/>
        </w:rPr>
        <w:t>”</w:t>
      </w:r>
      <w:r w:rsidR="00DA0E51" w:rsidRPr="00D70F60">
        <w:rPr>
          <w:lang w:val="ro-RO"/>
        </w:rPr>
        <w:t xml:space="preserve"> </w:t>
      </w:r>
      <w:r w:rsidR="004A2BEC" w:rsidRPr="00D70F60">
        <w:rPr>
          <w:i/>
          <w:iCs/>
          <w:lang w:val="ro-RO"/>
        </w:rPr>
        <w:t>cu</w:t>
      </w:r>
      <w:r w:rsidR="00DC3135" w:rsidRPr="00D70F60">
        <w:rPr>
          <w:lang w:val="ro-RO"/>
        </w:rPr>
        <w:t xml:space="preserve"> </w:t>
      </w:r>
      <w:bookmarkStart w:id="10" w:name="_Hlk516042877"/>
      <w:r w:rsidR="00700B8B" w:rsidRPr="00421874">
        <w:rPr>
          <w:lang w:val="ro-RO"/>
        </w:rPr>
        <w:t>„</w:t>
      </w:r>
      <w:r w:rsidR="004C3D40" w:rsidRPr="00D70F60">
        <w:rPr>
          <w:lang w:val="ro-RO"/>
        </w:rPr>
        <w:t xml:space="preserve">ISO 11623:2015 </w:t>
      </w:r>
      <w:r w:rsidR="00160909">
        <w:rPr>
          <w:lang w:val="ro-RO"/>
        </w:rPr>
        <w:t>Butelii de</w:t>
      </w:r>
      <w:r w:rsidR="00DA0E51" w:rsidRPr="00D70F60">
        <w:rPr>
          <w:lang w:val="ro-RO"/>
        </w:rPr>
        <w:t xml:space="preserve"> gaz </w:t>
      </w:r>
      <w:r w:rsidR="00160909">
        <w:rPr>
          <w:lang w:val="ro-RO"/>
        </w:rPr>
        <w:t>–</w:t>
      </w:r>
      <w:r w:rsidR="00DA0E51" w:rsidRPr="00D70F60">
        <w:rPr>
          <w:lang w:val="ro-RO"/>
        </w:rPr>
        <w:t xml:space="preserve"> Construc</w:t>
      </w:r>
      <w:r w:rsidR="00160909">
        <w:rPr>
          <w:lang w:val="ro-RO"/>
        </w:rPr>
        <w:t>ție</w:t>
      </w:r>
      <w:r w:rsidR="00DA0E51" w:rsidRPr="00D70F60">
        <w:rPr>
          <w:lang w:val="ro-RO"/>
        </w:rPr>
        <w:t xml:space="preserve"> compo</w:t>
      </w:r>
      <w:r w:rsidR="00160909">
        <w:rPr>
          <w:lang w:val="ro-RO"/>
        </w:rPr>
        <w:t>zită</w:t>
      </w:r>
      <w:r w:rsidR="00DA0E51" w:rsidRPr="00D70F60">
        <w:rPr>
          <w:lang w:val="ro-RO"/>
        </w:rPr>
        <w:t xml:space="preserve"> </w:t>
      </w:r>
      <w:r w:rsidR="00160909">
        <w:rPr>
          <w:lang w:val="ro-RO"/>
        </w:rPr>
        <w:t>–</w:t>
      </w:r>
      <w:r w:rsidR="00DA0E51" w:rsidRPr="00D70F60">
        <w:rPr>
          <w:lang w:val="ro-RO"/>
        </w:rPr>
        <w:t xml:space="preserve"> </w:t>
      </w:r>
      <w:r w:rsidR="00160909">
        <w:rPr>
          <w:lang w:val="ro-RO"/>
        </w:rPr>
        <w:t>Inspecții și încercări periodice</w:t>
      </w:r>
      <w:bookmarkEnd w:id="10"/>
      <w:r w:rsidR="00942865" w:rsidRPr="00D70F60">
        <w:rPr>
          <w:lang w:val="ro-RO"/>
        </w:rPr>
        <w:t>”</w:t>
      </w:r>
      <w:r w:rsidR="00160909">
        <w:rPr>
          <w:lang w:val="ro-RO"/>
        </w:rPr>
        <w:t>.</w:t>
      </w:r>
    </w:p>
    <w:p w:rsidR="00AE428E" w:rsidRPr="00D70F60" w:rsidRDefault="00AE428E" w:rsidP="00AE428E">
      <w:pPr>
        <w:pStyle w:val="H23G"/>
        <w:rPr>
          <w:lang w:val="ro-RO"/>
        </w:rPr>
      </w:pPr>
      <w:r w:rsidRPr="00D70F60">
        <w:rPr>
          <w:lang w:val="ro-RO"/>
        </w:rPr>
        <w:tab/>
        <w:t>24.</w:t>
      </w:r>
      <w:r w:rsidRPr="00D70F60">
        <w:rPr>
          <w:lang w:val="ro-RO"/>
        </w:rPr>
        <w:tab/>
      </w:r>
      <w:r w:rsidR="001B5421" w:rsidRPr="00D70F60">
        <w:rPr>
          <w:lang w:val="ro-RO"/>
        </w:rPr>
        <w:t>Capitolul</w:t>
      </w:r>
      <w:r w:rsidRPr="00D70F60">
        <w:rPr>
          <w:lang w:val="ro-RO"/>
        </w:rPr>
        <w:t xml:space="preserve"> 3.3, </w:t>
      </w:r>
      <w:r w:rsidR="00D70F60" w:rsidRPr="00D70F60">
        <w:rPr>
          <w:lang w:val="ro-RO"/>
        </w:rPr>
        <w:t xml:space="preserve">noua dispoziție specială </w:t>
      </w:r>
      <w:r w:rsidRPr="00D70F60">
        <w:rPr>
          <w:lang w:val="ro-RO"/>
        </w:rPr>
        <w:t xml:space="preserve">392, </w:t>
      </w:r>
      <w:r w:rsidR="00D70F60" w:rsidRPr="00D70F60">
        <w:rPr>
          <w:lang w:val="ro-RO"/>
        </w:rPr>
        <w:t xml:space="preserve">în </w:t>
      </w:r>
      <w:r w:rsidRPr="00D70F60">
        <w:rPr>
          <w:lang w:val="ro-RO"/>
        </w:rPr>
        <w:t>exemple</w:t>
      </w:r>
      <w:r w:rsidR="00D70F60" w:rsidRPr="00D70F60">
        <w:rPr>
          <w:lang w:val="ro-RO"/>
        </w:rPr>
        <w:t>le</w:t>
      </w:r>
      <w:r w:rsidRPr="00D70F60">
        <w:rPr>
          <w:lang w:val="ro-RO"/>
        </w:rPr>
        <w:t xml:space="preserve"> 1 </w:t>
      </w:r>
      <w:r w:rsidR="00D70F60" w:rsidRPr="00D70F60">
        <w:rPr>
          <w:lang w:val="ro-RO"/>
        </w:rPr>
        <w:t>și</w:t>
      </w:r>
      <w:r w:rsidRPr="00D70F60">
        <w:rPr>
          <w:lang w:val="ro-RO"/>
        </w:rPr>
        <w:t xml:space="preserve"> 2 </w:t>
      </w:r>
      <w:r w:rsidR="00B76EB0">
        <w:rPr>
          <w:lang w:val="ro-RO"/>
        </w:rPr>
        <w:t xml:space="preserve">de </w:t>
      </w:r>
      <w:r w:rsidR="00D70F60" w:rsidRPr="00D70F60">
        <w:rPr>
          <w:lang w:val="ro-RO"/>
        </w:rPr>
        <w:t>la sfârșit</w:t>
      </w:r>
    </w:p>
    <w:p w:rsidR="00AE428E" w:rsidRPr="00D70F60" w:rsidRDefault="001B5421" w:rsidP="00AE428E">
      <w:pPr>
        <w:pStyle w:val="SingleTxtG"/>
        <w:rPr>
          <w:lang w:val="ro-RO"/>
        </w:rPr>
      </w:pPr>
      <w:r w:rsidRPr="00D70F60">
        <w:rPr>
          <w:i/>
          <w:iCs/>
          <w:lang w:val="ro-RO"/>
        </w:rPr>
        <w:t>Se înlocuiește</w:t>
      </w:r>
      <w:r w:rsidR="00AE428E" w:rsidRPr="00D70F60">
        <w:rPr>
          <w:lang w:val="ro-RO"/>
        </w:rPr>
        <w:t xml:space="preserve"> </w:t>
      </w:r>
      <w:r w:rsidR="00700B8B" w:rsidRPr="00421874">
        <w:rPr>
          <w:lang w:val="ro-RO"/>
        </w:rPr>
        <w:t>„</w:t>
      </w:r>
      <w:r w:rsidR="004A2BEC" w:rsidRPr="00D70F60">
        <w:rPr>
          <w:lang w:val="ro-RO"/>
        </w:rPr>
        <w:t>Nr. ONU</w:t>
      </w:r>
      <w:r w:rsidR="00942865" w:rsidRPr="00D70F60">
        <w:rPr>
          <w:lang w:val="ro-RO"/>
        </w:rPr>
        <w:t>”</w:t>
      </w:r>
      <w:r w:rsidR="00AE428E" w:rsidRPr="00D70F60">
        <w:rPr>
          <w:lang w:val="ro-RO"/>
        </w:rPr>
        <w:t xml:space="preserve"> </w:t>
      </w:r>
      <w:r w:rsidR="004A2BEC" w:rsidRPr="00D70F60">
        <w:rPr>
          <w:i/>
          <w:iCs/>
          <w:lang w:val="ro-RO"/>
        </w:rPr>
        <w:t>cu</w:t>
      </w:r>
      <w:r w:rsidR="00AE428E" w:rsidRPr="00D70F60">
        <w:rPr>
          <w:lang w:val="ro-RO"/>
        </w:rPr>
        <w:t xml:space="preserve"> </w:t>
      </w:r>
      <w:r w:rsidR="00700B8B" w:rsidRPr="00421874">
        <w:rPr>
          <w:lang w:val="ro-RO"/>
        </w:rPr>
        <w:t>„</w:t>
      </w:r>
      <w:r w:rsidR="00AE428E" w:rsidRPr="00D70F60">
        <w:rPr>
          <w:lang w:val="ro-RO"/>
        </w:rPr>
        <w:t>UN</w:t>
      </w:r>
      <w:r w:rsidR="00942865" w:rsidRPr="00D70F60">
        <w:rPr>
          <w:lang w:val="ro-RO"/>
        </w:rPr>
        <w:t>”</w:t>
      </w:r>
    </w:p>
    <w:p w:rsidR="002D0E8F" w:rsidRPr="00D70F60" w:rsidRDefault="00FE7542" w:rsidP="0036439B">
      <w:pPr>
        <w:pStyle w:val="H23G"/>
        <w:rPr>
          <w:lang w:val="ro-RO"/>
        </w:rPr>
      </w:pPr>
      <w:r w:rsidRPr="00D70F60">
        <w:rPr>
          <w:lang w:val="ro-RO"/>
        </w:rPr>
        <w:tab/>
        <w:t>2</w:t>
      </w:r>
      <w:r w:rsidR="00AE428E" w:rsidRPr="00D70F60">
        <w:rPr>
          <w:lang w:val="ro-RO"/>
        </w:rPr>
        <w:t>5</w:t>
      </w:r>
      <w:r w:rsidRPr="00D70F60">
        <w:rPr>
          <w:lang w:val="ro-RO"/>
        </w:rPr>
        <w:t>.</w:t>
      </w:r>
      <w:r w:rsidRPr="00D70F60">
        <w:rPr>
          <w:lang w:val="ro-RO"/>
        </w:rPr>
        <w:tab/>
      </w:r>
      <w:r w:rsidR="001B5421" w:rsidRPr="00D70F60">
        <w:rPr>
          <w:lang w:val="ro-RO"/>
        </w:rPr>
        <w:t>Capitolul</w:t>
      </w:r>
      <w:r w:rsidR="002D0E8F" w:rsidRPr="00D70F60">
        <w:rPr>
          <w:lang w:val="ro-RO"/>
        </w:rPr>
        <w:t xml:space="preserve"> 4.1, amend</w:t>
      </w:r>
      <w:r w:rsidR="00700B8B">
        <w:rPr>
          <w:lang w:val="ro-RO"/>
        </w:rPr>
        <w:t>a</w:t>
      </w:r>
      <w:r w:rsidR="002D0E8F" w:rsidRPr="00D70F60">
        <w:rPr>
          <w:lang w:val="ro-RO"/>
        </w:rPr>
        <w:t>ment</w:t>
      </w:r>
      <w:r w:rsidR="00D70F60" w:rsidRPr="00D70F60">
        <w:rPr>
          <w:lang w:val="ro-RO"/>
        </w:rPr>
        <w:t xml:space="preserve">ul de la </w:t>
      </w:r>
      <w:r w:rsidR="002D0E8F" w:rsidRPr="00D70F60">
        <w:rPr>
          <w:lang w:val="ro-RO"/>
        </w:rPr>
        <w:t>instruc</w:t>
      </w:r>
      <w:r w:rsidR="00D70F60" w:rsidRPr="00D70F60">
        <w:rPr>
          <w:lang w:val="ro-RO"/>
        </w:rPr>
        <w:t>țiunea de ambalare</w:t>
      </w:r>
      <w:r w:rsidR="002D0E8F" w:rsidRPr="00D70F60">
        <w:rPr>
          <w:lang w:val="ro-RO"/>
        </w:rPr>
        <w:t xml:space="preserve"> P801</w:t>
      </w:r>
    </w:p>
    <w:p w:rsidR="002D0E8F" w:rsidRPr="00D70F60" w:rsidRDefault="00F3117D" w:rsidP="00F3117D">
      <w:pPr>
        <w:pStyle w:val="SingleTxtG"/>
        <w:rPr>
          <w:i/>
          <w:iCs/>
          <w:lang w:val="ro-RO"/>
        </w:rPr>
      </w:pPr>
      <w:r>
        <w:rPr>
          <w:color w:val="FF0000"/>
          <w:lang w:val="ro-RO"/>
        </w:rPr>
        <w:t>Nu face obiectul versiunii în română</w:t>
      </w:r>
    </w:p>
    <w:p w:rsidR="00694C7F" w:rsidRPr="00D70F60" w:rsidRDefault="00FE7542" w:rsidP="0036439B">
      <w:pPr>
        <w:pStyle w:val="H23G"/>
        <w:rPr>
          <w:lang w:val="ro-RO"/>
        </w:rPr>
      </w:pPr>
      <w:r w:rsidRPr="00D70F60">
        <w:rPr>
          <w:lang w:val="ro-RO"/>
        </w:rPr>
        <w:tab/>
        <w:t>2</w:t>
      </w:r>
      <w:r w:rsidR="00AE428E" w:rsidRPr="00D70F60">
        <w:rPr>
          <w:lang w:val="ro-RO"/>
        </w:rPr>
        <w:t>6</w:t>
      </w:r>
      <w:r w:rsidRPr="00D70F60">
        <w:rPr>
          <w:lang w:val="ro-RO"/>
        </w:rPr>
        <w:t>.</w:t>
      </w:r>
      <w:r w:rsidRPr="00D70F60">
        <w:rPr>
          <w:lang w:val="ro-RO"/>
        </w:rPr>
        <w:tab/>
      </w:r>
      <w:r w:rsidR="001B5421" w:rsidRPr="00D70F60">
        <w:rPr>
          <w:lang w:val="ro-RO"/>
        </w:rPr>
        <w:t>Capitolul</w:t>
      </w:r>
      <w:r w:rsidR="00694C7F" w:rsidRPr="00D70F60">
        <w:rPr>
          <w:lang w:val="ro-RO"/>
        </w:rPr>
        <w:t xml:space="preserve"> 4.1,</w:t>
      </w:r>
      <w:r w:rsidR="00A24574">
        <w:rPr>
          <w:lang w:val="ro-RO"/>
        </w:rPr>
        <w:t xml:space="preserve"> la</w:t>
      </w:r>
      <w:r w:rsidR="00694C7F" w:rsidRPr="00D70F60">
        <w:rPr>
          <w:lang w:val="ro-RO"/>
        </w:rPr>
        <w:t xml:space="preserve"> 4.1.4.1, </w:t>
      </w:r>
      <w:r w:rsidR="00F102EC">
        <w:rPr>
          <w:lang w:val="ro-RO"/>
        </w:rPr>
        <w:t>noua instrucțiune de ambalare</w:t>
      </w:r>
      <w:r w:rsidR="00694C7F" w:rsidRPr="00D70F60">
        <w:rPr>
          <w:lang w:val="ro-RO"/>
        </w:rPr>
        <w:t xml:space="preserve"> P006, </w:t>
      </w:r>
      <w:r w:rsidR="00F102EC">
        <w:rPr>
          <w:lang w:val="ro-RO"/>
        </w:rPr>
        <w:t xml:space="preserve">amendamentul de la </w:t>
      </w:r>
      <w:r w:rsidR="00694C7F" w:rsidRPr="00D70F60">
        <w:rPr>
          <w:lang w:val="ro-RO"/>
        </w:rPr>
        <w:t>paragra</w:t>
      </w:r>
      <w:r w:rsidR="00F102EC">
        <w:rPr>
          <w:lang w:val="ro-RO"/>
        </w:rPr>
        <w:t>ful</w:t>
      </w:r>
      <w:r w:rsidR="00694C7F" w:rsidRPr="00D70F60">
        <w:rPr>
          <w:lang w:val="ro-RO"/>
        </w:rPr>
        <w:t xml:space="preserve"> 3) c), </w:t>
      </w:r>
      <w:r w:rsidR="00F102EC">
        <w:rPr>
          <w:lang w:val="ro-RO"/>
        </w:rPr>
        <w:t>ultima frază</w:t>
      </w:r>
    </w:p>
    <w:p w:rsidR="00694C7F" w:rsidRPr="00D70F60" w:rsidRDefault="001B5421" w:rsidP="00694C7F">
      <w:pPr>
        <w:pStyle w:val="SingleTxtG"/>
        <w:rPr>
          <w:lang w:val="ro-RO"/>
        </w:rPr>
      </w:pPr>
      <w:r w:rsidRPr="00D70F60">
        <w:rPr>
          <w:i/>
          <w:iCs/>
          <w:lang w:val="ro-RO"/>
        </w:rPr>
        <w:t>Se înlocuiește</w:t>
      </w:r>
      <w:r w:rsidR="00694C7F" w:rsidRPr="00D70F60">
        <w:rPr>
          <w:i/>
          <w:iCs/>
          <w:lang w:val="ro-RO"/>
        </w:rPr>
        <w:t xml:space="preserve"> </w:t>
      </w:r>
      <w:r w:rsidR="00D70F60" w:rsidRPr="00D70F60">
        <w:rPr>
          <w:lang w:val="ro-RO"/>
        </w:rPr>
        <w:t>textul existent cu</w:t>
      </w:r>
      <w:r w:rsidR="00694C7F" w:rsidRPr="00D70F60">
        <w:rPr>
          <w:lang w:val="ro-RO"/>
        </w:rPr>
        <w:t>:</w:t>
      </w:r>
    </w:p>
    <w:p w:rsidR="00694C7F" w:rsidRPr="00D70F60" w:rsidRDefault="00F3117D" w:rsidP="00F3117D">
      <w:pPr>
        <w:pStyle w:val="SingleTxtG"/>
        <w:rPr>
          <w:lang w:val="ro-RO"/>
        </w:rPr>
      </w:pPr>
      <w:r w:rsidRPr="00F3117D">
        <w:rPr>
          <w:lang w:val="ro-RO"/>
        </w:rPr>
        <w:t xml:space="preserve">Nicio scurgere a conținutului </w:t>
      </w:r>
      <w:r>
        <w:rPr>
          <w:lang w:val="ro-RO"/>
        </w:rPr>
        <w:t xml:space="preserve">nu </w:t>
      </w:r>
      <w:r w:rsidRPr="00F3117D">
        <w:rPr>
          <w:lang w:val="ro-RO"/>
        </w:rPr>
        <w:t xml:space="preserve">va afecta în mod semnificativ proprietățile de protecție ale </w:t>
      </w:r>
      <w:r>
        <w:rPr>
          <w:lang w:val="ro-RO"/>
        </w:rPr>
        <w:t>obiectului</w:t>
      </w:r>
      <w:r w:rsidRPr="00F3117D">
        <w:rPr>
          <w:lang w:val="ro-RO"/>
        </w:rPr>
        <w:t xml:space="preserve"> s</w:t>
      </w:r>
      <w:r>
        <w:rPr>
          <w:lang w:val="ro-RO"/>
        </w:rPr>
        <w:t>au ale ambalajului său exterior</w:t>
      </w:r>
      <w:r w:rsidR="004C3D40" w:rsidRPr="00D70F60">
        <w:rPr>
          <w:lang w:val="ro-RO"/>
        </w:rPr>
        <w:t>;</w:t>
      </w:r>
    </w:p>
    <w:p w:rsidR="00694C7F" w:rsidRPr="00D70F60" w:rsidRDefault="00FE7542" w:rsidP="0036439B">
      <w:pPr>
        <w:pStyle w:val="H23G"/>
        <w:rPr>
          <w:lang w:val="ro-RO"/>
        </w:rPr>
      </w:pPr>
      <w:r w:rsidRPr="00D70F60">
        <w:rPr>
          <w:lang w:val="ro-RO"/>
        </w:rPr>
        <w:tab/>
        <w:t>2</w:t>
      </w:r>
      <w:r w:rsidR="00AE428E" w:rsidRPr="00D70F60">
        <w:rPr>
          <w:lang w:val="ro-RO"/>
        </w:rPr>
        <w:t>7</w:t>
      </w:r>
      <w:r w:rsidRPr="00D70F60">
        <w:rPr>
          <w:lang w:val="ro-RO"/>
        </w:rPr>
        <w:t>.</w:t>
      </w:r>
      <w:r w:rsidRPr="00D70F60">
        <w:rPr>
          <w:lang w:val="ro-RO"/>
        </w:rPr>
        <w:tab/>
      </w:r>
      <w:r w:rsidR="001B5421" w:rsidRPr="00D70F60">
        <w:rPr>
          <w:lang w:val="ro-RO"/>
        </w:rPr>
        <w:t>Capitolul</w:t>
      </w:r>
      <w:r w:rsidR="00694C7F" w:rsidRPr="00D70F60">
        <w:rPr>
          <w:lang w:val="ro-RO"/>
        </w:rPr>
        <w:t xml:space="preserve"> 4.1, </w:t>
      </w:r>
      <w:r w:rsidR="00A24574">
        <w:rPr>
          <w:lang w:val="ro-RO"/>
        </w:rPr>
        <w:t xml:space="preserve">la </w:t>
      </w:r>
      <w:r w:rsidR="00694C7F" w:rsidRPr="00D70F60">
        <w:rPr>
          <w:lang w:val="ro-RO"/>
        </w:rPr>
        <w:t xml:space="preserve">4.1.4.3, </w:t>
      </w:r>
      <w:r w:rsidR="00ED4091">
        <w:rPr>
          <w:lang w:val="ro-RO"/>
        </w:rPr>
        <w:t>noua instrucțiune de ambalare</w:t>
      </w:r>
      <w:r w:rsidR="00ED4091" w:rsidRPr="00D70F60">
        <w:rPr>
          <w:lang w:val="ro-RO"/>
        </w:rPr>
        <w:t xml:space="preserve"> </w:t>
      </w:r>
      <w:r w:rsidR="00694C7F" w:rsidRPr="00D70F60">
        <w:rPr>
          <w:lang w:val="ro-RO"/>
        </w:rPr>
        <w:t xml:space="preserve">LP03, </w:t>
      </w:r>
      <w:r w:rsidR="00ED4091">
        <w:rPr>
          <w:lang w:val="ro-RO"/>
        </w:rPr>
        <w:t xml:space="preserve">amendamentul de la </w:t>
      </w:r>
      <w:r w:rsidR="00694C7F" w:rsidRPr="00D70F60">
        <w:rPr>
          <w:lang w:val="ro-RO"/>
        </w:rPr>
        <w:t>paragra</w:t>
      </w:r>
      <w:r w:rsidR="00ED4091">
        <w:rPr>
          <w:lang w:val="ro-RO"/>
        </w:rPr>
        <w:t>ful</w:t>
      </w:r>
      <w:r w:rsidR="00694C7F" w:rsidRPr="00D70F60">
        <w:rPr>
          <w:lang w:val="ro-RO"/>
        </w:rPr>
        <w:t xml:space="preserve"> 2) </w:t>
      </w:r>
      <w:r w:rsidR="00ED4091">
        <w:rPr>
          <w:lang w:val="ro-RO"/>
        </w:rPr>
        <w:t xml:space="preserve">litera </w:t>
      </w:r>
      <w:r w:rsidR="00694C7F" w:rsidRPr="00D70F60">
        <w:rPr>
          <w:lang w:val="ro-RO"/>
        </w:rPr>
        <w:t xml:space="preserve">c), </w:t>
      </w:r>
      <w:r w:rsidR="00ED4091">
        <w:rPr>
          <w:lang w:val="ro-RO"/>
        </w:rPr>
        <w:t>ultima frază</w:t>
      </w:r>
    </w:p>
    <w:p w:rsidR="00694C7F" w:rsidRPr="00D70F60" w:rsidRDefault="001B5421" w:rsidP="00694C7F">
      <w:pPr>
        <w:pStyle w:val="SingleTxtG"/>
        <w:rPr>
          <w:lang w:val="ro-RO"/>
        </w:rPr>
      </w:pPr>
      <w:r w:rsidRPr="00D70F60">
        <w:rPr>
          <w:i/>
          <w:iCs/>
          <w:lang w:val="ro-RO"/>
        </w:rPr>
        <w:t>Se înlocuiește</w:t>
      </w:r>
      <w:r w:rsidR="00694C7F" w:rsidRPr="00D70F60">
        <w:rPr>
          <w:i/>
          <w:iCs/>
          <w:lang w:val="ro-RO"/>
        </w:rPr>
        <w:t xml:space="preserve"> </w:t>
      </w:r>
      <w:r w:rsidR="00D70F60" w:rsidRPr="00D70F60">
        <w:rPr>
          <w:lang w:val="ro-RO"/>
        </w:rPr>
        <w:t>textul existent cu</w:t>
      </w:r>
      <w:r w:rsidR="00694C7F" w:rsidRPr="00D70F60">
        <w:rPr>
          <w:lang w:val="ro-RO"/>
        </w:rPr>
        <w:t>:</w:t>
      </w:r>
    </w:p>
    <w:p w:rsidR="00694C7F" w:rsidRPr="00D70F60" w:rsidRDefault="00AC2227" w:rsidP="00F3117D">
      <w:pPr>
        <w:pStyle w:val="SingleTxtG"/>
        <w:rPr>
          <w:lang w:val="ro-RO"/>
        </w:rPr>
      </w:pPr>
      <w:r w:rsidRPr="00F3117D">
        <w:rPr>
          <w:lang w:val="ro-RO"/>
        </w:rPr>
        <w:t xml:space="preserve">Nicio scurgere a conținutului </w:t>
      </w:r>
      <w:r>
        <w:rPr>
          <w:lang w:val="ro-RO"/>
        </w:rPr>
        <w:t xml:space="preserve">nu </w:t>
      </w:r>
      <w:r w:rsidRPr="00F3117D">
        <w:rPr>
          <w:lang w:val="ro-RO"/>
        </w:rPr>
        <w:t xml:space="preserve">va afecta în mod semnificativ proprietățile de protecție ale </w:t>
      </w:r>
      <w:r>
        <w:rPr>
          <w:lang w:val="ro-RO"/>
        </w:rPr>
        <w:t>obiectului</w:t>
      </w:r>
      <w:r w:rsidRPr="00F3117D">
        <w:rPr>
          <w:lang w:val="ro-RO"/>
        </w:rPr>
        <w:t xml:space="preserve"> s</w:t>
      </w:r>
      <w:r>
        <w:rPr>
          <w:lang w:val="ro-RO"/>
        </w:rPr>
        <w:t>au ale ambalajului său exterior</w:t>
      </w:r>
      <w:r w:rsidRPr="00D70F60">
        <w:rPr>
          <w:lang w:val="ro-RO"/>
        </w:rPr>
        <w:t>;</w:t>
      </w:r>
    </w:p>
    <w:p w:rsidR="003656F1" w:rsidRPr="00D70F60" w:rsidRDefault="003656F1" w:rsidP="003656F1">
      <w:pPr>
        <w:pStyle w:val="H23G"/>
        <w:rPr>
          <w:lang w:val="ro-RO"/>
        </w:rPr>
      </w:pPr>
      <w:r w:rsidRPr="00D70F60">
        <w:rPr>
          <w:lang w:val="ro-RO"/>
        </w:rPr>
        <w:tab/>
      </w:r>
      <w:r w:rsidR="00FE7542" w:rsidRPr="00D70F60">
        <w:rPr>
          <w:lang w:val="ro-RO"/>
        </w:rPr>
        <w:t>2</w:t>
      </w:r>
      <w:r w:rsidR="00AE428E" w:rsidRPr="00D70F60">
        <w:rPr>
          <w:lang w:val="ro-RO"/>
        </w:rPr>
        <w:t>8</w:t>
      </w:r>
      <w:r w:rsidR="00FE7542" w:rsidRPr="00D70F60">
        <w:rPr>
          <w:lang w:val="ro-RO"/>
        </w:rPr>
        <w:t>.</w:t>
      </w:r>
      <w:r w:rsidRPr="00D70F60">
        <w:rPr>
          <w:lang w:val="ro-RO"/>
        </w:rPr>
        <w:tab/>
      </w:r>
      <w:r w:rsidR="001B5421" w:rsidRPr="00D70F60">
        <w:rPr>
          <w:lang w:val="ro-RO"/>
        </w:rPr>
        <w:t>Capitolul</w:t>
      </w:r>
      <w:r w:rsidRPr="00D70F60">
        <w:rPr>
          <w:lang w:val="ro-RO"/>
        </w:rPr>
        <w:t xml:space="preserve"> 4.3, </w:t>
      </w:r>
      <w:r w:rsidR="00A24574">
        <w:rPr>
          <w:lang w:val="ro-RO"/>
        </w:rPr>
        <w:t xml:space="preserve">la </w:t>
      </w:r>
      <w:r w:rsidRPr="00D70F60">
        <w:rPr>
          <w:lang w:val="ro-RO"/>
        </w:rPr>
        <w:t xml:space="preserve">4.3.4.1.3, </w:t>
      </w:r>
      <w:r w:rsidR="00ED4091">
        <w:rPr>
          <w:lang w:val="ro-RO"/>
        </w:rPr>
        <w:t xml:space="preserve">în </w:t>
      </w:r>
      <w:r w:rsidR="004A2BEC" w:rsidRPr="00D70F60">
        <w:rPr>
          <w:lang w:val="ro-RO"/>
        </w:rPr>
        <w:t>tabel</w:t>
      </w:r>
      <w:r w:rsidRPr="00D70F60">
        <w:rPr>
          <w:lang w:val="ro-RO"/>
        </w:rPr>
        <w:t>, la Clas</w:t>
      </w:r>
      <w:r w:rsidR="00ED4091">
        <w:rPr>
          <w:lang w:val="ro-RO"/>
        </w:rPr>
        <w:t>a</w:t>
      </w:r>
      <w:r w:rsidRPr="00D70F60">
        <w:rPr>
          <w:lang w:val="ro-RO"/>
        </w:rPr>
        <w:t xml:space="preserve"> 4.1, </w:t>
      </w:r>
      <w:r w:rsidR="004A2BEC" w:rsidRPr="00D70F60">
        <w:rPr>
          <w:lang w:val="ro-RO"/>
        </w:rPr>
        <w:t>pentru</w:t>
      </w:r>
      <w:r w:rsidRPr="00D70F60">
        <w:rPr>
          <w:lang w:val="ro-RO"/>
        </w:rPr>
        <w:t xml:space="preserve"> </w:t>
      </w:r>
      <w:r w:rsidR="004A2BEC" w:rsidRPr="00D70F60">
        <w:rPr>
          <w:lang w:val="ro-RO"/>
        </w:rPr>
        <w:t>Nr. ONU</w:t>
      </w:r>
      <w:r w:rsidRPr="00D70F60">
        <w:rPr>
          <w:lang w:val="ro-RO"/>
        </w:rPr>
        <w:t xml:space="preserve"> 3533</w:t>
      </w:r>
      <w:r w:rsidR="00D70F60" w:rsidRPr="00D70F60">
        <w:rPr>
          <w:lang w:val="ro-RO"/>
        </w:rPr>
        <w:t xml:space="preserve"> și </w:t>
      </w:r>
      <w:r w:rsidRPr="00D70F60">
        <w:rPr>
          <w:lang w:val="ro-RO"/>
        </w:rPr>
        <w:t>3534</w:t>
      </w:r>
    </w:p>
    <w:p w:rsidR="003656F1" w:rsidRPr="00D70F60" w:rsidRDefault="006716D6" w:rsidP="003656F1">
      <w:pPr>
        <w:pStyle w:val="SingleTxtG"/>
        <w:rPr>
          <w:lang w:val="ro-RO"/>
        </w:rPr>
      </w:pPr>
      <w:r>
        <w:rPr>
          <w:color w:val="FF0000"/>
          <w:lang w:val="ro-RO"/>
        </w:rPr>
        <w:t>Nu face obiectul versiunii în română</w:t>
      </w:r>
    </w:p>
    <w:p w:rsidR="003656F1" w:rsidRPr="00D70F60" w:rsidRDefault="003656F1" w:rsidP="003656F1">
      <w:pPr>
        <w:pStyle w:val="H23G"/>
        <w:rPr>
          <w:lang w:val="ro-RO"/>
        </w:rPr>
      </w:pPr>
      <w:r w:rsidRPr="00D70F60">
        <w:rPr>
          <w:lang w:val="ro-RO"/>
        </w:rPr>
        <w:lastRenderedPageBreak/>
        <w:tab/>
      </w:r>
      <w:r w:rsidR="00FE7542" w:rsidRPr="00D70F60">
        <w:rPr>
          <w:lang w:val="ro-RO"/>
        </w:rPr>
        <w:t>2</w:t>
      </w:r>
      <w:r w:rsidR="00AE428E" w:rsidRPr="00D70F60">
        <w:rPr>
          <w:lang w:val="ro-RO"/>
        </w:rPr>
        <w:t>9</w:t>
      </w:r>
      <w:r w:rsidR="00FE7542" w:rsidRPr="00D70F60">
        <w:rPr>
          <w:lang w:val="ro-RO"/>
        </w:rPr>
        <w:t>.</w:t>
      </w:r>
      <w:r w:rsidRPr="00D70F60">
        <w:rPr>
          <w:lang w:val="ro-RO"/>
        </w:rPr>
        <w:tab/>
      </w:r>
      <w:r w:rsidR="001B5421" w:rsidRPr="00D70F60">
        <w:rPr>
          <w:lang w:val="ro-RO"/>
        </w:rPr>
        <w:t>Capitolul</w:t>
      </w:r>
      <w:r w:rsidRPr="00D70F60">
        <w:rPr>
          <w:lang w:val="ro-RO"/>
        </w:rPr>
        <w:t xml:space="preserve"> 4.3, </w:t>
      </w:r>
      <w:r w:rsidR="00A24574">
        <w:rPr>
          <w:lang w:val="ro-RO"/>
        </w:rPr>
        <w:t xml:space="preserve">la </w:t>
      </w:r>
      <w:r w:rsidRPr="00D70F60">
        <w:rPr>
          <w:lang w:val="ro-RO"/>
        </w:rPr>
        <w:t xml:space="preserve">4.3.4.1.3, </w:t>
      </w:r>
      <w:r w:rsidR="00ED4091">
        <w:rPr>
          <w:lang w:val="ro-RO"/>
        </w:rPr>
        <w:t xml:space="preserve">în </w:t>
      </w:r>
      <w:r w:rsidR="004A2BEC" w:rsidRPr="00D70F60">
        <w:rPr>
          <w:lang w:val="ro-RO"/>
        </w:rPr>
        <w:t>tabel</w:t>
      </w:r>
      <w:r w:rsidRPr="00D70F60">
        <w:rPr>
          <w:lang w:val="ro-RO"/>
        </w:rPr>
        <w:t>, la Clas</w:t>
      </w:r>
      <w:r w:rsidR="00ED4091">
        <w:rPr>
          <w:lang w:val="ro-RO"/>
        </w:rPr>
        <w:t>a</w:t>
      </w:r>
      <w:r w:rsidRPr="00D70F60">
        <w:rPr>
          <w:lang w:val="ro-RO"/>
        </w:rPr>
        <w:t xml:space="preserve"> 5.1, </w:t>
      </w:r>
      <w:r w:rsidR="004A2BEC" w:rsidRPr="00D70F60">
        <w:rPr>
          <w:lang w:val="ro-RO"/>
        </w:rPr>
        <w:t>pentru</w:t>
      </w:r>
      <w:r w:rsidRPr="00D70F60">
        <w:rPr>
          <w:lang w:val="ro-RO"/>
        </w:rPr>
        <w:t xml:space="preserve"> </w:t>
      </w:r>
      <w:r w:rsidR="004A2BEC" w:rsidRPr="00D70F60">
        <w:rPr>
          <w:lang w:val="ro-RO"/>
        </w:rPr>
        <w:t>Nr. ONU</w:t>
      </w:r>
      <w:r w:rsidRPr="00D70F60">
        <w:rPr>
          <w:lang w:val="ro-RO"/>
        </w:rPr>
        <w:t xml:space="preserve"> 3375 (</w:t>
      </w:r>
      <w:r w:rsidR="005A735A">
        <w:rPr>
          <w:lang w:val="ro-RO"/>
        </w:rPr>
        <w:t xml:space="preserve">la </w:t>
      </w:r>
      <w:r w:rsidR="00ED4091">
        <w:rPr>
          <w:lang w:val="ro-RO"/>
        </w:rPr>
        <w:t>cele două rubrici</w:t>
      </w:r>
      <w:r w:rsidRPr="00D70F60">
        <w:rPr>
          <w:lang w:val="ro-RO"/>
        </w:rPr>
        <w:t xml:space="preserve">), </w:t>
      </w:r>
      <w:r w:rsidR="00ED4091">
        <w:rPr>
          <w:lang w:val="ro-RO"/>
        </w:rPr>
        <w:t>după</w:t>
      </w:r>
      <w:r w:rsidR="00CF2B6F">
        <w:rPr>
          <w:lang w:val="ro-RO"/>
        </w:rPr>
        <w:t xml:space="preserve"> </w:t>
      </w:r>
      <w:r w:rsidR="00ED4091" w:rsidRPr="00421874">
        <w:rPr>
          <w:lang w:val="ro-RO"/>
        </w:rPr>
        <w:t>„</w:t>
      </w:r>
      <w:r w:rsidR="00ED4091">
        <w:rPr>
          <w:lang w:val="ro-RO"/>
        </w:rPr>
        <w:t>sa</w:t>
      </w:r>
      <w:r w:rsidRPr="00D70F60">
        <w:rPr>
          <w:lang w:val="ro-RO"/>
        </w:rPr>
        <w:t>u gel, </w:t>
      </w:r>
      <w:r w:rsidR="004A2BEC" w:rsidRPr="00D70F60">
        <w:rPr>
          <w:lang w:val="ro-RO"/>
        </w:rPr>
        <w:t>”</w:t>
      </w:r>
    </w:p>
    <w:p w:rsidR="003656F1" w:rsidRPr="00D70F60" w:rsidRDefault="004A2BEC" w:rsidP="003656F1">
      <w:pPr>
        <w:pStyle w:val="SingleTxtG"/>
        <w:rPr>
          <w:iCs/>
          <w:lang w:val="ro-RO"/>
        </w:rPr>
      </w:pPr>
      <w:r w:rsidRPr="00D70F60">
        <w:rPr>
          <w:i/>
          <w:lang w:val="ro-RO"/>
        </w:rPr>
        <w:t>Se introduce</w:t>
      </w:r>
      <w:r w:rsidR="003656F1" w:rsidRPr="00D70F60">
        <w:rPr>
          <w:i/>
          <w:lang w:val="ro-RO"/>
        </w:rPr>
        <w:t xml:space="preserve"> </w:t>
      </w:r>
      <w:r w:rsidR="00700B8B" w:rsidRPr="00421874">
        <w:rPr>
          <w:lang w:val="ro-RO"/>
        </w:rPr>
        <w:t>„</w:t>
      </w:r>
      <w:r w:rsidR="00AC2227" w:rsidRPr="00AC2227">
        <w:rPr>
          <w:iCs/>
          <w:lang w:val="ro-RO"/>
        </w:rPr>
        <w:t>utilizat la fabricarea explozivilor de mină,</w:t>
      </w:r>
      <w:r w:rsidR="00CF2B6F">
        <w:rPr>
          <w:iCs/>
          <w:lang w:val="ro-RO"/>
        </w:rPr>
        <w:t xml:space="preserve"> </w:t>
      </w:r>
      <w:r w:rsidR="00CF2B6F" w:rsidRPr="00D70F60">
        <w:rPr>
          <w:lang w:val="ro-RO"/>
        </w:rPr>
        <w:t>”</w:t>
      </w:r>
    </w:p>
    <w:p w:rsidR="005A6DB4" w:rsidRPr="00D70F60" w:rsidRDefault="00FE7542" w:rsidP="0036439B">
      <w:pPr>
        <w:pStyle w:val="H23G"/>
        <w:rPr>
          <w:lang w:val="ro-RO"/>
        </w:rPr>
      </w:pPr>
      <w:r w:rsidRPr="00D70F60">
        <w:rPr>
          <w:lang w:val="ro-RO"/>
        </w:rPr>
        <w:tab/>
      </w:r>
      <w:r w:rsidR="00AE428E" w:rsidRPr="00D70F60">
        <w:rPr>
          <w:lang w:val="ro-RO"/>
        </w:rPr>
        <w:t>30</w:t>
      </w:r>
      <w:r w:rsidRPr="00D70F60">
        <w:rPr>
          <w:lang w:val="ro-RO"/>
        </w:rPr>
        <w:t>.</w:t>
      </w:r>
      <w:r w:rsidRPr="00D70F60">
        <w:rPr>
          <w:lang w:val="ro-RO"/>
        </w:rPr>
        <w:tab/>
      </w:r>
      <w:r w:rsidR="001B5421" w:rsidRPr="00D70F60">
        <w:rPr>
          <w:lang w:val="ro-RO"/>
        </w:rPr>
        <w:t>Capitolul</w:t>
      </w:r>
      <w:r w:rsidR="005A6DB4" w:rsidRPr="00D70F60">
        <w:rPr>
          <w:lang w:val="ro-RO"/>
        </w:rPr>
        <w:t xml:space="preserve"> 5.2, </w:t>
      </w:r>
      <w:r w:rsidR="00A24574">
        <w:rPr>
          <w:lang w:val="ro-RO"/>
        </w:rPr>
        <w:t xml:space="preserve">la </w:t>
      </w:r>
      <w:r w:rsidR="005A6DB4" w:rsidRPr="00D70F60">
        <w:rPr>
          <w:lang w:val="ro-RO"/>
        </w:rPr>
        <w:t xml:space="preserve">5.2.2.2.2, </w:t>
      </w:r>
      <w:r w:rsidR="00ED4091">
        <w:rPr>
          <w:lang w:val="ro-RO"/>
        </w:rPr>
        <w:t>în</w:t>
      </w:r>
      <w:r w:rsidR="005A6DB4" w:rsidRPr="00D70F60">
        <w:rPr>
          <w:lang w:val="ro-RO"/>
        </w:rPr>
        <w:t xml:space="preserve"> </w:t>
      </w:r>
      <w:r w:rsidR="004A2BEC" w:rsidRPr="00D70F60">
        <w:rPr>
          <w:lang w:val="ro-RO"/>
        </w:rPr>
        <w:t>tabel</w:t>
      </w:r>
      <w:r w:rsidR="005A6DB4" w:rsidRPr="00D70F60">
        <w:rPr>
          <w:lang w:val="ro-RO"/>
        </w:rPr>
        <w:t xml:space="preserve">, </w:t>
      </w:r>
      <w:r w:rsidR="004A2BEC" w:rsidRPr="00D70F60">
        <w:rPr>
          <w:lang w:val="ro-RO"/>
        </w:rPr>
        <w:t>pentru</w:t>
      </w:r>
      <w:r w:rsidR="005A6DB4" w:rsidRPr="00D70F60">
        <w:rPr>
          <w:lang w:val="ro-RO"/>
        </w:rPr>
        <w:t xml:space="preserve"> N</w:t>
      </w:r>
      <w:r w:rsidR="00ED4091">
        <w:rPr>
          <w:lang w:val="ro-RO"/>
        </w:rPr>
        <w:t>r.</w:t>
      </w:r>
      <w:r w:rsidR="005A6DB4" w:rsidRPr="00D70F60">
        <w:rPr>
          <w:lang w:val="ro-RO"/>
        </w:rPr>
        <w:t xml:space="preserve"> d</w:t>
      </w:r>
      <w:r w:rsidR="00ED4091">
        <w:rPr>
          <w:lang w:val="ro-RO"/>
        </w:rPr>
        <w:t>e</w:t>
      </w:r>
      <w:r w:rsidR="005A6DB4" w:rsidRPr="00D70F60">
        <w:rPr>
          <w:lang w:val="ro-RO"/>
        </w:rPr>
        <w:t xml:space="preserve"> mod</w:t>
      </w:r>
      <w:r w:rsidR="00ED4091">
        <w:rPr>
          <w:lang w:val="ro-RO"/>
        </w:rPr>
        <w:t>e</w:t>
      </w:r>
      <w:r w:rsidR="005A6DB4" w:rsidRPr="00D70F60">
        <w:rPr>
          <w:lang w:val="ro-RO"/>
        </w:rPr>
        <w:t>l d</w:t>
      </w:r>
      <w:r w:rsidR="00ED4091">
        <w:rPr>
          <w:lang w:val="ro-RO"/>
        </w:rPr>
        <w:t>e e</w:t>
      </w:r>
      <w:r w:rsidR="005A6DB4" w:rsidRPr="00D70F60">
        <w:rPr>
          <w:lang w:val="ro-RO"/>
        </w:rPr>
        <w:t>ti</w:t>
      </w:r>
      <w:r w:rsidR="00ED4091">
        <w:rPr>
          <w:lang w:val="ro-RO"/>
        </w:rPr>
        <w:t>chetă</w:t>
      </w:r>
      <w:r w:rsidR="005A6DB4" w:rsidRPr="00D70F60">
        <w:rPr>
          <w:lang w:val="ro-RO"/>
        </w:rPr>
        <w:t xml:space="preserve"> 2.1, </w:t>
      </w:r>
      <w:r w:rsidR="00ED4091">
        <w:rPr>
          <w:lang w:val="ro-RO"/>
        </w:rPr>
        <w:t xml:space="preserve">în coloana </w:t>
      </w:r>
      <w:r w:rsidR="00ED4091" w:rsidRPr="00421874">
        <w:rPr>
          <w:lang w:val="ro-RO"/>
        </w:rPr>
        <w:t>„</w:t>
      </w:r>
      <w:r w:rsidR="005A6DB4" w:rsidRPr="00D70F60">
        <w:rPr>
          <w:lang w:val="ro-RO"/>
        </w:rPr>
        <w:t>Divi</w:t>
      </w:r>
      <w:r w:rsidR="00ED4091">
        <w:rPr>
          <w:lang w:val="ro-RO"/>
        </w:rPr>
        <w:t>ziune sa</w:t>
      </w:r>
      <w:r w:rsidR="005A6DB4" w:rsidRPr="00D70F60">
        <w:rPr>
          <w:lang w:val="ro-RO"/>
        </w:rPr>
        <w:t>u Cat</w:t>
      </w:r>
      <w:r w:rsidR="00ED4091">
        <w:rPr>
          <w:lang w:val="ro-RO"/>
        </w:rPr>
        <w:t>e</w:t>
      </w:r>
      <w:r w:rsidR="005A6DB4" w:rsidRPr="00D70F60">
        <w:rPr>
          <w:lang w:val="ro-RO"/>
        </w:rPr>
        <w:t>gorie</w:t>
      </w:r>
      <w:r w:rsidR="004A2BEC" w:rsidRPr="00D70F60">
        <w:rPr>
          <w:lang w:val="ro-RO"/>
        </w:rPr>
        <w:t>”</w:t>
      </w:r>
    </w:p>
    <w:p w:rsidR="005A6DB4" w:rsidRPr="00D70F60" w:rsidRDefault="001B5421" w:rsidP="005A6DB4">
      <w:pPr>
        <w:pStyle w:val="SingleTxtG"/>
        <w:rPr>
          <w:lang w:val="ro-RO"/>
        </w:rPr>
      </w:pPr>
      <w:r w:rsidRPr="00D70F60">
        <w:rPr>
          <w:i/>
          <w:iCs/>
          <w:lang w:val="ro-RO"/>
        </w:rPr>
        <w:t>Se șterge</w:t>
      </w:r>
      <w:r w:rsidR="005A6DB4" w:rsidRPr="00D70F60">
        <w:rPr>
          <w:i/>
          <w:iCs/>
          <w:lang w:val="ro-RO"/>
        </w:rPr>
        <w:t xml:space="preserve"> </w:t>
      </w:r>
      <w:r w:rsidR="00700B8B" w:rsidRPr="00421874">
        <w:rPr>
          <w:lang w:val="ro-RO"/>
        </w:rPr>
        <w:t>„</w:t>
      </w:r>
      <w:r w:rsidR="00700B8B" w:rsidRPr="00D70F60">
        <w:rPr>
          <w:lang w:val="ro-RO"/>
        </w:rPr>
        <w:t xml:space="preserve"> </w:t>
      </w:r>
      <w:r w:rsidR="005A6DB4" w:rsidRPr="00D70F60">
        <w:rPr>
          <w:lang w:val="ro-RO"/>
        </w:rPr>
        <w:t>(</w:t>
      </w:r>
      <w:r w:rsidR="00AC2227" w:rsidRPr="00AC2227">
        <w:rPr>
          <w:lang w:val="ro-RO"/>
        </w:rPr>
        <w:t xml:space="preserve">cu excepția prevederii de la </w:t>
      </w:r>
      <w:r w:rsidR="005A6DB4" w:rsidRPr="00D70F60">
        <w:rPr>
          <w:lang w:val="ro-RO"/>
        </w:rPr>
        <w:t>5.2.2.2.1.6 d))</w:t>
      </w:r>
      <w:r w:rsidR="00CF2B6F" w:rsidRPr="00D70F60">
        <w:rPr>
          <w:lang w:val="ro-RO"/>
        </w:rPr>
        <w:t>”</w:t>
      </w:r>
    </w:p>
    <w:p w:rsidR="005A6DB4" w:rsidRPr="00D70F60" w:rsidRDefault="00FE7542" w:rsidP="0036439B">
      <w:pPr>
        <w:pStyle w:val="H23G"/>
        <w:rPr>
          <w:lang w:val="ro-RO"/>
        </w:rPr>
      </w:pPr>
      <w:r w:rsidRPr="00D70F60">
        <w:rPr>
          <w:lang w:val="ro-RO"/>
        </w:rPr>
        <w:tab/>
        <w:t>3</w:t>
      </w:r>
      <w:r w:rsidR="00AE428E" w:rsidRPr="00D70F60">
        <w:rPr>
          <w:lang w:val="ro-RO"/>
        </w:rPr>
        <w:t>1</w:t>
      </w:r>
      <w:r w:rsidRPr="00D70F60">
        <w:rPr>
          <w:lang w:val="ro-RO"/>
        </w:rPr>
        <w:t>.</w:t>
      </w:r>
      <w:r w:rsidRPr="00D70F60">
        <w:rPr>
          <w:lang w:val="ro-RO"/>
        </w:rPr>
        <w:tab/>
      </w:r>
      <w:r w:rsidR="001B5421" w:rsidRPr="00D70F60">
        <w:rPr>
          <w:lang w:val="ro-RO"/>
        </w:rPr>
        <w:t>Capitolul</w:t>
      </w:r>
      <w:r w:rsidR="005A6DB4" w:rsidRPr="00D70F60">
        <w:rPr>
          <w:lang w:val="ro-RO"/>
        </w:rPr>
        <w:t xml:space="preserve"> 5.2, </w:t>
      </w:r>
      <w:r w:rsidR="00A24574">
        <w:rPr>
          <w:lang w:val="ro-RO"/>
        </w:rPr>
        <w:t xml:space="preserve">la </w:t>
      </w:r>
      <w:r w:rsidR="005A6DB4" w:rsidRPr="00D70F60">
        <w:rPr>
          <w:lang w:val="ro-RO"/>
        </w:rPr>
        <w:t xml:space="preserve">5.2.2.2.2, </w:t>
      </w:r>
      <w:r w:rsidR="00ED4091">
        <w:rPr>
          <w:lang w:val="ro-RO"/>
        </w:rPr>
        <w:t>în</w:t>
      </w:r>
      <w:r w:rsidR="00ED4091" w:rsidRPr="00D70F60">
        <w:rPr>
          <w:lang w:val="ro-RO"/>
        </w:rPr>
        <w:t xml:space="preserve"> tabel, pentru N</w:t>
      </w:r>
      <w:r w:rsidR="00ED4091">
        <w:rPr>
          <w:lang w:val="ro-RO"/>
        </w:rPr>
        <w:t>r.</w:t>
      </w:r>
      <w:r w:rsidR="00ED4091" w:rsidRPr="00D70F60">
        <w:rPr>
          <w:lang w:val="ro-RO"/>
        </w:rPr>
        <w:t xml:space="preserve"> d</w:t>
      </w:r>
      <w:r w:rsidR="00ED4091">
        <w:rPr>
          <w:lang w:val="ro-RO"/>
        </w:rPr>
        <w:t>e</w:t>
      </w:r>
      <w:r w:rsidR="00ED4091" w:rsidRPr="00D70F60">
        <w:rPr>
          <w:lang w:val="ro-RO"/>
        </w:rPr>
        <w:t xml:space="preserve"> mod</w:t>
      </w:r>
      <w:r w:rsidR="00ED4091">
        <w:rPr>
          <w:lang w:val="ro-RO"/>
        </w:rPr>
        <w:t>e</w:t>
      </w:r>
      <w:r w:rsidR="00ED4091" w:rsidRPr="00D70F60">
        <w:rPr>
          <w:lang w:val="ro-RO"/>
        </w:rPr>
        <w:t>l d</w:t>
      </w:r>
      <w:r w:rsidR="00ED4091">
        <w:rPr>
          <w:lang w:val="ro-RO"/>
        </w:rPr>
        <w:t>e e</w:t>
      </w:r>
      <w:r w:rsidR="00ED4091" w:rsidRPr="00D70F60">
        <w:rPr>
          <w:lang w:val="ro-RO"/>
        </w:rPr>
        <w:t>ti</w:t>
      </w:r>
      <w:r w:rsidR="00ED4091">
        <w:rPr>
          <w:lang w:val="ro-RO"/>
        </w:rPr>
        <w:t>chetă</w:t>
      </w:r>
      <w:r w:rsidR="00ED4091" w:rsidRPr="00D70F60">
        <w:rPr>
          <w:lang w:val="ro-RO"/>
        </w:rPr>
        <w:t xml:space="preserve"> 2.1, </w:t>
      </w:r>
      <w:r w:rsidR="00ED4091">
        <w:rPr>
          <w:lang w:val="ro-RO"/>
        </w:rPr>
        <w:t>în coloan</w:t>
      </w:r>
      <w:r w:rsidR="00464C4F">
        <w:rPr>
          <w:lang w:val="ro-RO"/>
        </w:rPr>
        <w:t>ele</w:t>
      </w:r>
      <w:r w:rsidR="00CF2B6F">
        <w:rPr>
          <w:lang w:val="ro-RO"/>
        </w:rPr>
        <w:t xml:space="preserve"> </w:t>
      </w:r>
      <w:r w:rsidR="00ED4091" w:rsidRPr="00421874">
        <w:rPr>
          <w:lang w:val="ro-RO"/>
        </w:rPr>
        <w:t>„</w:t>
      </w:r>
      <w:r w:rsidR="00464C4F" w:rsidRPr="00464C4F">
        <w:rPr>
          <w:lang w:val="ro-RO"/>
        </w:rPr>
        <w:t>Semnul convențional și culoarea semnului</w:t>
      </w:r>
      <w:r w:rsidR="004A2BEC" w:rsidRPr="00D70F60">
        <w:rPr>
          <w:lang w:val="ro-RO"/>
        </w:rPr>
        <w:t>”</w:t>
      </w:r>
      <w:r w:rsidR="005A6DB4" w:rsidRPr="00D70F60">
        <w:rPr>
          <w:lang w:val="ro-RO"/>
        </w:rPr>
        <w:t xml:space="preserve"> </w:t>
      </w:r>
      <w:r w:rsidR="00CF2B6F">
        <w:rPr>
          <w:lang w:val="ro-RO"/>
        </w:rPr>
        <w:t xml:space="preserve">și </w:t>
      </w:r>
      <w:r w:rsidR="00ED4091" w:rsidRPr="00421874">
        <w:rPr>
          <w:lang w:val="ro-RO"/>
        </w:rPr>
        <w:t>„</w:t>
      </w:r>
      <w:r w:rsidR="00464C4F" w:rsidRPr="00464C4F">
        <w:rPr>
          <w:lang w:val="ro-RO"/>
        </w:rPr>
        <w:t>Cifra care figurează în colțul inferior (și culoarea cifrei)</w:t>
      </w:r>
      <w:r w:rsidR="004A2BEC" w:rsidRPr="00D70F60">
        <w:rPr>
          <w:lang w:val="ro-RO"/>
        </w:rPr>
        <w:t>”</w:t>
      </w:r>
      <w:r w:rsidR="005A6DB4" w:rsidRPr="00D70F60">
        <w:rPr>
          <w:lang w:val="ro-RO"/>
        </w:rPr>
        <w:t xml:space="preserve">, la </w:t>
      </w:r>
      <w:r w:rsidR="00464C4F">
        <w:rPr>
          <w:lang w:val="ro-RO"/>
        </w:rPr>
        <w:t>s</w:t>
      </w:r>
      <w:r w:rsidR="005A6DB4" w:rsidRPr="00D70F60">
        <w:rPr>
          <w:lang w:val="ro-RO"/>
        </w:rPr>
        <w:t>f</w:t>
      </w:r>
      <w:r w:rsidR="00464C4F">
        <w:rPr>
          <w:lang w:val="ro-RO"/>
        </w:rPr>
        <w:t>ârșit</w:t>
      </w:r>
    </w:p>
    <w:p w:rsidR="005A6DB4" w:rsidRPr="00D70F60" w:rsidRDefault="00FC120E" w:rsidP="005A6DB4">
      <w:pPr>
        <w:pStyle w:val="SingleTxtG"/>
        <w:rPr>
          <w:lang w:val="ro-RO"/>
        </w:rPr>
      </w:pPr>
      <w:r w:rsidRPr="00D70F60">
        <w:rPr>
          <w:i/>
          <w:iCs/>
          <w:lang w:val="ro-RO"/>
        </w:rPr>
        <w:t>Se adaugă</w:t>
      </w:r>
      <w:r w:rsidR="005A6DB4" w:rsidRPr="00D70F60">
        <w:rPr>
          <w:i/>
          <w:iCs/>
          <w:lang w:val="ro-RO"/>
        </w:rPr>
        <w:t xml:space="preserve"> </w:t>
      </w:r>
      <w:r w:rsidR="00700B8B" w:rsidRPr="00421874">
        <w:rPr>
          <w:lang w:val="ro-RO"/>
        </w:rPr>
        <w:t>„</w:t>
      </w:r>
      <w:r w:rsidR="00700B8B" w:rsidRPr="00D70F60">
        <w:rPr>
          <w:lang w:val="ro-RO"/>
        </w:rPr>
        <w:t xml:space="preserve"> </w:t>
      </w:r>
      <w:r w:rsidR="005A6DB4" w:rsidRPr="00D70F60">
        <w:rPr>
          <w:lang w:val="ro-RO"/>
        </w:rPr>
        <w:t>(</w:t>
      </w:r>
      <w:r w:rsidR="00464C4F" w:rsidRPr="00464C4F">
        <w:rPr>
          <w:lang w:val="ro-RO"/>
        </w:rPr>
        <w:t xml:space="preserve">cu excepția </w:t>
      </w:r>
      <w:r w:rsidR="005A6DB4" w:rsidRPr="00D70F60">
        <w:rPr>
          <w:lang w:val="ro-RO"/>
        </w:rPr>
        <w:t>5.2.2.2.1.6 d))</w:t>
      </w:r>
      <w:r w:rsidR="00CF2B6F" w:rsidRPr="00D70F60">
        <w:rPr>
          <w:lang w:val="ro-RO"/>
        </w:rPr>
        <w:t>”</w:t>
      </w:r>
    </w:p>
    <w:p w:rsidR="00156CE1" w:rsidRPr="00D70F60" w:rsidRDefault="00156CE1" w:rsidP="00156CE1">
      <w:pPr>
        <w:pStyle w:val="H23G"/>
        <w:rPr>
          <w:lang w:val="ro-RO"/>
        </w:rPr>
      </w:pPr>
      <w:r w:rsidRPr="00D70F60">
        <w:rPr>
          <w:lang w:val="ro-RO"/>
        </w:rPr>
        <w:tab/>
      </w:r>
      <w:r w:rsidR="00FE7542" w:rsidRPr="00D70F60">
        <w:rPr>
          <w:lang w:val="ro-RO"/>
        </w:rPr>
        <w:t>3</w:t>
      </w:r>
      <w:r w:rsidR="00AE428E" w:rsidRPr="00D70F60">
        <w:rPr>
          <w:lang w:val="ro-RO"/>
        </w:rPr>
        <w:t>2</w:t>
      </w:r>
      <w:r w:rsidR="00FE7542" w:rsidRPr="00D70F60">
        <w:rPr>
          <w:lang w:val="ro-RO"/>
        </w:rPr>
        <w:t>.</w:t>
      </w:r>
      <w:r w:rsidRPr="00D70F60">
        <w:rPr>
          <w:lang w:val="ro-RO"/>
        </w:rPr>
        <w:tab/>
      </w:r>
      <w:r w:rsidR="001B5421" w:rsidRPr="00D70F60">
        <w:rPr>
          <w:lang w:val="ro-RO"/>
        </w:rPr>
        <w:t>Capitolul</w:t>
      </w:r>
      <w:r w:rsidRPr="00D70F60">
        <w:rPr>
          <w:lang w:val="ro-RO"/>
        </w:rPr>
        <w:t xml:space="preserve"> 5.2, </w:t>
      </w:r>
      <w:r w:rsidR="00A24574">
        <w:rPr>
          <w:lang w:val="ro-RO"/>
        </w:rPr>
        <w:t xml:space="preserve">la </w:t>
      </w:r>
      <w:r w:rsidRPr="00D70F60">
        <w:rPr>
          <w:lang w:val="ro-RO"/>
        </w:rPr>
        <w:t xml:space="preserve">5.2.2.2.2, </w:t>
      </w:r>
      <w:r w:rsidR="00ED4091">
        <w:rPr>
          <w:lang w:val="ro-RO"/>
        </w:rPr>
        <w:t xml:space="preserve">în </w:t>
      </w:r>
      <w:r w:rsidR="004A2BEC" w:rsidRPr="00D70F60">
        <w:rPr>
          <w:lang w:val="ro-RO"/>
        </w:rPr>
        <w:t>tabel</w:t>
      </w:r>
      <w:r w:rsidRPr="00D70F60">
        <w:rPr>
          <w:lang w:val="ro-RO"/>
        </w:rPr>
        <w:t xml:space="preserve">, </w:t>
      </w:r>
      <w:r w:rsidRPr="00D70F60">
        <w:rPr>
          <w:bCs/>
          <w:lang w:val="ro-RO"/>
        </w:rPr>
        <w:t xml:space="preserve">la </w:t>
      </w:r>
      <w:r w:rsidR="00ED4091">
        <w:rPr>
          <w:bCs/>
          <w:lang w:val="ro-RO"/>
        </w:rPr>
        <w:t>rândul</w:t>
      </w:r>
      <w:r w:rsidR="00CF2B6F">
        <w:rPr>
          <w:bCs/>
          <w:lang w:val="ro-RO"/>
        </w:rPr>
        <w:t xml:space="preserve"> </w:t>
      </w:r>
      <w:r w:rsidR="00ED4091" w:rsidRPr="00421874">
        <w:rPr>
          <w:lang w:val="ro-RO"/>
        </w:rPr>
        <w:t>„</w:t>
      </w:r>
      <w:r w:rsidR="009C1389">
        <w:rPr>
          <w:bCs/>
          <w:lang w:val="ro-RO"/>
        </w:rPr>
        <w:t>Pericol din clasa</w:t>
      </w:r>
      <w:r w:rsidRPr="00D70F60">
        <w:rPr>
          <w:bCs/>
          <w:lang w:val="ro-RO"/>
        </w:rPr>
        <w:t xml:space="preserve"> 4.1</w:t>
      </w:r>
      <w:r w:rsidR="004A2BEC" w:rsidRPr="00D70F60">
        <w:rPr>
          <w:bCs/>
          <w:lang w:val="ro-RO"/>
        </w:rPr>
        <w:t>”</w:t>
      </w:r>
    </w:p>
    <w:p w:rsidR="00156CE1" w:rsidRPr="00D70F60" w:rsidRDefault="006716D6" w:rsidP="00156CE1">
      <w:pPr>
        <w:pStyle w:val="SingleTxtG"/>
        <w:rPr>
          <w:lang w:val="ro-RO"/>
        </w:rPr>
      </w:pPr>
      <w:r>
        <w:rPr>
          <w:color w:val="FF0000"/>
          <w:lang w:val="ro-RO"/>
        </w:rPr>
        <w:t>Nu face obiectul versiunii în română</w:t>
      </w:r>
    </w:p>
    <w:p w:rsidR="005747B8" w:rsidRPr="00D70F60" w:rsidRDefault="005747B8" w:rsidP="005747B8">
      <w:pPr>
        <w:pStyle w:val="H23G"/>
        <w:tabs>
          <w:tab w:val="left" w:pos="2268"/>
        </w:tabs>
        <w:rPr>
          <w:lang w:val="ro-RO"/>
        </w:rPr>
      </w:pPr>
      <w:r w:rsidRPr="00D70F60">
        <w:rPr>
          <w:lang w:val="ro-RO"/>
        </w:rPr>
        <w:tab/>
      </w:r>
      <w:r w:rsidR="00FE7542" w:rsidRPr="00D70F60">
        <w:rPr>
          <w:lang w:val="ro-RO"/>
        </w:rPr>
        <w:t>3</w:t>
      </w:r>
      <w:r w:rsidR="00AE428E" w:rsidRPr="00D70F60">
        <w:rPr>
          <w:lang w:val="ro-RO"/>
        </w:rPr>
        <w:t>3</w:t>
      </w:r>
      <w:r w:rsidR="00FE7542" w:rsidRPr="00D70F60">
        <w:rPr>
          <w:lang w:val="ro-RO"/>
        </w:rPr>
        <w:t>.</w:t>
      </w:r>
      <w:r w:rsidRPr="00D70F60">
        <w:rPr>
          <w:lang w:val="ro-RO"/>
        </w:rPr>
        <w:tab/>
      </w:r>
      <w:r w:rsidR="001B5421" w:rsidRPr="00D70F60">
        <w:rPr>
          <w:lang w:val="ro-RO"/>
        </w:rPr>
        <w:t>Capitolul</w:t>
      </w:r>
      <w:r w:rsidRPr="00D70F60">
        <w:rPr>
          <w:lang w:val="ro-RO"/>
        </w:rPr>
        <w:t xml:space="preserve"> 5.3, </w:t>
      </w:r>
      <w:r w:rsidR="00852575">
        <w:rPr>
          <w:lang w:val="ro-RO"/>
        </w:rPr>
        <w:t>amendament</w:t>
      </w:r>
      <w:r w:rsidR="00A24574">
        <w:rPr>
          <w:lang w:val="ro-RO"/>
        </w:rPr>
        <w:t>ul</w:t>
      </w:r>
      <w:r w:rsidRPr="00D70F60">
        <w:rPr>
          <w:lang w:val="ro-RO"/>
        </w:rPr>
        <w:t xml:space="preserve"> </w:t>
      </w:r>
      <w:r w:rsidR="00ED4091">
        <w:rPr>
          <w:lang w:val="ro-RO"/>
        </w:rPr>
        <w:t>de la</w:t>
      </w:r>
      <w:r w:rsidRPr="00D70F60">
        <w:rPr>
          <w:lang w:val="ro-RO"/>
        </w:rPr>
        <w:t xml:space="preserve"> 5.3.1.2</w:t>
      </w:r>
    </w:p>
    <w:p w:rsidR="005747B8" w:rsidRPr="00D70F60" w:rsidRDefault="001B5421" w:rsidP="005747B8">
      <w:pPr>
        <w:pStyle w:val="SingleTxtG"/>
        <w:rPr>
          <w:lang w:val="ro-RO"/>
        </w:rPr>
      </w:pPr>
      <w:r w:rsidRPr="00D70F60">
        <w:rPr>
          <w:i/>
          <w:lang w:val="ro-RO"/>
        </w:rPr>
        <w:t>Se înlocuiește</w:t>
      </w:r>
      <w:r w:rsidR="005747B8" w:rsidRPr="00D70F60">
        <w:rPr>
          <w:i/>
          <w:lang w:val="ro-RO"/>
        </w:rPr>
        <w:t xml:space="preserve"> </w:t>
      </w:r>
      <w:r w:rsidR="00D70F60" w:rsidRPr="00D70F60">
        <w:rPr>
          <w:lang w:val="ro-RO"/>
        </w:rPr>
        <w:t>textul existent cu:</w:t>
      </w:r>
    </w:p>
    <w:p w:rsidR="005747B8" w:rsidRPr="00D70F60" w:rsidRDefault="009C1389" w:rsidP="00F3117D">
      <w:pPr>
        <w:pStyle w:val="SingleTxtG"/>
        <w:tabs>
          <w:tab w:val="left" w:pos="2552"/>
        </w:tabs>
        <w:rPr>
          <w:lang w:val="ro-RO"/>
        </w:rPr>
      </w:pPr>
      <w:r>
        <w:rPr>
          <w:lang w:val="ro-RO"/>
        </w:rPr>
        <w:t>5.3.1.2</w:t>
      </w:r>
      <w:r>
        <w:rPr>
          <w:lang w:val="ro-RO"/>
        </w:rPr>
        <w:tab/>
      </w:r>
      <w:r w:rsidRPr="009C1389">
        <w:rPr>
          <w:lang w:val="ro-RO"/>
        </w:rPr>
        <w:t>În titlu, după „containerelor,” se adaugă „containerelor pentru vrac,”.</w:t>
      </w:r>
    </w:p>
    <w:p w:rsidR="005747B8" w:rsidRPr="00D70F60" w:rsidRDefault="006E3E17" w:rsidP="00F3117D">
      <w:pPr>
        <w:pStyle w:val="SingleTxtG"/>
        <w:tabs>
          <w:tab w:val="left" w:pos="2552"/>
        </w:tabs>
        <w:rPr>
          <w:lang w:val="ro-RO"/>
        </w:rPr>
      </w:pPr>
      <w:r w:rsidRPr="00D70F60">
        <w:rPr>
          <w:lang w:val="ro-RO"/>
        </w:rPr>
        <w:t>5.3.1.2</w:t>
      </w:r>
      <w:r w:rsidRPr="00D70F60">
        <w:rPr>
          <w:lang w:val="ro-RO"/>
        </w:rPr>
        <w:tab/>
      </w:r>
      <w:r w:rsidR="001B5421" w:rsidRPr="00D70F60">
        <w:rPr>
          <w:lang w:val="ro-RO"/>
        </w:rPr>
        <w:t>Se modifică</w:t>
      </w:r>
      <w:r w:rsidR="005747B8" w:rsidRPr="00D70F60">
        <w:rPr>
          <w:lang w:val="ro-RO"/>
        </w:rPr>
        <w:t xml:space="preserve"> </w:t>
      </w:r>
      <w:r w:rsidR="00CF2B6F">
        <w:rPr>
          <w:lang w:val="ro-RO"/>
        </w:rPr>
        <w:t>prima frază de după Notă, după cum urmează</w:t>
      </w:r>
      <w:r w:rsidR="005747B8" w:rsidRPr="00D70F60">
        <w:rPr>
          <w:lang w:val="ro-RO"/>
        </w:rPr>
        <w:t>:</w:t>
      </w:r>
    </w:p>
    <w:p w:rsidR="005747B8" w:rsidRPr="00D70F60" w:rsidRDefault="00700B8B" w:rsidP="009E7079">
      <w:pPr>
        <w:pStyle w:val="SingleTxtG"/>
        <w:rPr>
          <w:lang w:val="ro-RO"/>
        </w:rPr>
      </w:pPr>
      <w:bookmarkStart w:id="11" w:name="_Hlk516043871"/>
      <w:r w:rsidRPr="00421874">
        <w:rPr>
          <w:lang w:val="ro-RO"/>
        </w:rPr>
        <w:t>„</w:t>
      </w:r>
      <w:r w:rsidR="009E7079" w:rsidRPr="009E7079">
        <w:rPr>
          <w:lang w:val="ro-RO"/>
        </w:rPr>
        <w:t xml:space="preserve">Plăcile-etichetă trebuie aplicate pe cele două laturi și pe fiecare extremitate a </w:t>
      </w:r>
      <w:r w:rsidR="009E7079">
        <w:rPr>
          <w:lang w:val="ro-RO"/>
        </w:rPr>
        <w:t xml:space="preserve">containerului, a containerului pentru vrac, a CGEM, a </w:t>
      </w:r>
      <w:r w:rsidR="009E7079" w:rsidRPr="009E7079">
        <w:rPr>
          <w:lang w:val="ro-RO"/>
        </w:rPr>
        <w:t>containerului-cisternă sau a cisternei mobile</w:t>
      </w:r>
      <w:r w:rsidR="009E7079">
        <w:rPr>
          <w:lang w:val="ro-RO"/>
        </w:rPr>
        <w:t xml:space="preserve"> și pe două laturi opuse în cazul containerelor pentru vrac flexibile</w:t>
      </w:r>
      <w:r w:rsidR="005747B8" w:rsidRPr="00D70F60">
        <w:rPr>
          <w:lang w:val="ro-RO"/>
        </w:rPr>
        <w:t>.</w:t>
      </w:r>
      <w:bookmarkEnd w:id="11"/>
      <w:r w:rsidR="004A2BEC" w:rsidRPr="00D70F60">
        <w:rPr>
          <w:lang w:val="ro-RO"/>
        </w:rPr>
        <w:t>”</w:t>
      </w:r>
      <w:r w:rsidR="005747B8" w:rsidRPr="00D70F60">
        <w:rPr>
          <w:lang w:val="ro-RO"/>
        </w:rPr>
        <w:t>.</w:t>
      </w:r>
    </w:p>
    <w:p w:rsidR="00F9560A" w:rsidRPr="00D70F60" w:rsidRDefault="00F9560A" w:rsidP="00F9560A">
      <w:pPr>
        <w:pStyle w:val="H23G"/>
        <w:rPr>
          <w:lang w:val="ro-RO"/>
        </w:rPr>
      </w:pPr>
      <w:r w:rsidRPr="00D70F60">
        <w:rPr>
          <w:lang w:val="ro-RO"/>
        </w:rPr>
        <w:tab/>
      </w:r>
      <w:r w:rsidR="00FE7542" w:rsidRPr="00D70F60">
        <w:rPr>
          <w:lang w:val="ro-RO"/>
        </w:rPr>
        <w:t>3</w:t>
      </w:r>
      <w:r w:rsidR="00AE428E" w:rsidRPr="00D70F60">
        <w:rPr>
          <w:lang w:val="ro-RO"/>
        </w:rPr>
        <w:t>4</w:t>
      </w:r>
      <w:r w:rsidR="00FE7542" w:rsidRPr="00D70F60">
        <w:rPr>
          <w:lang w:val="ro-RO"/>
        </w:rPr>
        <w:t>.</w:t>
      </w:r>
      <w:r w:rsidRPr="00D70F60">
        <w:rPr>
          <w:lang w:val="ro-RO"/>
        </w:rPr>
        <w:tab/>
      </w:r>
      <w:r w:rsidR="001B5421" w:rsidRPr="00D70F60">
        <w:rPr>
          <w:lang w:val="ro-RO"/>
        </w:rPr>
        <w:t>Capitolul</w:t>
      </w:r>
      <w:r w:rsidRPr="00D70F60">
        <w:rPr>
          <w:lang w:val="ro-RO"/>
        </w:rPr>
        <w:t xml:space="preserve"> 6.2, </w:t>
      </w:r>
      <w:r w:rsidR="00A24574">
        <w:rPr>
          <w:lang w:val="ro-RO"/>
        </w:rPr>
        <w:t xml:space="preserve">la </w:t>
      </w:r>
      <w:r w:rsidRPr="00D70F60">
        <w:rPr>
          <w:lang w:val="ro-RO"/>
        </w:rPr>
        <w:t xml:space="preserve">6.2.4.1, </w:t>
      </w:r>
      <w:r w:rsidR="00852575">
        <w:rPr>
          <w:lang w:val="ro-RO"/>
        </w:rPr>
        <w:t>amendament</w:t>
      </w:r>
      <w:r w:rsidR="00A24574">
        <w:rPr>
          <w:lang w:val="ro-RO"/>
        </w:rPr>
        <w:t>ul</w:t>
      </w:r>
      <w:r w:rsidRPr="00D70F60">
        <w:rPr>
          <w:lang w:val="ro-RO"/>
        </w:rPr>
        <w:t xml:space="preserve"> ref</w:t>
      </w:r>
      <w:r w:rsidR="00A24574">
        <w:rPr>
          <w:lang w:val="ro-RO"/>
        </w:rPr>
        <w:t>eritor</w:t>
      </w:r>
      <w:r w:rsidRPr="00D70F60">
        <w:rPr>
          <w:lang w:val="ro-RO"/>
        </w:rPr>
        <w:t xml:space="preserve"> la </w:t>
      </w:r>
      <w:r w:rsidR="00A24574">
        <w:rPr>
          <w:lang w:val="ro-RO"/>
        </w:rPr>
        <w:t>standardul</w:t>
      </w:r>
      <w:r w:rsidRPr="00D70F60">
        <w:rPr>
          <w:lang w:val="ro-RO"/>
        </w:rPr>
        <w:t xml:space="preserve"> EN ISO 17871:2015</w:t>
      </w:r>
      <w:r w:rsidR="00D70F60" w:rsidRPr="00D70F60">
        <w:rPr>
          <w:lang w:val="ro-RO"/>
        </w:rPr>
        <w:t xml:space="preserve"> și </w:t>
      </w:r>
      <w:r w:rsidR="00474F0D">
        <w:rPr>
          <w:lang w:val="ro-RO"/>
        </w:rPr>
        <w:t xml:space="preserve">introducerea </w:t>
      </w:r>
      <w:r w:rsidRPr="00D70F60">
        <w:rPr>
          <w:lang w:val="ro-RO"/>
        </w:rPr>
        <w:t>noul</w:t>
      </w:r>
      <w:r w:rsidR="00474F0D">
        <w:rPr>
          <w:lang w:val="ro-RO"/>
        </w:rPr>
        <w:t>ui</w:t>
      </w:r>
      <w:r w:rsidRPr="00D70F60">
        <w:rPr>
          <w:lang w:val="ro-RO"/>
        </w:rPr>
        <w:t xml:space="preserve"> </w:t>
      </w:r>
      <w:r w:rsidR="00A24574">
        <w:rPr>
          <w:lang w:val="ro-RO"/>
        </w:rPr>
        <w:t>standard</w:t>
      </w:r>
      <w:r w:rsidRPr="00D70F60">
        <w:rPr>
          <w:lang w:val="ro-RO"/>
        </w:rPr>
        <w:t xml:space="preserve"> EN ISO 17871:2015 </w:t>
      </w:r>
      <w:bookmarkStart w:id="12" w:name="_Hlk515628821"/>
      <w:r w:rsidRPr="00D70F60">
        <w:rPr>
          <w:lang w:val="ro-RO"/>
        </w:rPr>
        <w:t>+ A1:2018</w:t>
      </w:r>
      <w:bookmarkEnd w:id="12"/>
    </w:p>
    <w:p w:rsidR="00F9560A" w:rsidRPr="00D70F60" w:rsidRDefault="001B5421" w:rsidP="00F9560A">
      <w:pPr>
        <w:pStyle w:val="SingleTxtG"/>
        <w:rPr>
          <w:lang w:val="ro-RO"/>
        </w:rPr>
      </w:pPr>
      <w:r w:rsidRPr="00D70F60">
        <w:rPr>
          <w:i/>
          <w:lang w:val="ro-RO"/>
        </w:rPr>
        <w:t>Se șterg</w:t>
      </w:r>
      <w:r w:rsidR="00474F0D">
        <w:rPr>
          <w:i/>
          <w:lang w:val="ro-RO"/>
        </w:rPr>
        <w:t xml:space="preserve"> ambele</w:t>
      </w:r>
    </w:p>
    <w:p w:rsidR="00253240" w:rsidRPr="00D70F60" w:rsidRDefault="00253240" w:rsidP="00253240">
      <w:pPr>
        <w:pStyle w:val="H23G"/>
        <w:rPr>
          <w:lang w:val="ro-RO"/>
        </w:rPr>
      </w:pPr>
      <w:r w:rsidRPr="00D70F60">
        <w:rPr>
          <w:lang w:val="ro-RO"/>
        </w:rPr>
        <w:tab/>
      </w:r>
      <w:r w:rsidR="00FE7542" w:rsidRPr="00D70F60">
        <w:rPr>
          <w:lang w:val="ro-RO"/>
        </w:rPr>
        <w:t>3</w:t>
      </w:r>
      <w:r w:rsidR="00AE428E" w:rsidRPr="00D70F60">
        <w:rPr>
          <w:lang w:val="ro-RO"/>
        </w:rPr>
        <w:t>5</w:t>
      </w:r>
      <w:r w:rsidR="00FE7542" w:rsidRPr="00D70F60">
        <w:rPr>
          <w:lang w:val="ro-RO"/>
        </w:rPr>
        <w:t>.</w:t>
      </w:r>
      <w:r w:rsidRPr="00D70F60">
        <w:rPr>
          <w:lang w:val="ro-RO"/>
        </w:rPr>
        <w:tab/>
      </w:r>
      <w:r w:rsidR="001B5421" w:rsidRPr="00D70F60">
        <w:rPr>
          <w:lang w:val="ro-RO"/>
        </w:rPr>
        <w:t>Capitolul</w:t>
      </w:r>
      <w:r w:rsidRPr="00D70F60">
        <w:rPr>
          <w:lang w:val="ro-RO"/>
        </w:rPr>
        <w:t xml:space="preserve"> 6.2, </w:t>
      </w:r>
      <w:r w:rsidR="00A24574">
        <w:rPr>
          <w:lang w:val="ro-RO"/>
        </w:rPr>
        <w:t xml:space="preserve">la </w:t>
      </w:r>
      <w:r w:rsidRPr="00D70F60">
        <w:rPr>
          <w:lang w:val="ro-RO"/>
        </w:rPr>
        <w:t xml:space="preserve">6.2.4.2, </w:t>
      </w:r>
      <w:r w:rsidR="001B5421" w:rsidRPr="00D70F60">
        <w:rPr>
          <w:lang w:val="ro-RO"/>
        </w:rPr>
        <w:t>ansamblu</w:t>
      </w:r>
      <w:r w:rsidRPr="00D70F60">
        <w:rPr>
          <w:lang w:val="ro-RO"/>
        </w:rPr>
        <w:t xml:space="preserve"> de amend</w:t>
      </w:r>
      <w:r w:rsidR="001B5421" w:rsidRPr="00D70F60">
        <w:rPr>
          <w:lang w:val="ro-RO"/>
        </w:rPr>
        <w:t>a</w:t>
      </w:r>
      <w:r w:rsidRPr="00D70F60">
        <w:rPr>
          <w:lang w:val="ro-RO"/>
        </w:rPr>
        <w:t>ment</w:t>
      </w:r>
      <w:r w:rsidR="001B5421" w:rsidRPr="00D70F60">
        <w:rPr>
          <w:lang w:val="ro-RO"/>
        </w:rPr>
        <w:t>e</w:t>
      </w:r>
    </w:p>
    <w:p w:rsidR="00253240" w:rsidRPr="00D70F60" w:rsidRDefault="001B5421" w:rsidP="00253240">
      <w:pPr>
        <w:pStyle w:val="SingleTxtG"/>
        <w:rPr>
          <w:lang w:val="ro-RO"/>
        </w:rPr>
      </w:pPr>
      <w:r w:rsidRPr="00D70F60">
        <w:rPr>
          <w:i/>
          <w:iCs/>
          <w:lang w:val="ro-RO"/>
        </w:rPr>
        <w:t>Se înlocuiește</w:t>
      </w:r>
      <w:r w:rsidR="00253240" w:rsidRPr="00D70F60">
        <w:rPr>
          <w:i/>
          <w:iCs/>
          <w:lang w:val="ro-RO"/>
        </w:rPr>
        <w:t xml:space="preserve"> </w:t>
      </w:r>
      <w:r w:rsidR="00253240" w:rsidRPr="00D70F60">
        <w:rPr>
          <w:lang w:val="ro-RO"/>
        </w:rPr>
        <w:t>text</w:t>
      </w:r>
      <w:r w:rsidRPr="00D70F60">
        <w:rPr>
          <w:lang w:val="ro-RO"/>
        </w:rPr>
        <w:t>ul</w:t>
      </w:r>
      <w:r w:rsidR="00253240" w:rsidRPr="00D70F60">
        <w:rPr>
          <w:lang w:val="ro-RO"/>
        </w:rPr>
        <w:t xml:space="preserve"> exist</w:t>
      </w:r>
      <w:r w:rsidRPr="00D70F60">
        <w:rPr>
          <w:lang w:val="ro-RO"/>
        </w:rPr>
        <w:t>ent</w:t>
      </w:r>
      <w:r w:rsidR="00CF2B6F">
        <w:rPr>
          <w:lang w:val="ro-RO"/>
        </w:rPr>
        <w:t xml:space="preserve"> cu:</w:t>
      </w:r>
    </w:p>
    <w:p w:rsidR="00253240" w:rsidRPr="00D70F60" w:rsidRDefault="00DC3135" w:rsidP="00F3117D">
      <w:pPr>
        <w:pStyle w:val="SingleTxtG"/>
        <w:tabs>
          <w:tab w:val="left" w:pos="2552"/>
        </w:tabs>
        <w:rPr>
          <w:lang w:val="ro-RO"/>
        </w:rPr>
      </w:pPr>
      <w:r w:rsidRPr="00D70F60">
        <w:rPr>
          <w:lang w:val="ro-RO"/>
        </w:rPr>
        <w:t>6.2.4.2</w:t>
      </w:r>
      <w:r w:rsidR="001A5025" w:rsidRPr="00D70F60">
        <w:rPr>
          <w:lang w:val="ro-RO"/>
        </w:rPr>
        <w:tab/>
      </w:r>
      <w:r w:rsidR="00474F0D">
        <w:rPr>
          <w:lang w:val="ro-RO"/>
        </w:rPr>
        <w:t>În</w:t>
      </w:r>
      <w:r w:rsidR="00253240" w:rsidRPr="00D70F60">
        <w:rPr>
          <w:lang w:val="ro-RO"/>
        </w:rPr>
        <w:t xml:space="preserve"> </w:t>
      </w:r>
      <w:r w:rsidR="004A2BEC" w:rsidRPr="00D70F60">
        <w:rPr>
          <w:lang w:val="ro-RO"/>
        </w:rPr>
        <w:t>tabel</w:t>
      </w:r>
      <w:r w:rsidR="00253240" w:rsidRPr="00D70F60">
        <w:rPr>
          <w:lang w:val="ro-RO"/>
        </w:rPr>
        <w:t xml:space="preserve">, </w:t>
      </w:r>
      <w:r w:rsidR="00474F0D">
        <w:rPr>
          <w:lang w:val="ro-RO"/>
        </w:rPr>
        <w:t>s</w:t>
      </w:r>
      <w:r w:rsidR="001B5421" w:rsidRPr="00D70F60">
        <w:rPr>
          <w:lang w:val="ro-RO"/>
        </w:rPr>
        <w:t>e șterg</w:t>
      </w:r>
      <w:r w:rsidR="00253240" w:rsidRPr="00D70F60">
        <w:rPr>
          <w:lang w:val="ro-RO"/>
        </w:rPr>
        <w:t xml:space="preserve"> </w:t>
      </w:r>
      <w:r w:rsidR="00CF2B6F">
        <w:rPr>
          <w:lang w:val="ro-RO"/>
        </w:rPr>
        <w:t>rândurile pentru</w:t>
      </w:r>
      <w:r w:rsidR="00D70F60" w:rsidRPr="00D70F60">
        <w:rPr>
          <w:lang w:val="ro-RO"/>
        </w:rPr>
        <w:t xml:space="preserve"> </w:t>
      </w:r>
      <w:r w:rsidR="00700B8B" w:rsidRPr="00421874">
        <w:rPr>
          <w:lang w:val="ro-RO"/>
        </w:rPr>
        <w:t>„</w:t>
      </w:r>
      <w:r w:rsidR="00253240" w:rsidRPr="00D70F60">
        <w:rPr>
          <w:lang w:val="ro-RO"/>
        </w:rPr>
        <w:t>EN ISO 11623:2002 (</w:t>
      </w:r>
      <w:r w:rsidR="00CF2B6F">
        <w:rPr>
          <w:lang w:val="ro-RO"/>
        </w:rPr>
        <w:t xml:space="preserve">cu excepția </w:t>
      </w:r>
      <w:r w:rsidR="00474F0D">
        <w:rPr>
          <w:lang w:val="ro-RO"/>
        </w:rPr>
        <w:t>clauzei</w:t>
      </w:r>
      <w:r w:rsidR="00253240" w:rsidRPr="00D70F60">
        <w:rPr>
          <w:lang w:val="ro-RO"/>
        </w:rPr>
        <w:t xml:space="preserve"> 4)</w:t>
      </w:r>
      <w:r w:rsidR="004A2BEC" w:rsidRPr="00D70F60">
        <w:rPr>
          <w:lang w:val="ro-RO"/>
        </w:rPr>
        <w:t>”</w:t>
      </w:r>
      <w:r w:rsidR="00253240" w:rsidRPr="00D70F60">
        <w:rPr>
          <w:lang w:val="ro-RO"/>
        </w:rPr>
        <w:t>,</w:t>
      </w:r>
      <w:r w:rsidR="00D70F60" w:rsidRPr="00D70F60">
        <w:rPr>
          <w:lang w:val="ro-RO"/>
        </w:rPr>
        <w:t xml:space="preserve"> </w:t>
      </w:r>
      <w:r w:rsidR="00700B8B" w:rsidRPr="00421874">
        <w:rPr>
          <w:lang w:val="ro-RO"/>
        </w:rPr>
        <w:t>„</w:t>
      </w:r>
      <w:r w:rsidR="00253240" w:rsidRPr="00D70F60">
        <w:rPr>
          <w:lang w:val="ro-RO"/>
        </w:rPr>
        <w:t>EN 14912:2005</w:t>
      </w:r>
      <w:r w:rsidR="004A2BEC" w:rsidRPr="00D70F60">
        <w:rPr>
          <w:lang w:val="ro-RO"/>
        </w:rPr>
        <w:t>”</w:t>
      </w:r>
      <w:r w:rsidR="00D70F60" w:rsidRPr="00D70F60">
        <w:rPr>
          <w:lang w:val="ro-RO"/>
        </w:rPr>
        <w:t xml:space="preserve"> și </w:t>
      </w:r>
      <w:r w:rsidR="00700B8B" w:rsidRPr="00421874">
        <w:rPr>
          <w:lang w:val="ro-RO"/>
        </w:rPr>
        <w:t>„</w:t>
      </w:r>
      <w:r w:rsidR="00253240" w:rsidRPr="00D70F60">
        <w:rPr>
          <w:lang w:val="ro-RO"/>
        </w:rPr>
        <w:t>EN 1440:2008 +A1:2012 (</w:t>
      </w:r>
      <w:r w:rsidR="00CF2B6F">
        <w:rPr>
          <w:lang w:val="ro-RO"/>
        </w:rPr>
        <w:t xml:space="preserve">cu excepția anexelor </w:t>
      </w:r>
      <w:r w:rsidR="00253240" w:rsidRPr="00D70F60">
        <w:rPr>
          <w:lang w:val="ro-RO"/>
        </w:rPr>
        <w:t>G</w:t>
      </w:r>
      <w:r w:rsidR="00D70F60" w:rsidRPr="00D70F60">
        <w:rPr>
          <w:lang w:val="ro-RO"/>
        </w:rPr>
        <w:t xml:space="preserve"> și </w:t>
      </w:r>
      <w:r w:rsidR="00253240" w:rsidRPr="00D70F60">
        <w:rPr>
          <w:lang w:val="ro-RO"/>
        </w:rPr>
        <w:t>H)</w:t>
      </w:r>
      <w:r w:rsidR="001A5025" w:rsidRPr="00D70F60">
        <w:rPr>
          <w:lang w:val="ro-RO"/>
        </w:rPr>
        <w:t> </w:t>
      </w:r>
      <w:r w:rsidR="004A2BEC" w:rsidRPr="00D70F60">
        <w:rPr>
          <w:lang w:val="ro-RO"/>
        </w:rPr>
        <w:t>”</w:t>
      </w:r>
      <w:r w:rsidR="00253240" w:rsidRPr="00D70F60">
        <w:rPr>
          <w:lang w:val="ro-RO"/>
        </w:rPr>
        <w:t>.</w:t>
      </w:r>
    </w:p>
    <w:p w:rsidR="005747B8" w:rsidRPr="00D70F60" w:rsidRDefault="005747B8" w:rsidP="005747B8">
      <w:pPr>
        <w:pStyle w:val="H23G"/>
        <w:rPr>
          <w:lang w:val="ro-RO"/>
        </w:rPr>
      </w:pPr>
      <w:r w:rsidRPr="00D70F60">
        <w:rPr>
          <w:lang w:val="ro-RO"/>
        </w:rPr>
        <w:tab/>
      </w:r>
      <w:r w:rsidR="00FE7542" w:rsidRPr="00D70F60">
        <w:rPr>
          <w:lang w:val="ro-RO"/>
        </w:rPr>
        <w:t>3</w:t>
      </w:r>
      <w:r w:rsidR="00AE428E" w:rsidRPr="00D70F60">
        <w:rPr>
          <w:lang w:val="ro-RO"/>
        </w:rPr>
        <w:t>6</w:t>
      </w:r>
      <w:r w:rsidR="00FE7542" w:rsidRPr="00D70F60">
        <w:rPr>
          <w:lang w:val="ro-RO"/>
        </w:rPr>
        <w:t>.</w:t>
      </w:r>
      <w:r w:rsidRPr="00D70F60">
        <w:rPr>
          <w:lang w:val="ro-RO"/>
        </w:rPr>
        <w:tab/>
      </w:r>
      <w:r w:rsidR="001B5421" w:rsidRPr="00D70F60">
        <w:rPr>
          <w:lang w:val="ro-RO"/>
        </w:rPr>
        <w:t>Capitolul</w:t>
      </w:r>
      <w:r w:rsidRPr="00D70F60">
        <w:rPr>
          <w:lang w:val="ro-RO"/>
        </w:rPr>
        <w:t xml:space="preserve"> 6.8, </w:t>
      </w:r>
      <w:r w:rsidR="00A24574">
        <w:rPr>
          <w:lang w:val="ro-RO"/>
        </w:rPr>
        <w:t xml:space="preserve">la </w:t>
      </w:r>
      <w:r w:rsidRPr="00D70F60">
        <w:rPr>
          <w:lang w:val="ro-RO"/>
        </w:rPr>
        <w:t xml:space="preserve">6.8.2.1.23, </w:t>
      </w:r>
      <w:r w:rsidR="001B5421" w:rsidRPr="00D70F60">
        <w:rPr>
          <w:lang w:val="ro-RO"/>
        </w:rPr>
        <w:t>primul amendament</w:t>
      </w:r>
    </w:p>
    <w:p w:rsidR="005747B8" w:rsidRPr="00D70F60" w:rsidRDefault="001B5421" w:rsidP="005747B8">
      <w:pPr>
        <w:pStyle w:val="SingleTxtG"/>
        <w:rPr>
          <w:lang w:val="ro-RO"/>
        </w:rPr>
      </w:pPr>
      <w:r w:rsidRPr="00D70F60">
        <w:rPr>
          <w:i/>
          <w:lang w:val="ro-RO"/>
        </w:rPr>
        <w:t>Se înlocuiește</w:t>
      </w:r>
      <w:r w:rsidR="005747B8" w:rsidRPr="00D70F60">
        <w:rPr>
          <w:i/>
          <w:lang w:val="ro-RO"/>
        </w:rPr>
        <w:t xml:space="preserve"> </w:t>
      </w:r>
      <w:r w:rsidR="00D70F60" w:rsidRPr="00D70F60">
        <w:rPr>
          <w:lang w:val="ro-RO"/>
        </w:rPr>
        <w:t>textul existent cu:</w:t>
      </w:r>
    </w:p>
    <w:p w:rsidR="005747B8" w:rsidRPr="00D70F60" w:rsidRDefault="002B07AE" w:rsidP="00F3117D">
      <w:pPr>
        <w:pStyle w:val="SingleTxtG"/>
        <w:rPr>
          <w:lang w:val="ro-RO"/>
        </w:rPr>
      </w:pPr>
      <w:r w:rsidRPr="00D70F60">
        <w:rPr>
          <w:lang w:val="ro-RO"/>
        </w:rPr>
        <w:t>6.8.2.1.23</w:t>
      </w:r>
      <w:r w:rsidRPr="00D70F60">
        <w:rPr>
          <w:lang w:val="ro-RO"/>
        </w:rPr>
        <w:tab/>
      </w:r>
      <w:r w:rsidR="00474F0D">
        <w:rPr>
          <w:lang w:val="ro-RO"/>
        </w:rPr>
        <w:t>Se înlocuiesc primele două fraze ale primului paragraf cu textele următoare</w:t>
      </w:r>
      <w:r w:rsidR="005747B8" w:rsidRPr="00D70F60">
        <w:rPr>
          <w:lang w:val="ro-RO"/>
        </w:rPr>
        <w:t>:</w:t>
      </w:r>
    </w:p>
    <w:p w:rsidR="005747B8" w:rsidRPr="00D70F60" w:rsidRDefault="00700B8B" w:rsidP="00F3117D">
      <w:pPr>
        <w:pStyle w:val="SingleTxtG"/>
        <w:rPr>
          <w:iCs/>
          <w:lang w:val="ro-RO"/>
        </w:rPr>
      </w:pPr>
      <w:bookmarkStart w:id="13" w:name="_Hlk516044083"/>
      <w:r w:rsidRPr="00421874">
        <w:rPr>
          <w:lang w:val="ro-RO"/>
        </w:rPr>
        <w:t>„</w:t>
      </w:r>
      <w:r w:rsidR="003C18E2" w:rsidRPr="003C18E2">
        <w:rPr>
          <w:iCs/>
          <w:lang w:val="ro-RO"/>
        </w:rPr>
        <w:t>Competența constructorului de a realiza lucrări de sudură trebuie să fie verificată și confirmată de autoritatea competentă sau de organismul desemnat de aceasta. Competența atelierului de întreținere sau de reparații pentru efectuarea lucrărilor de sudură trebuie verificată și confirmată de organismul de inspecție în conformitate cu 6.8.2.4.5. Un sistem de asigurare a calității sudurilor trebuie să fie implementat de constructor ori de atelierul de întreținere sau de reparații.</w:t>
      </w:r>
      <w:bookmarkEnd w:id="13"/>
      <w:r w:rsidR="002B07AE" w:rsidRPr="00D70F60">
        <w:rPr>
          <w:iCs/>
          <w:lang w:val="ro-RO"/>
        </w:rPr>
        <w:t> </w:t>
      </w:r>
      <w:r w:rsidR="004A2BEC" w:rsidRPr="00D70F60">
        <w:rPr>
          <w:iCs/>
          <w:lang w:val="ro-RO"/>
        </w:rPr>
        <w:t>”</w:t>
      </w:r>
      <w:r w:rsidR="002B07AE" w:rsidRPr="00D70F60">
        <w:rPr>
          <w:iCs/>
          <w:lang w:val="ro-RO"/>
        </w:rPr>
        <w:t>.</w:t>
      </w:r>
    </w:p>
    <w:p w:rsidR="005747B8" w:rsidRPr="00D70F60" w:rsidRDefault="005747B8" w:rsidP="005747B8">
      <w:pPr>
        <w:pStyle w:val="H23G"/>
        <w:rPr>
          <w:lang w:val="ro-RO"/>
        </w:rPr>
      </w:pPr>
      <w:r w:rsidRPr="00D70F60">
        <w:rPr>
          <w:lang w:val="ro-RO"/>
        </w:rPr>
        <w:tab/>
      </w:r>
      <w:r w:rsidR="00FE7542" w:rsidRPr="00D70F60">
        <w:rPr>
          <w:lang w:val="ro-RO"/>
        </w:rPr>
        <w:t>3</w:t>
      </w:r>
      <w:r w:rsidR="00AE428E" w:rsidRPr="00D70F60">
        <w:rPr>
          <w:lang w:val="ro-RO"/>
        </w:rPr>
        <w:t>7.</w:t>
      </w:r>
      <w:r w:rsidRPr="00D70F60">
        <w:rPr>
          <w:lang w:val="ro-RO"/>
        </w:rPr>
        <w:tab/>
      </w:r>
      <w:r w:rsidR="001B5421" w:rsidRPr="00D70F60">
        <w:rPr>
          <w:lang w:val="ro-RO"/>
        </w:rPr>
        <w:t>Capitolul</w:t>
      </w:r>
      <w:r w:rsidRPr="00D70F60">
        <w:rPr>
          <w:lang w:val="ro-RO"/>
        </w:rPr>
        <w:t xml:space="preserve"> 6.8, </w:t>
      </w:r>
      <w:r w:rsidR="00852575">
        <w:rPr>
          <w:lang w:val="ro-RO"/>
        </w:rPr>
        <w:t>amendament</w:t>
      </w:r>
      <w:r w:rsidR="00A24574">
        <w:rPr>
          <w:lang w:val="ro-RO"/>
        </w:rPr>
        <w:t xml:space="preserve"> de la</w:t>
      </w:r>
      <w:r w:rsidRPr="00D70F60">
        <w:rPr>
          <w:lang w:val="ro-RO"/>
        </w:rPr>
        <w:t xml:space="preserve"> 6.8.2.2.10</w:t>
      </w:r>
      <w:r w:rsidRPr="00D70F60">
        <w:rPr>
          <w:lang w:val="ro-RO"/>
        </w:rPr>
        <w:tab/>
      </w:r>
    </w:p>
    <w:p w:rsidR="005747B8" w:rsidRPr="00D70F60" w:rsidRDefault="001B5421" w:rsidP="005747B8">
      <w:pPr>
        <w:pStyle w:val="SingleTxtG"/>
        <w:rPr>
          <w:lang w:val="ro-RO"/>
        </w:rPr>
      </w:pPr>
      <w:r w:rsidRPr="00D70F60">
        <w:rPr>
          <w:i/>
          <w:lang w:val="ro-RO"/>
        </w:rPr>
        <w:t>Se înlocuiește</w:t>
      </w:r>
      <w:r w:rsidR="005747B8" w:rsidRPr="00D70F60">
        <w:rPr>
          <w:i/>
          <w:lang w:val="ro-RO"/>
        </w:rPr>
        <w:t xml:space="preserve"> </w:t>
      </w:r>
      <w:r w:rsidRPr="00D70F60">
        <w:rPr>
          <w:lang w:val="ro-RO"/>
        </w:rPr>
        <w:t>textul existent</w:t>
      </w:r>
      <w:r w:rsidR="00D70F60" w:rsidRPr="00D70F60">
        <w:rPr>
          <w:lang w:val="ro-RO"/>
        </w:rPr>
        <w:t xml:space="preserve"> cu:</w:t>
      </w:r>
    </w:p>
    <w:p w:rsidR="005747B8" w:rsidRPr="00D70F60" w:rsidRDefault="005747B8" w:rsidP="00F3117D">
      <w:pPr>
        <w:pStyle w:val="SingleTxtG"/>
        <w:rPr>
          <w:lang w:val="ro-RO"/>
        </w:rPr>
      </w:pPr>
      <w:r w:rsidRPr="00D70F60">
        <w:rPr>
          <w:lang w:val="ro-RO"/>
        </w:rPr>
        <w:lastRenderedPageBreak/>
        <w:t>6.8.2.2.10</w:t>
      </w:r>
      <w:r w:rsidRPr="00D70F60">
        <w:rPr>
          <w:lang w:val="ro-RO"/>
        </w:rPr>
        <w:tab/>
      </w:r>
      <w:r w:rsidR="001B5421" w:rsidRPr="00D70F60">
        <w:rPr>
          <w:lang w:val="ro-RO"/>
        </w:rPr>
        <w:t>Se modifică</w:t>
      </w:r>
      <w:r w:rsidRPr="00D70F60">
        <w:rPr>
          <w:lang w:val="ro-RO"/>
        </w:rPr>
        <w:t xml:space="preserve"> </w:t>
      </w:r>
      <w:r w:rsidR="003778F4">
        <w:rPr>
          <w:lang w:val="ro-RO"/>
        </w:rPr>
        <w:t xml:space="preserve">cel de </w:t>
      </w:r>
      <w:r w:rsidR="001B5421" w:rsidRPr="00D70F60">
        <w:rPr>
          <w:lang w:val="ro-RO"/>
        </w:rPr>
        <w:t>al doilea par</w:t>
      </w:r>
      <w:r w:rsidR="000D0314" w:rsidRPr="00D70F60">
        <w:rPr>
          <w:lang w:val="ro-RO"/>
        </w:rPr>
        <w:t>a</w:t>
      </w:r>
      <w:r w:rsidR="001B5421" w:rsidRPr="00D70F60">
        <w:rPr>
          <w:lang w:val="ro-RO"/>
        </w:rPr>
        <w:t>graf</w:t>
      </w:r>
      <w:r w:rsidR="000D0314" w:rsidRPr="00D70F60">
        <w:rPr>
          <w:lang w:val="ro-RO"/>
        </w:rPr>
        <w:t>, după cum urmează</w:t>
      </w:r>
      <w:r w:rsidRPr="00D70F60">
        <w:rPr>
          <w:lang w:val="ro-RO"/>
        </w:rPr>
        <w:t>:</w:t>
      </w:r>
      <w:r w:rsidR="008D0943">
        <w:rPr>
          <w:lang w:val="ro-RO"/>
        </w:rPr>
        <w:t xml:space="preserve"> </w:t>
      </w:r>
    </w:p>
    <w:p w:rsidR="00A57673" w:rsidRPr="00A57673" w:rsidRDefault="00700B8B" w:rsidP="00A57673">
      <w:pPr>
        <w:pStyle w:val="SingleTxtG"/>
        <w:rPr>
          <w:lang w:val="ro-RO"/>
        </w:rPr>
      </w:pPr>
      <w:bookmarkStart w:id="14" w:name="_Hlk516044150"/>
      <w:r w:rsidRPr="00421874">
        <w:rPr>
          <w:lang w:val="ro-RO"/>
        </w:rPr>
        <w:t>„</w:t>
      </w:r>
      <w:r w:rsidR="00A57673" w:rsidRPr="00A57673">
        <w:rPr>
          <w:lang w:val="ro-RO"/>
        </w:rPr>
        <w:t>Cu excepția cisternelor destinate transportului de gaze comprimate, lichefiate sau dizolvate, pentru care dispunerea discului de rupere și a supapei de siguranță trebuie să îndeplinească condițiile autorității competente, presiunile de spargere ale discurilor de rupere trebuie să respecte regulile următoare:</w:t>
      </w:r>
    </w:p>
    <w:p w:rsidR="00A57673" w:rsidRPr="00A57673" w:rsidRDefault="00A57673" w:rsidP="00A57673">
      <w:pPr>
        <w:pStyle w:val="SingleTxtG"/>
        <w:rPr>
          <w:lang w:val="ro-RO"/>
        </w:rPr>
      </w:pPr>
      <w:r w:rsidRPr="00A57673">
        <w:rPr>
          <w:lang w:val="ro-RO"/>
        </w:rPr>
        <w:t xml:space="preserve">- </w:t>
      </w:r>
      <w:r>
        <w:rPr>
          <w:lang w:val="ro-RO"/>
        </w:rPr>
        <w:tab/>
      </w:r>
      <w:r w:rsidRPr="00A57673">
        <w:rPr>
          <w:lang w:val="ro-RO"/>
        </w:rPr>
        <w:t>presiunea minimă de spargere la 20 °C, inclusiv toleranțele, trebuie să fie mai mare sau egală cu 0,8 presiunea de încercare;</w:t>
      </w:r>
    </w:p>
    <w:p w:rsidR="00A57673" w:rsidRPr="00A57673" w:rsidRDefault="00A57673" w:rsidP="00A57673">
      <w:pPr>
        <w:pStyle w:val="SingleTxtG"/>
        <w:rPr>
          <w:lang w:val="ro-RO"/>
        </w:rPr>
      </w:pPr>
      <w:r w:rsidRPr="00A57673">
        <w:rPr>
          <w:lang w:val="ro-RO"/>
        </w:rPr>
        <w:t xml:space="preserve">- </w:t>
      </w:r>
      <w:r>
        <w:rPr>
          <w:lang w:val="ro-RO"/>
        </w:rPr>
        <w:tab/>
      </w:r>
      <w:r w:rsidRPr="00A57673">
        <w:rPr>
          <w:lang w:val="ro-RO"/>
        </w:rPr>
        <w:t>presiunea maximă de spargere la 20 °C, inclusiv toleranțele, trebuie să fie mai mică sau egală cu 1,1 presiunea de încercare; și</w:t>
      </w:r>
    </w:p>
    <w:p w:rsidR="00A57673" w:rsidRPr="00A57673" w:rsidRDefault="00A57673" w:rsidP="00A57673">
      <w:pPr>
        <w:pStyle w:val="SingleTxtG"/>
        <w:rPr>
          <w:lang w:val="ro-RO"/>
        </w:rPr>
      </w:pPr>
      <w:r w:rsidRPr="00A57673">
        <w:rPr>
          <w:lang w:val="ro-RO"/>
        </w:rPr>
        <w:t xml:space="preserve">- </w:t>
      </w:r>
      <w:r>
        <w:rPr>
          <w:lang w:val="ro-RO"/>
        </w:rPr>
        <w:tab/>
      </w:r>
      <w:r w:rsidRPr="00A57673">
        <w:rPr>
          <w:lang w:val="ro-RO"/>
        </w:rPr>
        <w:t>presiunea de spargere la temperatura maximă de lucru trebuie să fie mai mare decât presiunea maximă de lucru.</w:t>
      </w:r>
    </w:p>
    <w:p w:rsidR="005747B8" w:rsidRPr="00D70F60" w:rsidRDefault="00A57673" w:rsidP="00A57673">
      <w:pPr>
        <w:pStyle w:val="SingleTxtG"/>
        <w:rPr>
          <w:lang w:val="ro-RO"/>
        </w:rPr>
      </w:pPr>
      <w:r w:rsidRPr="00A57673">
        <w:rPr>
          <w:lang w:val="ro-RO"/>
        </w:rPr>
        <w:t>Un manometru sau alt indicator corespunzător trebuie instalat în spațiul dintre discul de rupere și supapa de siguranță pentru a detecta ruperea</w:t>
      </w:r>
      <w:r>
        <w:rPr>
          <w:lang w:val="ro-RO"/>
        </w:rPr>
        <w:t xml:space="preserve"> sau</w:t>
      </w:r>
      <w:r w:rsidRPr="00A57673">
        <w:rPr>
          <w:lang w:val="ro-RO"/>
        </w:rPr>
        <w:t xml:space="preserve"> perforarea </w:t>
      </w:r>
      <w:r>
        <w:rPr>
          <w:lang w:val="ro-RO"/>
        </w:rPr>
        <w:t>discului ori</w:t>
      </w:r>
      <w:r w:rsidRPr="00A57673">
        <w:rPr>
          <w:lang w:val="ro-RO"/>
        </w:rPr>
        <w:t xml:space="preserve"> scurgeri pe la disc.</w:t>
      </w:r>
      <w:bookmarkEnd w:id="14"/>
      <w:r w:rsidR="004A2BEC" w:rsidRPr="00D70F60">
        <w:rPr>
          <w:lang w:val="ro-RO"/>
        </w:rPr>
        <w:t>”</w:t>
      </w:r>
      <w:r w:rsidR="005747B8" w:rsidRPr="00D70F60">
        <w:rPr>
          <w:lang w:val="ro-RO"/>
        </w:rPr>
        <w:t>.</w:t>
      </w:r>
    </w:p>
    <w:p w:rsidR="003656F1" w:rsidRPr="00D70F60" w:rsidRDefault="003656F1" w:rsidP="003656F1">
      <w:pPr>
        <w:pStyle w:val="H23G"/>
        <w:rPr>
          <w:lang w:val="ro-RO"/>
        </w:rPr>
      </w:pPr>
      <w:r w:rsidRPr="00D70F60">
        <w:rPr>
          <w:lang w:val="ro-RO"/>
        </w:rPr>
        <w:tab/>
      </w:r>
      <w:r w:rsidR="00FE7542" w:rsidRPr="00D70F60">
        <w:rPr>
          <w:lang w:val="ro-RO"/>
        </w:rPr>
        <w:t>3</w:t>
      </w:r>
      <w:r w:rsidR="00AE428E" w:rsidRPr="00D70F60">
        <w:rPr>
          <w:lang w:val="ro-RO"/>
        </w:rPr>
        <w:t>8</w:t>
      </w:r>
      <w:r w:rsidR="00FE7542" w:rsidRPr="00D70F60">
        <w:rPr>
          <w:lang w:val="ro-RO"/>
        </w:rPr>
        <w:t>.</w:t>
      </w:r>
      <w:r w:rsidRPr="00D70F60">
        <w:rPr>
          <w:lang w:val="ro-RO"/>
        </w:rPr>
        <w:tab/>
      </w:r>
      <w:r w:rsidR="001B5421" w:rsidRPr="00D70F60">
        <w:rPr>
          <w:lang w:val="ro-RO"/>
        </w:rPr>
        <w:t>Capitolul</w:t>
      </w:r>
      <w:r w:rsidRPr="00D70F60">
        <w:rPr>
          <w:lang w:val="ro-RO"/>
        </w:rPr>
        <w:t xml:space="preserve"> 6.8, </w:t>
      </w:r>
      <w:r w:rsidR="00A24574">
        <w:rPr>
          <w:lang w:val="ro-RO"/>
        </w:rPr>
        <w:t xml:space="preserve">la </w:t>
      </w:r>
      <w:r w:rsidRPr="00D70F60">
        <w:rPr>
          <w:lang w:val="ro-RO"/>
        </w:rPr>
        <w:t>6.8.2.2.11</w:t>
      </w:r>
    </w:p>
    <w:p w:rsidR="003656F1" w:rsidRPr="00D70F60" w:rsidRDefault="001B5421" w:rsidP="003656F1">
      <w:pPr>
        <w:pStyle w:val="SingleTxtG"/>
        <w:rPr>
          <w:iCs/>
          <w:lang w:val="ro-RO"/>
        </w:rPr>
      </w:pPr>
      <w:r w:rsidRPr="00D70F60">
        <w:rPr>
          <w:i/>
          <w:lang w:val="ro-RO"/>
        </w:rPr>
        <w:t>Se înlocuiește</w:t>
      </w:r>
      <w:r w:rsidR="003656F1" w:rsidRPr="00D70F60">
        <w:rPr>
          <w:lang w:val="ro-RO"/>
        </w:rPr>
        <w:t xml:space="preserve"> </w:t>
      </w:r>
      <w:r w:rsidR="00700B8B" w:rsidRPr="00421874">
        <w:rPr>
          <w:lang w:val="ro-RO"/>
        </w:rPr>
        <w:t>„</w:t>
      </w:r>
      <w:r w:rsidR="00FC120E" w:rsidRPr="00D70F60">
        <w:rPr>
          <w:lang w:val="ro-RO"/>
        </w:rPr>
        <w:t>Se adaugă</w:t>
      </w:r>
      <w:r w:rsidR="003656F1" w:rsidRPr="00D70F60">
        <w:rPr>
          <w:lang w:val="ro-RO"/>
        </w:rPr>
        <w:t xml:space="preserve"> </w:t>
      </w:r>
      <w:r w:rsidR="00077828">
        <w:rPr>
          <w:lang w:val="ro-RO"/>
        </w:rPr>
        <w:t>la sfârșit următorul paragraf nou</w:t>
      </w:r>
      <w:r w:rsidR="00CF2B6F" w:rsidRPr="00D70F60">
        <w:rPr>
          <w:lang w:val="ro-RO"/>
        </w:rPr>
        <w:t>”</w:t>
      </w:r>
      <w:r w:rsidR="003656F1" w:rsidRPr="00D70F60">
        <w:rPr>
          <w:i/>
          <w:lang w:val="ro-RO"/>
        </w:rPr>
        <w:t xml:space="preserve"> </w:t>
      </w:r>
      <w:r w:rsidR="004A2BEC" w:rsidRPr="00D70F60">
        <w:rPr>
          <w:i/>
          <w:lang w:val="ro-RO"/>
        </w:rPr>
        <w:t>cu</w:t>
      </w:r>
      <w:r w:rsidR="003656F1" w:rsidRPr="00D70F60">
        <w:rPr>
          <w:i/>
          <w:lang w:val="ro-RO"/>
        </w:rPr>
        <w:t xml:space="preserve"> </w:t>
      </w:r>
      <w:r w:rsidR="00700B8B" w:rsidRPr="00421874">
        <w:rPr>
          <w:lang w:val="ro-RO"/>
        </w:rPr>
        <w:t>„</w:t>
      </w:r>
      <w:r w:rsidR="00FC120E" w:rsidRPr="00D70F60">
        <w:rPr>
          <w:lang w:val="ro-RO"/>
        </w:rPr>
        <w:t>Se adaugă</w:t>
      </w:r>
      <w:r w:rsidR="003656F1" w:rsidRPr="00D70F60">
        <w:rPr>
          <w:lang w:val="ro-RO"/>
        </w:rPr>
        <w:t xml:space="preserve"> </w:t>
      </w:r>
      <w:r w:rsidR="00077828">
        <w:rPr>
          <w:lang w:val="ro-RO"/>
        </w:rPr>
        <w:t>noul</w:t>
      </w:r>
      <w:r w:rsidR="003656F1" w:rsidRPr="00D70F60">
        <w:rPr>
          <w:lang w:val="ro-RO"/>
        </w:rPr>
        <w:t xml:space="preserve"> 6.8.2.2.11</w:t>
      </w:r>
      <w:r w:rsidR="00077828">
        <w:rPr>
          <w:lang w:val="ro-RO"/>
        </w:rPr>
        <w:t>, după cum urmează</w:t>
      </w:r>
      <w:r w:rsidR="00CF2B6F" w:rsidRPr="00D70F60">
        <w:rPr>
          <w:lang w:val="ro-RO"/>
        </w:rPr>
        <w:t>”</w:t>
      </w:r>
      <w:r w:rsidR="00A57673">
        <w:rPr>
          <w:lang w:val="ro-RO"/>
        </w:rPr>
        <w:t>.</w:t>
      </w:r>
    </w:p>
    <w:p w:rsidR="006B663B" w:rsidRPr="00D70F60" w:rsidRDefault="006B663B" w:rsidP="006B663B">
      <w:pPr>
        <w:pStyle w:val="H23G"/>
        <w:rPr>
          <w:lang w:val="ro-RO"/>
        </w:rPr>
      </w:pPr>
      <w:r w:rsidRPr="00D70F60">
        <w:rPr>
          <w:lang w:val="ro-RO"/>
        </w:rPr>
        <w:tab/>
      </w:r>
      <w:r w:rsidR="00FE7542" w:rsidRPr="00D70F60">
        <w:rPr>
          <w:lang w:val="ro-RO"/>
        </w:rPr>
        <w:t>3</w:t>
      </w:r>
      <w:r w:rsidR="00AE428E" w:rsidRPr="00D70F60">
        <w:rPr>
          <w:lang w:val="ro-RO"/>
        </w:rPr>
        <w:t>9</w:t>
      </w:r>
      <w:r w:rsidR="00FE7542" w:rsidRPr="00D70F60">
        <w:rPr>
          <w:lang w:val="ro-RO"/>
        </w:rPr>
        <w:t>.</w:t>
      </w:r>
      <w:r w:rsidRPr="00D70F60">
        <w:rPr>
          <w:lang w:val="ro-RO"/>
        </w:rPr>
        <w:tab/>
      </w:r>
      <w:r w:rsidR="001B5421" w:rsidRPr="00D70F60">
        <w:rPr>
          <w:lang w:val="ro-RO"/>
        </w:rPr>
        <w:t>Capitolul</w:t>
      </w:r>
      <w:r w:rsidRPr="00D70F60">
        <w:rPr>
          <w:lang w:val="ro-RO"/>
        </w:rPr>
        <w:t xml:space="preserve"> 6.8, </w:t>
      </w:r>
      <w:r w:rsidR="00A24574">
        <w:rPr>
          <w:lang w:val="ro-RO"/>
        </w:rPr>
        <w:t xml:space="preserve">la </w:t>
      </w:r>
      <w:r w:rsidRPr="00D70F60">
        <w:rPr>
          <w:lang w:val="ro-RO"/>
        </w:rPr>
        <w:t xml:space="preserve">6.8.2.6.1, </w:t>
      </w:r>
      <w:r w:rsidR="00D70F60" w:rsidRPr="00D70F60">
        <w:rPr>
          <w:lang w:val="ro-RO"/>
        </w:rPr>
        <w:t>amendamentul referitor la standardul</w:t>
      </w:r>
      <w:r w:rsidRPr="00D70F60">
        <w:rPr>
          <w:lang w:val="ro-RO"/>
        </w:rPr>
        <w:t xml:space="preserve"> EN 13317:2002 + A1:2006 </w:t>
      </w:r>
      <w:r w:rsidR="00D70F60" w:rsidRPr="00D70F60">
        <w:rPr>
          <w:lang w:val="ro-RO"/>
        </w:rPr>
        <w:t xml:space="preserve">și </w:t>
      </w:r>
      <w:r w:rsidR="000C2903">
        <w:rPr>
          <w:lang w:val="ro-RO"/>
        </w:rPr>
        <w:t xml:space="preserve">introducerea </w:t>
      </w:r>
      <w:r w:rsidR="00D70F60" w:rsidRPr="00D70F60">
        <w:rPr>
          <w:lang w:val="ro-RO"/>
        </w:rPr>
        <w:t>noul</w:t>
      </w:r>
      <w:r w:rsidR="000C2903">
        <w:rPr>
          <w:lang w:val="ro-RO"/>
        </w:rPr>
        <w:t>ui</w:t>
      </w:r>
      <w:r w:rsidR="00D70F60" w:rsidRPr="00D70F60">
        <w:rPr>
          <w:lang w:val="ro-RO"/>
        </w:rPr>
        <w:t xml:space="preserve"> standard</w:t>
      </w:r>
      <w:r w:rsidRPr="00D70F60">
        <w:rPr>
          <w:lang w:val="ro-RO"/>
        </w:rPr>
        <w:t xml:space="preserve"> EN 13317:2018</w:t>
      </w:r>
    </w:p>
    <w:p w:rsidR="006B663B" w:rsidRPr="00D70F60" w:rsidRDefault="001B5421" w:rsidP="006B663B">
      <w:pPr>
        <w:pStyle w:val="SingleTxtG"/>
        <w:rPr>
          <w:lang w:val="ro-RO"/>
        </w:rPr>
      </w:pPr>
      <w:r w:rsidRPr="00D70F60">
        <w:rPr>
          <w:i/>
          <w:lang w:val="ro-RO"/>
        </w:rPr>
        <w:t>Se șterg</w:t>
      </w:r>
      <w:r w:rsidR="000C2903">
        <w:rPr>
          <w:i/>
          <w:lang w:val="ro-RO"/>
        </w:rPr>
        <w:t xml:space="preserve"> ambele</w:t>
      </w:r>
    </w:p>
    <w:p w:rsidR="005747B8" w:rsidRPr="00D70F60" w:rsidRDefault="005747B8" w:rsidP="005747B8">
      <w:pPr>
        <w:pStyle w:val="H23G"/>
        <w:rPr>
          <w:lang w:val="ro-RO"/>
        </w:rPr>
      </w:pPr>
      <w:r w:rsidRPr="00D70F60">
        <w:rPr>
          <w:lang w:val="ro-RO"/>
        </w:rPr>
        <w:tab/>
      </w:r>
      <w:r w:rsidR="00AE428E" w:rsidRPr="00D70F60">
        <w:rPr>
          <w:lang w:val="ro-RO"/>
        </w:rPr>
        <w:t>40</w:t>
      </w:r>
      <w:r w:rsidR="00FE7542" w:rsidRPr="00D70F60">
        <w:rPr>
          <w:lang w:val="ro-RO"/>
        </w:rPr>
        <w:t>.</w:t>
      </w:r>
      <w:r w:rsidRPr="00D70F60">
        <w:rPr>
          <w:lang w:val="ro-RO"/>
        </w:rPr>
        <w:tab/>
      </w:r>
      <w:r w:rsidR="001B5421" w:rsidRPr="00D70F60">
        <w:rPr>
          <w:lang w:val="ro-RO"/>
        </w:rPr>
        <w:t>Capitolul</w:t>
      </w:r>
      <w:r w:rsidRPr="00D70F60">
        <w:rPr>
          <w:lang w:val="ro-RO"/>
        </w:rPr>
        <w:t xml:space="preserve"> 6.8, </w:t>
      </w:r>
      <w:r w:rsidR="008A1E6F">
        <w:rPr>
          <w:lang w:val="ro-RO"/>
        </w:rPr>
        <w:t xml:space="preserve">la </w:t>
      </w:r>
      <w:r w:rsidR="00D70F60" w:rsidRPr="00D70F60">
        <w:rPr>
          <w:lang w:val="ro-RO"/>
        </w:rPr>
        <w:t>noul alineat de sub</w:t>
      </w:r>
      <w:r w:rsidRPr="00D70F60">
        <w:rPr>
          <w:lang w:val="ro-RO"/>
        </w:rPr>
        <w:t xml:space="preserve"> 6.8.5.1.2 a)</w:t>
      </w:r>
    </w:p>
    <w:p w:rsidR="005747B8" w:rsidRPr="00D70F60" w:rsidRDefault="001B5421" w:rsidP="005747B8">
      <w:pPr>
        <w:pStyle w:val="SingleTxtG"/>
        <w:rPr>
          <w:lang w:val="ro-RO"/>
        </w:rPr>
      </w:pPr>
      <w:r w:rsidRPr="00D70F60">
        <w:rPr>
          <w:i/>
          <w:lang w:val="ro-RO"/>
        </w:rPr>
        <w:t>Se înlocuiește</w:t>
      </w:r>
      <w:r w:rsidR="005747B8" w:rsidRPr="00D70F60">
        <w:rPr>
          <w:lang w:val="ro-RO"/>
        </w:rPr>
        <w:t xml:space="preserve"> </w:t>
      </w:r>
      <w:r w:rsidR="00700B8B" w:rsidRPr="00421874">
        <w:rPr>
          <w:lang w:val="ro-RO"/>
        </w:rPr>
        <w:t>„</w:t>
      </w:r>
      <w:r w:rsidR="005747B8" w:rsidRPr="00D70F60">
        <w:rPr>
          <w:lang w:val="ro-RO"/>
        </w:rPr>
        <w:t>-</w:t>
      </w:r>
      <w:r w:rsidR="00077828">
        <w:rPr>
          <w:lang w:val="ro-RO"/>
        </w:rPr>
        <w:t xml:space="preserve"> </w:t>
      </w:r>
      <w:r w:rsidR="005747B8" w:rsidRPr="00D70F60">
        <w:rPr>
          <w:lang w:val="ro-RO"/>
        </w:rPr>
        <w:t>40 °C</w:t>
      </w:r>
      <w:r w:rsidR="00CF2B6F" w:rsidRPr="00D70F60">
        <w:rPr>
          <w:lang w:val="ro-RO"/>
        </w:rPr>
        <w:t>”</w:t>
      </w:r>
      <w:r w:rsidR="005747B8" w:rsidRPr="00D70F60">
        <w:rPr>
          <w:lang w:val="ro-RO"/>
        </w:rPr>
        <w:t xml:space="preserve"> </w:t>
      </w:r>
      <w:r w:rsidRPr="00D70F60">
        <w:rPr>
          <w:i/>
          <w:lang w:val="ro-RO"/>
        </w:rPr>
        <w:t>cu</w:t>
      </w:r>
      <w:r w:rsidR="005747B8" w:rsidRPr="00D70F60">
        <w:rPr>
          <w:lang w:val="ro-RO"/>
        </w:rPr>
        <w:t xml:space="preserve"> </w:t>
      </w:r>
      <w:r w:rsidR="00700B8B" w:rsidRPr="00421874">
        <w:rPr>
          <w:lang w:val="ro-RO"/>
        </w:rPr>
        <w:t>„</w:t>
      </w:r>
      <w:r w:rsidR="005747B8" w:rsidRPr="00D70F60">
        <w:rPr>
          <w:lang w:val="ro-RO"/>
        </w:rPr>
        <w:t>-</w:t>
      </w:r>
      <w:r w:rsidR="00077828">
        <w:rPr>
          <w:lang w:val="ro-RO"/>
        </w:rPr>
        <w:t xml:space="preserve"> </w:t>
      </w:r>
      <w:r w:rsidR="005747B8" w:rsidRPr="00D70F60">
        <w:rPr>
          <w:lang w:val="ro-RO"/>
        </w:rPr>
        <w:t>60 °C</w:t>
      </w:r>
      <w:r w:rsidR="00CF2B6F" w:rsidRPr="00D70F60">
        <w:rPr>
          <w:lang w:val="ro-RO"/>
        </w:rPr>
        <w:t>”</w:t>
      </w:r>
    </w:p>
    <w:p w:rsidR="00BF06B0" w:rsidRPr="00D70F60" w:rsidRDefault="006E3E17" w:rsidP="006E3E17">
      <w:pPr>
        <w:spacing w:before="240"/>
        <w:ind w:left="1134" w:right="1134"/>
        <w:jc w:val="center"/>
        <w:rPr>
          <w:u w:val="single"/>
          <w:lang w:val="ro-RO"/>
        </w:rPr>
      </w:pPr>
      <w:r w:rsidRPr="00D70F60">
        <w:rPr>
          <w:u w:val="single"/>
          <w:lang w:val="ro-RO"/>
        </w:rPr>
        <w:tab/>
      </w:r>
      <w:r w:rsidRPr="00D70F60">
        <w:rPr>
          <w:u w:val="single"/>
          <w:lang w:val="ro-RO"/>
        </w:rPr>
        <w:tab/>
      </w:r>
      <w:r w:rsidRPr="00D70F60">
        <w:rPr>
          <w:u w:val="single"/>
          <w:lang w:val="ro-RO"/>
        </w:rPr>
        <w:tab/>
      </w:r>
    </w:p>
    <w:sectPr w:rsidR="00BF06B0" w:rsidRPr="00D70F60" w:rsidSect="00020AC3">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45A" w:rsidRDefault="0068445A"/>
  </w:endnote>
  <w:endnote w:type="continuationSeparator" w:id="0">
    <w:p w:rsidR="0068445A" w:rsidRDefault="0068445A"/>
  </w:endnote>
  <w:endnote w:type="continuationNotice" w:id="1">
    <w:p w:rsidR="0068445A" w:rsidRDefault="006844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AC3" w:rsidRPr="00020AC3" w:rsidRDefault="000D0F59" w:rsidP="00020AC3">
    <w:pPr>
      <w:pStyle w:val="Footer"/>
      <w:tabs>
        <w:tab w:val="right" w:pos="9638"/>
      </w:tabs>
      <w:rPr>
        <w:sz w:val="18"/>
      </w:rPr>
    </w:pPr>
    <w:r w:rsidRPr="00020AC3">
      <w:rPr>
        <w:b/>
        <w:sz w:val="18"/>
      </w:rPr>
      <w:fldChar w:fldCharType="begin"/>
    </w:r>
    <w:r w:rsidR="00020AC3" w:rsidRPr="00020AC3">
      <w:rPr>
        <w:b/>
        <w:sz w:val="18"/>
      </w:rPr>
      <w:instrText xml:space="preserve"> PAGE  \* MERGEFORMAT </w:instrText>
    </w:r>
    <w:r w:rsidRPr="00020AC3">
      <w:rPr>
        <w:b/>
        <w:sz w:val="18"/>
      </w:rPr>
      <w:fldChar w:fldCharType="separate"/>
    </w:r>
    <w:r w:rsidR="006D06E1">
      <w:rPr>
        <w:b/>
        <w:noProof/>
        <w:sz w:val="18"/>
      </w:rPr>
      <w:t>2</w:t>
    </w:r>
    <w:r w:rsidRPr="00020AC3">
      <w:rPr>
        <w:b/>
        <w:sz w:val="18"/>
      </w:rPr>
      <w:fldChar w:fldCharType="end"/>
    </w:r>
    <w:r w:rsidR="00020AC3">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3B7" w:rsidRPr="00020AC3" w:rsidRDefault="00020AC3" w:rsidP="00020AC3">
    <w:pPr>
      <w:pStyle w:val="Footer"/>
      <w:tabs>
        <w:tab w:val="right" w:pos="9638"/>
      </w:tabs>
      <w:rPr>
        <w:sz w:val="18"/>
      </w:rPr>
    </w:pPr>
    <w:r>
      <w:tab/>
    </w:r>
    <w:r w:rsidR="000D0F59" w:rsidRPr="00020AC3">
      <w:rPr>
        <w:b/>
        <w:sz w:val="18"/>
      </w:rPr>
      <w:fldChar w:fldCharType="begin"/>
    </w:r>
    <w:r w:rsidRPr="00020AC3">
      <w:rPr>
        <w:b/>
        <w:sz w:val="18"/>
      </w:rPr>
      <w:instrText xml:space="preserve"> PAGE  \* MERGEFORMAT </w:instrText>
    </w:r>
    <w:r w:rsidR="000D0F59" w:rsidRPr="00020AC3">
      <w:rPr>
        <w:b/>
        <w:sz w:val="18"/>
      </w:rPr>
      <w:fldChar w:fldCharType="separate"/>
    </w:r>
    <w:r w:rsidR="006D06E1">
      <w:rPr>
        <w:b/>
        <w:noProof/>
        <w:sz w:val="18"/>
      </w:rPr>
      <w:t>3</w:t>
    </w:r>
    <w:r w:rsidR="000D0F59" w:rsidRPr="00020AC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AC3" w:rsidRPr="00020AC3" w:rsidRDefault="00020AC3">
    <w:pPr>
      <w:pStyle w:val="Footer"/>
      <w:rPr>
        <w:sz w:val="20"/>
      </w:rPr>
    </w:pPr>
    <w:r>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45A" w:rsidRPr="00D27D5E" w:rsidRDefault="0068445A" w:rsidP="00D27D5E">
      <w:pPr>
        <w:tabs>
          <w:tab w:val="right" w:pos="2155"/>
        </w:tabs>
        <w:spacing w:after="80"/>
        <w:ind w:left="680"/>
        <w:rPr>
          <w:u w:val="single"/>
        </w:rPr>
      </w:pPr>
      <w:r>
        <w:rPr>
          <w:u w:val="single"/>
        </w:rPr>
        <w:tab/>
      </w:r>
    </w:p>
  </w:footnote>
  <w:footnote w:type="continuationSeparator" w:id="0">
    <w:p w:rsidR="0068445A" w:rsidRPr="00A80554" w:rsidRDefault="0068445A" w:rsidP="00A80554">
      <w:pPr>
        <w:tabs>
          <w:tab w:val="left" w:pos="2155"/>
        </w:tabs>
        <w:spacing w:after="80"/>
        <w:ind w:left="680"/>
        <w:rPr>
          <w:u w:val="single"/>
        </w:rPr>
      </w:pPr>
      <w:r w:rsidRPr="00A80554">
        <w:rPr>
          <w:u w:val="single"/>
        </w:rPr>
        <w:tab/>
      </w:r>
    </w:p>
  </w:footnote>
  <w:footnote w:type="continuationNotice" w:id="1">
    <w:p w:rsidR="0068445A" w:rsidRDefault="006844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AC3" w:rsidRPr="00020AC3" w:rsidRDefault="00020AC3">
    <w:pPr>
      <w:pStyle w:val="Header"/>
    </w:pPr>
    <w:r>
      <w:t>ECE/TRANS/WP.15/240/Corr.1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AC3" w:rsidRPr="00020AC3" w:rsidRDefault="00020AC3" w:rsidP="00020AC3">
    <w:pPr>
      <w:pStyle w:val="Header"/>
      <w:jc w:val="right"/>
    </w:pPr>
    <w:r>
      <w:t>ECE/TRANS/WP.15/240/Corr.1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GB" w:vendorID="64" w:dllVersion="5" w:nlCheck="1" w:checkStyle="1"/>
  <w:activeWritingStyle w:appName="MSWord" w:lang="fr-CH" w:vendorID="64" w:dllVersion="6" w:nlCheck="1" w:checkStyle="1"/>
  <w:activeWritingStyle w:appName="MSWord" w:lang="fr-FR" w:vendorID="64" w:dllVersion="6" w:nlCheck="1" w:checkStyle="1"/>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020AC3"/>
    <w:rsid w:val="00016AC5"/>
    <w:rsid w:val="00020AC3"/>
    <w:rsid w:val="00030ADE"/>
    <w:rsid w:val="000312C0"/>
    <w:rsid w:val="00077828"/>
    <w:rsid w:val="000964C7"/>
    <w:rsid w:val="000B34CA"/>
    <w:rsid w:val="000C2903"/>
    <w:rsid w:val="000D0314"/>
    <w:rsid w:val="000D0F59"/>
    <w:rsid w:val="000F41F2"/>
    <w:rsid w:val="00103A0B"/>
    <w:rsid w:val="00135C0D"/>
    <w:rsid w:val="001500C7"/>
    <w:rsid w:val="00150EA9"/>
    <w:rsid w:val="00154422"/>
    <w:rsid w:val="00154636"/>
    <w:rsid w:val="00156CE1"/>
    <w:rsid w:val="00160540"/>
    <w:rsid w:val="00160909"/>
    <w:rsid w:val="0017182C"/>
    <w:rsid w:val="00177007"/>
    <w:rsid w:val="00186EE9"/>
    <w:rsid w:val="00190E18"/>
    <w:rsid w:val="00192EEB"/>
    <w:rsid w:val="001A20FB"/>
    <w:rsid w:val="001A5025"/>
    <w:rsid w:val="001B5421"/>
    <w:rsid w:val="001B6F40"/>
    <w:rsid w:val="001C3FC8"/>
    <w:rsid w:val="001C749D"/>
    <w:rsid w:val="001D7F8A"/>
    <w:rsid w:val="001E3FEB"/>
    <w:rsid w:val="001E4A02"/>
    <w:rsid w:val="00223B89"/>
    <w:rsid w:val="00225A8C"/>
    <w:rsid w:val="00232C61"/>
    <w:rsid w:val="00253240"/>
    <w:rsid w:val="0025656F"/>
    <w:rsid w:val="002659F1"/>
    <w:rsid w:val="00271C7C"/>
    <w:rsid w:val="00287E79"/>
    <w:rsid w:val="002928F9"/>
    <w:rsid w:val="002A2FA3"/>
    <w:rsid w:val="002A5D07"/>
    <w:rsid w:val="002B07AE"/>
    <w:rsid w:val="002D0E8F"/>
    <w:rsid w:val="002E7CEB"/>
    <w:rsid w:val="002F515D"/>
    <w:rsid w:val="003016B7"/>
    <w:rsid w:val="003050F2"/>
    <w:rsid w:val="00330F9C"/>
    <w:rsid w:val="00340C35"/>
    <w:rsid w:val="003515AA"/>
    <w:rsid w:val="00356169"/>
    <w:rsid w:val="0036439B"/>
    <w:rsid w:val="003656F1"/>
    <w:rsid w:val="00367E6A"/>
    <w:rsid w:val="00370E0F"/>
    <w:rsid w:val="00374106"/>
    <w:rsid w:val="003778F4"/>
    <w:rsid w:val="003820BA"/>
    <w:rsid w:val="003976D5"/>
    <w:rsid w:val="003C18E2"/>
    <w:rsid w:val="003C3C0C"/>
    <w:rsid w:val="003D1DF3"/>
    <w:rsid w:val="003D46A7"/>
    <w:rsid w:val="003D6C68"/>
    <w:rsid w:val="003D76E4"/>
    <w:rsid w:val="003E1EFF"/>
    <w:rsid w:val="00414425"/>
    <w:rsid w:val="004159D0"/>
    <w:rsid w:val="004249E7"/>
    <w:rsid w:val="00426DA1"/>
    <w:rsid w:val="00434168"/>
    <w:rsid w:val="00464C4F"/>
    <w:rsid w:val="00474F0D"/>
    <w:rsid w:val="00485D5E"/>
    <w:rsid w:val="00497A70"/>
    <w:rsid w:val="004A2BEC"/>
    <w:rsid w:val="004A6F87"/>
    <w:rsid w:val="004A7CBE"/>
    <w:rsid w:val="004C3D40"/>
    <w:rsid w:val="004D53B7"/>
    <w:rsid w:val="00543D5E"/>
    <w:rsid w:val="00571F41"/>
    <w:rsid w:val="005747B8"/>
    <w:rsid w:val="005779D8"/>
    <w:rsid w:val="0059410B"/>
    <w:rsid w:val="00595BE4"/>
    <w:rsid w:val="005A6DB4"/>
    <w:rsid w:val="005A735A"/>
    <w:rsid w:val="005B4099"/>
    <w:rsid w:val="005B738F"/>
    <w:rsid w:val="005B76A3"/>
    <w:rsid w:val="005E5D1F"/>
    <w:rsid w:val="00602C74"/>
    <w:rsid w:val="00603391"/>
    <w:rsid w:val="006049FD"/>
    <w:rsid w:val="00611D43"/>
    <w:rsid w:val="00612D48"/>
    <w:rsid w:val="00616B45"/>
    <w:rsid w:val="00630D9B"/>
    <w:rsid w:val="00631953"/>
    <w:rsid w:val="006439EC"/>
    <w:rsid w:val="006716D6"/>
    <w:rsid w:val="0068445A"/>
    <w:rsid w:val="00694C7F"/>
    <w:rsid w:val="00694FAC"/>
    <w:rsid w:val="00697568"/>
    <w:rsid w:val="006A047B"/>
    <w:rsid w:val="006B4590"/>
    <w:rsid w:val="006B663B"/>
    <w:rsid w:val="006C340C"/>
    <w:rsid w:val="006D06E1"/>
    <w:rsid w:val="006D33BA"/>
    <w:rsid w:val="006E3E17"/>
    <w:rsid w:val="006E5FC7"/>
    <w:rsid w:val="00700B8B"/>
    <w:rsid w:val="0070347C"/>
    <w:rsid w:val="007176C1"/>
    <w:rsid w:val="00761331"/>
    <w:rsid w:val="00783F37"/>
    <w:rsid w:val="00790F2F"/>
    <w:rsid w:val="0079727A"/>
    <w:rsid w:val="007A34D2"/>
    <w:rsid w:val="007A6076"/>
    <w:rsid w:val="007F55CB"/>
    <w:rsid w:val="00812C1A"/>
    <w:rsid w:val="008317F6"/>
    <w:rsid w:val="00844750"/>
    <w:rsid w:val="00852575"/>
    <w:rsid w:val="008915D5"/>
    <w:rsid w:val="008A1E6F"/>
    <w:rsid w:val="008B44C4"/>
    <w:rsid w:val="008B47ED"/>
    <w:rsid w:val="008B7879"/>
    <w:rsid w:val="008C2211"/>
    <w:rsid w:val="008D0943"/>
    <w:rsid w:val="008D3919"/>
    <w:rsid w:val="008E7FAE"/>
    <w:rsid w:val="008F4A55"/>
    <w:rsid w:val="00911BF7"/>
    <w:rsid w:val="00926E87"/>
    <w:rsid w:val="00942865"/>
    <w:rsid w:val="00946268"/>
    <w:rsid w:val="00952FDB"/>
    <w:rsid w:val="00977EC8"/>
    <w:rsid w:val="009B18A3"/>
    <w:rsid w:val="009C1389"/>
    <w:rsid w:val="009D3A8C"/>
    <w:rsid w:val="009E01B8"/>
    <w:rsid w:val="009E7079"/>
    <w:rsid w:val="009E7956"/>
    <w:rsid w:val="00A1547F"/>
    <w:rsid w:val="00A2122C"/>
    <w:rsid w:val="00A213ED"/>
    <w:rsid w:val="00A24574"/>
    <w:rsid w:val="00A2492E"/>
    <w:rsid w:val="00A31F07"/>
    <w:rsid w:val="00A41235"/>
    <w:rsid w:val="00A57673"/>
    <w:rsid w:val="00A70163"/>
    <w:rsid w:val="00A80554"/>
    <w:rsid w:val="00A97858"/>
    <w:rsid w:val="00A97BC1"/>
    <w:rsid w:val="00AA72C3"/>
    <w:rsid w:val="00AC130D"/>
    <w:rsid w:val="00AC2227"/>
    <w:rsid w:val="00AC4EE6"/>
    <w:rsid w:val="00AC67A1"/>
    <w:rsid w:val="00AC7977"/>
    <w:rsid w:val="00AE352C"/>
    <w:rsid w:val="00AE428E"/>
    <w:rsid w:val="00AF1595"/>
    <w:rsid w:val="00B03A18"/>
    <w:rsid w:val="00B32E2D"/>
    <w:rsid w:val="00B4466B"/>
    <w:rsid w:val="00B61990"/>
    <w:rsid w:val="00B6602A"/>
    <w:rsid w:val="00B740CC"/>
    <w:rsid w:val="00B76EB0"/>
    <w:rsid w:val="00B85D99"/>
    <w:rsid w:val="00B8706D"/>
    <w:rsid w:val="00B93E72"/>
    <w:rsid w:val="00B94939"/>
    <w:rsid w:val="00BF0556"/>
    <w:rsid w:val="00BF06B0"/>
    <w:rsid w:val="00C205BC"/>
    <w:rsid w:val="00C24B53"/>
    <w:rsid w:val="00C261F8"/>
    <w:rsid w:val="00C33100"/>
    <w:rsid w:val="00C6603D"/>
    <w:rsid w:val="00C940E9"/>
    <w:rsid w:val="00CB3ECB"/>
    <w:rsid w:val="00CB6267"/>
    <w:rsid w:val="00CB78B9"/>
    <w:rsid w:val="00CD1A71"/>
    <w:rsid w:val="00CD1FBB"/>
    <w:rsid w:val="00CD49F0"/>
    <w:rsid w:val="00CF2B6F"/>
    <w:rsid w:val="00D016B5"/>
    <w:rsid w:val="00D034F1"/>
    <w:rsid w:val="00D11B17"/>
    <w:rsid w:val="00D27D5E"/>
    <w:rsid w:val="00D60301"/>
    <w:rsid w:val="00D70F60"/>
    <w:rsid w:val="00D722D7"/>
    <w:rsid w:val="00D9295D"/>
    <w:rsid w:val="00D962F1"/>
    <w:rsid w:val="00DA0E51"/>
    <w:rsid w:val="00DA57D4"/>
    <w:rsid w:val="00DB4793"/>
    <w:rsid w:val="00DC3135"/>
    <w:rsid w:val="00DE01E3"/>
    <w:rsid w:val="00DE6D90"/>
    <w:rsid w:val="00DF002F"/>
    <w:rsid w:val="00E0244D"/>
    <w:rsid w:val="00E32A20"/>
    <w:rsid w:val="00E3356E"/>
    <w:rsid w:val="00E55D71"/>
    <w:rsid w:val="00E73A92"/>
    <w:rsid w:val="00E81E94"/>
    <w:rsid w:val="00E82607"/>
    <w:rsid w:val="00EA0DF7"/>
    <w:rsid w:val="00EA31C2"/>
    <w:rsid w:val="00ED4091"/>
    <w:rsid w:val="00EE2EA3"/>
    <w:rsid w:val="00EE4B61"/>
    <w:rsid w:val="00F01516"/>
    <w:rsid w:val="00F102EC"/>
    <w:rsid w:val="00F17048"/>
    <w:rsid w:val="00F3117D"/>
    <w:rsid w:val="00F42C7B"/>
    <w:rsid w:val="00F57129"/>
    <w:rsid w:val="00F9560A"/>
    <w:rsid w:val="00FA5A79"/>
    <w:rsid w:val="00FA6422"/>
    <w:rsid w:val="00FB00CB"/>
    <w:rsid w:val="00FB0BFE"/>
    <w:rsid w:val="00FB4C51"/>
    <w:rsid w:val="00FB7676"/>
    <w:rsid w:val="00FC120E"/>
    <w:rsid w:val="00FC5EA9"/>
    <w:rsid w:val="00FD2FF1"/>
    <w:rsid w:val="00FE7542"/>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737D612-39B6-4E21-A6F5-D5F7D3D6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qFormat/>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
    <w:basedOn w:val="DefaultParagraphFont"/>
    <w:rsid w:val="000964C7"/>
    <w:rPr>
      <w:rFonts w:ascii="Times New Roman" w:hAnsi="Times New Roman"/>
      <w:sz w:val="18"/>
      <w:vertAlign w:val="superscript"/>
      <w:lang w:val="fr-CH"/>
    </w:rPr>
  </w:style>
  <w:style w:type="character" w:styleId="EndnoteReference">
    <w:name w:val="endnote reference"/>
    <w:aliases w:val="1_G"/>
    <w:basedOn w:val="FootnoteReference"/>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basedOn w:val="DefaultParagraphFont"/>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964C7"/>
    <w:rPr>
      <w:color w:val="auto"/>
      <w:u w:val="none"/>
    </w:rPr>
  </w:style>
  <w:style w:type="character" w:styleId="FollowedHyperlink">
    <w:name w:val="FollowedHyperlink"/>
    <w:basedOn w:val="DefaultParagraphFont"/>
    <w:semiHidden/>
    <w:rsid w:val="000964C7"/>
    <w:rPr>
      <w:color w:val="auto"/>
      <w:u w:val="none"/>
    </w:rPr>
  </w:style>
  <w:style w:type="character" w:customStyle="1" w:styleId="HChGChar">
    <w:name w:val="_ H _Ch_G Char"/>
    <w:link w:val="HChG"/>
    <w:locked/>
    <w:rsid w:val="00020AC3"/>
    <w:rPr>
      <w:b/>
      <w:sz w:val="28"/>
      <w:lang w:val="fr-CH" w:eastAsia="en-US"/>
    </w:rPr>
  </w:style>
  <w:style w:type="character" w:customStyle="1" w:styleId="H1GCar">
    <w:name w:val="_ H_1_G Car"/>
    <w:link w:val="H1G"/>
    <w:rsid w:val="00020AC3"/>
    <w:rPr>
      <w:b/>
      <w:sz w:val="24"/>
      <w:lang w:val="fr-CH" w:eastAsia="en-US"/>
    </w:rPr>
  </w:style>
  <w:style w:type="character" w:customStyle="1" w:styleId="SingleTxtGChar">
    <w:name w:val="_ Single Txt_G Char"/>
    <w:link w:val="SingleTxtG"/>
    <w:qFormat/>
    <w:rsid w:val="00694C7F"/>
    <w:rPr>
      <w:lang w:val="fr-CH" w:eastAsia="en-US"/>
    </w:rPr>
  </w:style>
  <w:style w:type="character" w:styleId="CommentReference">
    <w:name w:val="annotation reference"/>
    <w:basedOn w:val="DefaultParagraphFont"/>
    <w:semiHidden/>
    <w:unhideWhenUsed/>
    <w:rsid w:val="00694C7F"/>
    <w:rPr>
      <w:sz w:val="16"/>
      <w:szCs w:val="16"/>
    </w:rPr>
  </w:style>
  <w:style w:type="paragraph" w:styleId="CommentText">
    <w:name w:val="annotation text"/>
    <w:basedOn w:val="Normal"/>
    <w:link w:val="CommentTextChar"/>
    <w:semiHidden/>
    <w:unhideWhenUsed/>
    <w:rsid w:val="00694C7F"/>
    <w:pPr>
      <w:spacing w:line="240" w:lineRule="auto"/>
    </w:pPr>
  </w:style>
  <w:style w:type="character" w:customStyle="1" w:styleId="CommentTextChar">
    <w:name w:val="Comment Text Char"/>
    <w:basedOn w:val="DefaultParagraphFont"/>
    <w:link w:val="CommentText"/>
    <w:semiHidden/>
    <w:rsid w:val="00694C7F"/>
    <w:rPr>
      <w:lang w:val="fr-CH" w:eastAsia="en-US"/>
    </w:rPr>
  </w:style>
  <w:style w:type="paragraph" w:styleId="CommentSubject">
    <w:name w:val="annotation subject"/>
    <w:basedOn w:val="CommentText"/>
    <w:next w:val="CommentText"/>
    <w:link w:val="CommentSubjectChar"/>
    <w:semiHidden/>
    <w:unhideWhenUsed/>
    <w:rsid w:val="00694C7F"/>
    <w:rPr>
      <w:b/>
      <w:bCs/>
    </w:rPr>
  </w:style>
  <w:style w:type="character" w:customStyle="1" w:styleId="CommentSubjectChar">
    <w:name w:val="Comment Subject Char"/>
    <w:basedOn w:val="CommentTextChar"/>
    <w:link w:val="CommentSubject"/>
    <w:semiHidden/>
    <w:rsid w:val="00694C7F"/>
    <w:rPr>
      <w:b/>
      <w:bCs/>
      <w:lang w:val="fr-CH" w:eastAsia="en-US"/>
    </w:rPr>
  </w:style>
  <w:style w:type="paragraph" w:styleId="Revision">
    <w:name w:val="Revision"/>
    <w:hidden/>
    <w:uiPriority w:val="99"/>
    <w:semiHidden/>
    <w:rsid w:val="00694C7F"/>
    <w:rPr>
      <w:lang w:val="fr-CH" w:eastAsia="en-US"/>
    </w:rPr>
  </w:style>
  <w:style w:type="paragraph" w:styleId="BalloonText">
    <w:name w:val="Balloon Text"/>
    <w:basedOn w:val="Normal"/>
    <w:link w:val="BalloonTextChar"/>
    <w:rsid w:val="00694C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694C7F"/>
    <w:rPr>
      <w:rFonts w:ascii="Segoe UI" w:hAnsi="Segoe UI" w:cs="Segoe UI"/>
      <w:sz w:val="18"/>
      <w:szCs w:val="18"/>
      <w:lang w:val="fr-CH" w:eastAsia="en-US"/>
    </w:rPr>
  </w:style>
  <w:style w:type="character" w:customStyle="1" w:styleId="H23GChar">
    <w:name w:val="_ H_2/3_G Char"/>
    <w:link w:val="H23G"/>
    <w:rsid w:val="001C749D"/>
    <w:rPr>
      <w:b/>
      <w:lang w:val="fr-CH" w:eastAsia="en-US"/>
    </w:rPr>
  </w:style>
  <w:style w:type="paragraph" w:styleId="BodyText">
    <w:name w:val="Body Text"/>
    <w:basedOn w:val="Normal"/>
    <w:next w:val="Normal"/>
    <w:link w:val="BodyTextChar"/>
    <w:rsid w:val="001C3FC8"/>
    <w:rPr>
      <w:lang w:val="en-GB"/>
    </w:rPr>
  </w:style>
  <w:style w:type="character" w:customStyle="1" w:styleId="BodyTextChar">
    <w:name w:val="Body Text Char"/>
    <w:basedOn w:val="DefaultParagraphFont"/>
    <w:link w:val="BodyText"/>
    <w:rsid w:val="001C3FC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88863">
      <w:bodyDiv w:val="1"/>
      <w:marLeft w:val="0"/>
      <w:marRight w:val="0"/>
      <w:marTop w:val="0"/>
      <w:marBottom w:val="0"/>
      <w:divBdr>
        <w:top w:val="none" w:sz="0" w:space="0" w:color="auto"/>
        <w:left w:val="none" w:sz="0" w:space="0" w:color="auto"/>
        <w:bottom w:val="none" w:sz="0" w:space="0" w:color="auto"/>
        <w:right w:val="none" w:sz="0" w:space="0" w:color="auto"/>
      </w:divBdr>
    </w:div>
    <w:div w:id="1552109399">
      <w:bodyDiv w:val="1"/>
      <w:marLeft w:val="0"/>
      <w:marRight w:val="0"/>
      <w:marTop w:val="0"/>
      <w:marBottom w:val="0"/>
      <w:divBdr>
        <w:top w:val="none" w:sz="0" w:space="0" w:color="auto"/>
        <w:left w:val="none" w:sz="0" w:space="0" w:color="auto"/>
        <w:bottom w:val="none" w:sz="0" w:space="0" w:color="auto"/>
        <w:right w:val="none" w:sz="0" w:space="0" w:color="auto"/>
      </w:divBdr>
    </w:div>
    <w:div w:id="164889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C5234-9FEB-45E5-813F-D0ABD260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TRANS_WP15_AC1_F.dotm</Template>
  <TotalTime>0</TotalTime>
  <Pages>5</Pages>
  <Words>1360</Words>
  <Characters>7891</Characters>
  <Application>Microsoft Office Word</Application>
  <DocSecurity>0</DocSecurity>
  <Lines>65</Lines>
  <Paragraphs>18</Paragraphs>
  <ScaleCrop>false</ScaleCrop>
  <HeadingPairs>
    <vt:vector size="6" baseType="variant">
      <vt:variant>
        <vt:lpstr>Title</vt:lpstr>
      </vt:variant>
      <vt:variant>
        <vt:i4>1</vt:i4>
      </vt:variant>
      <vt:variant>
        <vt:lpstr>Titlu</vt:lpstr>
      </vt:variant>
      <vt:variant>
        <vt:i4>1</vt:i4>
      </vt:variant>
      <vt:variant>
        <vt:lpstr>Titre</vt:lpstr>
      </vt:variant>
      <vt:variant>
        <vt:i4>1</vt:i4>
      </vt:variant>
    </vt:vector>
  </HeadingPairs>
  <TitlesOfParts>
    <vt:vector size="3" baseType="lpstr">
      <vt:lpstr>ECE/TRANS/WP.15/AC.1/</vt:lpstr>
      <vt:lpstr>ECE/TRANS/WP.15/AC.1/</vt:lpstr>
      <vt:lpstr>ECE/TRANS/WP.15/AC.1/</vt:lpstr>
    </vt:vector>
  </TitlesOfParts>
  <Company>CSD</Company>
  <LinksUpToDate>false</LinksUpToDate>
  <CharactersWithSpaces>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ECE/TRANS/WP.15/240</dc:creator>
  <cp:lastModifiedBy>user</cp:lastModifiedBy>
  <cp:revision>2</cp:revision>
  <cp:lastPrinted>2019-03-05T08:44:00Z</cp:lastPrinted>
  <dcterms:created xsi:type="dcterms:W3CDTF">2019-06-18T14:10:00Z</dcterms:created>
  <dcterms:modified xsi:type="dcterms:W3CDTF">2019-06-18T14:10:00Z</dcterms:modified>
</cp:coreProperties>
</file>